
<file path=[Content_Types].xml><?xml version="1.0" encoding="utf-8"?>
<Types xmlns="http://schemas.openxmlformats.org/package/2006/content-types">
  <Default Extension="xml" ContentType="application/vnd.openxmlformats-officedocument.extended-properties+xml"/>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xml" ContentType="application/vnd.openxmlformats-officedocument.theme+xml"/>
  <Override PartName="/word/webSettings.xml" ContentType="application/vnd.openxmlformats-officedocument.wordprocessingml.webSettings+xml"/>
  <Override PartName="/word/footer31.xml" ContentType="application/vnd.openxmlformats-officedocument.wordprocessingml.footer+xml"/>
  <Override PartName="/word/footnotes.xml" ContentType="application/vnd.openxmlformats-officedocument.wordprocessingml.footnotes+xml"/>
  <Override PartName="/word/footer42.xml" ContentType="application/vnd.openxmlformats-officedocument.wordprocessingml.footer+xml"/>
  <Override PartName="/word/endnotes.xml" ContentType="application/vnd.openxmlformats-officedocument.wordprocessingml.endnotes+xml"/>
  <Override PartName="/word/footer53.xml" ContentType="application/vnd.openxmlformats-officedocument.wordprocessingml.footer+xml"/>
  <Override PartName="/word/footer14.xml" ContentType="application/vnd.openxmlformats-officedocument.wordprocessingml.footer+xml"/>
  <Override PartName="/word/stylesWithEffects.xml" ContentType="application/vnd.ms-word.stylesWithEffects+xml"/>
  <Override PartName="/word/fontTable.xml" ContentType="application/vnd.openxmlformats-officedocument.wordprocessingml.fontTable+xml"/>
  <Override PartName="/word/footer25.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re"/>
      </w:pPr>
      <w:bookmarkStart w:name="_GoBack" w:id="0"/>
      <w:bookmarkEnd w:id="0"/>
      <w:r>
        <w:rPr>
          <w:color w:val="006FC0"/>
        </w:rPr>
        <w:t xml:space="preserve">Examen des preuves : </w:t>
      </w:r>
      <w:r>
        <w:rPr>
          <w:color w:val="006FC0"/>
        </w:rPr>
        <w:t xml:space="preserve">Analogues de l'hormone de </w:t>
      </w:r>
      <w:r>
        <w:rPr>
          <w:color w:val="006FC0"/>
        </w:rPr>
        <w:t xml:space="preserve">libération de la gonadotrophine </w:t>
      </w:r>
      <w:r>
        <w:rPr>
          <w:color w:val="006FC0"/>
        </w:rPr>
        <w:t xml:space="preserve">pour les enfants et les </w:t>
      </w:r>
      <w:r>
        <w:rPr>
          <w:color w:val="006FC0"/>
        </w:rPr>
        <w:t xml:space="preserve">adolescents </w:t>
      </w:r>
      <w:r>
        <w:rPr>
          <w:color w:val="006FC0"/>
        </w:rPr>
        <w:t xml:space="preserve">souffrant de </w:t>
      </w:r>
      <w:r>
        <w:rPr>
          <w:color w:val="006FC0"/>
        </w:rPr>
        <w:t xml:space="preserve">dysphorie de </w:t>
      </w:r>
      <w:r>
        <w:rPr>
          <w:color w:val="006FC0"/>
        </w:rPr>
        <w:t xml:space="preserve">genre.</w:t>
      </w:r>
    </w:p>
    <w:p w:rsidR="00432386" w:rsidRDefault="00432386">
      <w:pPr>
        <w:pStyle w:val="Corpsdetexte"/>
        <w:spacing w:before="10"/>
        <w:ind w:start="0"/>
        <w:rPr>
          <w:b/>
          <w:sz w:val="42"/>
        </w:rPr>
      </w:pPr>
    </w:p>
    <w:p>
      <w:pPr>
        <w:pStyle w:val="Corpsdetexte"/>
        <w:spacing w:before="1" w:line="276" w:lineRule="auto"/>
        <w:ind w:end="874"/>
      </w:pPr>
      <w:r>
        <w:t xml:space="preserve">Ce document contribuera à informer l'examen indépendant du Dr Hilary Cass sur les </w:t>
      </w:r>
      <w:r>
        <w:t xml:space="preserve">services d'</w:t>
      </w:r>
      <w:r>
        <w:t xml:space="preserve">identité de genre </w:t>
      </w:r>
      <w:r>
        <w:t xml:space="preserve">pour les enfants et les jeunes. Il a été commandé par NHS England and </w:t>
      </w:r>
      <w:r>
        <w:t xml:space="preserve">Improvement qui a commandé l'examen de Cass. Il vise à évaluer les preuves de l'</w:t>
      </w:r>
      <w:r>
        <w:t xml:space="preserve">efficacité clinique, de la sécurité et du rapport coût-efficacité des </w:t>
      </w:r>
      <w:r>
        <w:t xml:space="preserve">analogues de l'</w:t>
      </w:r>
      <w:r>
        <w:t xml:space="preserve">hormone de libération de la gonadotrophine </w:t>
      </w:r>
      <w:r>
        <w:t xml:space="preserve">(GnRH</w:t>
      </w:r>
      <w:r>
        <w:t xml:space="preserve">) pour les enfants et les adolescents âgés de 18 ans ou moins souffrant de </w:t>
      </w:r>
      <w:r>
        <w:t xml:space="preserve">dysphorie </w:t>
      </w:r>
      <w:r>
        <w:t xml:space="preserve">de genre</w:t>
      </w:r>
      <w:r>
        <w:t xml:space="preserve">.</w:t>
      </w:r>
    </w:p>
    <w:p>
      <w:pPr>
        <w:pStyle w:val="Corpsdetexte"/>
        <w:spacing w:before="200"/>
      </w:pPr>
      <w:r>
        <w:t xml:space="preserve">Ce </w:t>
      </w:r>
      <w:r>
        <w:t xml:space="preserve">document </w:t>
      </w:r>
      <w:r>
        <w:t xml:space="preserve">a été </w:t>
      </w:r>
      <w:r>
        <w:t xml:space="preserve">préparé </w:t>
      </w:r>
      <w:r>
        <w:t xml:space="preserve">par </w:t>
      </w:r>
      <w:r>
        <w:t xml:space="preserve">NICE </w:t>
      </w:r>
      <w:r>
        <w:t xml:space="preserve">en </w:t>
      </w:r>
      <w:r>
        <w:t xml:space="preserve">octobre </w:t>
      </w:r>
      <w:r>
        <w:t xml:space="preserve">2020.</w:t>
      </w:r>
    </w:p>
    <w:p w:rsidR="00432386" w:rsidRDefault="00432386">
      <w:pPr>
        <w:pStyle w:val="Corpsdetexte"/>
        <w:spacing w:before="7"/>
        <w:ind w:start="0"/>
        <w:rPr>
          <w:sz w:val="20"/>
        </w:rPr>
      </w:pPr>
    </w:p>
    <w:p>
      <w:pPr>
        <w:pStyle w:val="Corpsdetexte"/>
        <w:spacing w:before="1" w:line="276" w:lineRule="auto"/>
        <w:ind w:end="628"/>
      </w:pPr>
      <w:r>
        <w:t xml:space="preserve">Le contenu de cette revue des preuves était à jour le 14 octobre 2020. Consultez les </w:t>
      </w:r>
      <w:hyperlink r:id="rId8">
        <w:r>
          <w:rPr>
            <w:color w:val="0000FF"/>
            <w:u w:val="single" w:color="0000FF"/>
          </w:rPr>
          <w:t xml:space="preserve">résumés des </w:t>
        </w:r>
      </w:hyperlink>
      <w:hyperlink r:id="rId9">
        <w:r>
          <w:rPr>
            <w:color w:val="0000FF"/>
            <w:u w:val="single" w:color="0000FF"/>
          </w:rPr>
          <w:t xml:space="preserve">caractéristiques du produit </w:t>
        </w:r>
      </w:hyperlink>
      <w:r>
        <w:t xml:space="preserve">(RCP), le </w:t>
      </w:r>
      <w:hyperlink r:id="rId10">
        <w:r>
          <w:rPr>
            <w:color w:val="0000FF"/>
            <w:u w:val="single" w:color="0000FF"/>
          </w:rPr>
          <w:t xml:space="preserve">British National Formulary </w:t>
        </w:r>
      </w:hyperlink>
      <w:r>
        <w:t xml:space="preserve">(BNF) ou les </w:t>
      </w:r>
      <w:r>
        <w:t xml:space="preserve">sites Internet de la </w:t>
      </w:r>
      <w:hyperlink r:id="rId11">
        <w:r>
          <w:rPr>
            <w:color w:val="0000FF"/>
            <w:u w:val="single" w:color="0000FF"/>
          </w:rPr>
          <w:t xml:space="preserve">Medicines and </w:t>
        </w:r>
      </w:hyperlink>
      <w:hyperlink r:id="rId12">
        <w:r>
          <w:rPr>
            <w:color w:val="0000FF"/>
            <w:u w:val="single" w:color="0000FF"/>
          </w:rPr>
          <w:t xml:space="preserve">Healthcare </w:t>
        </w:r>
        <w:r>
          <w:rPr>
            <w:color w:val="0000FF"/>
            <w:u w:val="single" w:color="0000FF"/>
          </w:rPr>
          <w:t xml:space="preserve">products Regulatory Agency </w:t>
        </w:r>
      </w:hyperlink>
      <w:r>
        <w:t xml:space="preserve">(MHRA) ou du </w:t>
      </w:r>
      <w:hyperlink r:id="rId13">
        <w:r>
          <w:rPr>
            <w:color w:val="0000FF"/>
            <w:u w:val="single" w:color="0000FF"/>
          </w:rPr>
          <w:t xml:space="preserve">NICE </w:t>
        </w:r>
      </w:hyperlink>
      <w:r>
        <w:t xml:space="preserve">pour obtenir des </w:t>
      </w:r>
      <w:r>
        <w:t xml:space="preserve">informations </w:t>
      </w:r>
      <w:r>
        <w:t xml:space="preserve">actualisées</w:t>
      </w:r>
      <w:r>
        <w:t xml:space="preserve">.</w:t>
      </w:r>
    </w:p>
    <w:p w:rsidR="00432386" w:rsidRDefault="00432386">
      <w:pPr>
        <w:spacing w:line="276" w:lineRule="auto"/>
        <w:sectPr w:rsidR="00432386">
          <w:footerReference w:type="default" r:id="rId14"/>
          <w:type w:val="continuous"/>
          <w:pgSz w:w="11910" w:h="16840"/>
          <w:pgMar w:top="1200" w:right="980" w:bottom="1380" w:left="1280" w:header="0" w:footer="1183" w:gutter="0"/>
          <w:pgNumType w:start="1"/>
          <w:cols w:space="720"/>
        </w:sectPr>
      </w:pPr>
    </w:p>
    <w:p>
      <w:pPr>
        <w:pStyle w:val="Titre1"/>
        <w:spacing w:before="79"/>
      </w:pPr>
      <w:r>
        <w:rPr>
          <w:color w:val="006FC0"/>
        </w:rPr>
        <w:lastRenderedPageBreak/>
        <w:t xml:space="preserve">Contenu</w:t>
      </w:r>
    </w:p>
    <w:sdt>
      <w:sdtPr>
        <w:id w:val="1644705006"/>
        <w:docPartObj>
          <w:docPartGallery w:val="Table of Contents"/>
          <w:docPartUnique/>
        </w:docPartObj>
      </w:sdtPr>
      <w:sdtEndPr/>
      <w:sdtContent>
        <w:p>
          <w:pPr>
            <w:pStyle w:val="TM1"/>
            <w:numPr>
              <w:ilvl w:val="0"/>
              <w:numId w:val="189"/>
            </w:numPr>
            <w:tabs>
              <w:tab w:val="left" w:pos="406"/>
              <w:tab w:val="right" w:leader="dot" w:pos="9179"/>
            </w:tabs>
            <w:spacing w:before="532"/>
            <w:ind w:hanging="246"/>
          </w:pPr>
          <w:hyperlink w:history="1" w:anchor="_bookmark0">
            <w:r>
              <w:t xml:space="preserve">Introduction3</w:t>
            </w:r>
          </w:hyperlink>
        </w:p>
        <w:p>
          <w:pPr>
            <w:pStyle w:val="TM1"/>
            <w:numPr>
              <w:ilvl w:val="0"/>
              <w:numId w:val="189"/>
            </w:numPr>
            <w:tabs>
              <w:tab w:val="left" w:pos="408"/>
              <w:tab w:val="right" w:leader="dot" w:pos="9179"/>
            </w:tabs>
            <w:spacing w:before="139"/>
            <w:ind w:start="407" w:hanging="248"/>
          </w:pPr>
          <w:hyperlink w:history="1" w:anchor="_bookmark1">
            <w:r>
              <w:t xml:space="preserve">Résumé </w:t>
            </w:r>
            <w:r>
              <w:t xml:space="preserve">de </w:t>
            </w:r>
            <w:r>
              <w:t xml:space="preserve">l</w:t>
            </w:r>
            <w:r>
              <w:t xml:space="preserve">'</w:t>
            </w:r>
            <w:r>
              <w:t xml:space="preserve">examen3</w:t>
            </w:r>
          </w:hyperlink>
        </w:p>
        <w:p>
          <w:pPr>
            <w:pStyle w:val="TM2"/>
            <w:tabs>
              <w:tab w:val="right" w:leader="dot" w:pos="9179"/>
            </w:tabs>
          </w:pPr>
          <w:hyperlink w:history="1" w:anchor="_bookmark2">
            <w:r>
              <w:t xml:space="preserve">Résultats critiques4</w:t>
            </w:r>
          </w:hyperlink>
        </w:p>
        <w:p>
          <w:pPr>
            <w:pStyle w:val="TM2"/>
            <w:tabs>
              <w:tab w:val="right" w:leader="dot" w:pos="9179"/>
            </w:tabs>
          </w:pPr>
          <w:hyperlink w:history="1" w:anchor="_bookmark3">
            <w:r>
              <w:t xml:space="preserve">Résultats importants5</w:t>
            </w:r>
          </w:hyperlink>
        </w:p>
        <w:p>
          <w:pPr>
            <w:pStyle w:val="TM2"/>
            <w:tabs>
              <w:tab w:val="right" w:leader="dot" w:pos="9178"/>
            </w:tabs>
          </w:pPr>
          <w:hyperlink w:history="1" w:anchor="_bookmark4">
            <w:r>
              <w:t xml:space="preserve">Discussion12</w:t>
            </w:r>
          </w:hyperlink>
        </w:p>
        <w:p>
          <w:pPr>
            <w:pStyle w:val="TM2"/>
            <w:tabs>
              <w:tab w:val="right" w:leader="dot" w:pos="9178"/>
            </w:tabs>
          </w:pPr>
          <w:hyperlink w:history="1" w:anchor="_bookmark5">
            <w:r>
              <w:t xml:space="preserve">Conclusion13</w:t>
            </w:r>
          </w:hyperlink>
        </w:p>
        <w:p>
          <w:pPr>
            <w:pStyle w:val="TM1"/>
            <w:numPr>
              <w:ilvl w:val="0"/>
              <w:numId w:val="189"/>
            </w:numPr>
            <w:tabs>
              <w:tab w:val="left" w:pos="406"/>
              <w:tab w:val="right" w:leader="dot" w:pos="9178"/>
            </w:tabs>
            <w:spacing w:before="139"/>
            <w:ind w:hanging="246"/>
          </w:pPr>
          <w:hyperlink w:history="1" w:anchor="_bookmark6">
            <w:r>
              <w:t xml:space="preserve">Méthodologie14</w:t>
            </w:r>
          </w:hyperlink>
        </w:p>
        <w:p>
          <w:pPr>
            <w:pStyle w:val="TM2"/>
            <w:tabs>
              <w:tab w:val="right" w:leader="dot" w:pos="9178"/>
            </w:tabs>
          </w:pPr>
          <w:hyperlink w:history="1" w:anchor="_bookmark7">
            <w:r>
              <w:t xml:space="preserve">Questions de révision14</w:t>
            </w:r>
          </w:hyperlink>
        </w:p>
        <w:p>
          <w:pPr>
            <w:pStyle w:val="TM2"/>
            <w:tabs>
              <w:tab w:val="right" w:leader="dot" w:pos="9178"/>
            </w:tabs>
          </w:pPr>
          <w:hyperlink w:history="1" w:anchor="_bookmark8">
            <w:r>
              <w:t xml:space="preserve">Processus de révision14</w:t>
            </w:r>
          </w:hyperlink>
        </w:p>
        <w:p>
          <w:pPr>
            <w:pStyle w:val="TM1"/>
            <w:numPr>
              <w:ilvl w:val="0"/>
              <w:numId w:val="189"/>
            </w:numPr>
            <w:tabs>
              <w:tab w:val="left" w:pos="408"/>
              <w:tab w:val="right" w:leader="dot" w:pos="9178"/>
            </w:tabs>
            <w:spacing w:before="137"/>
            <w:ind w:start="407" w:hanging="248"/>
          </w:pPr>
          <w:hyperlink w:history="1" w:anchor="_bookmark9">
            <w:r>
              <w:t xml:space="preserve">Résumé des </w:t>
            </w:r>
            <w:r>
              <w:t xml:space="preserve">études incluses15</w:t>
            </w:r>
          </w:hyperlink>
        </w:p>
        <w:p>
          <w:pPr>
            <w:pStyle w:val="TM1"/>
            <w:numPr>
              <w:ilvl w:val="0"/>
              <w:numId w:val="189"/>
            </w:numPr>
            <w:tabs>
              <w:tab w:val="left" w:pos="408"/>
              <w:tab w:val="right" w:leader="dot" w:pos="9178"/>
            </w:tabs>
            <w:ind w:start="407" w:hanging="248"/>
          </w:pPr>
          <w:hyperlink w:history="1" w:anchor="_bookmark10">
            <w:r>
              <w:t xml:space="preserve">Résultats19</w:t>
            </w:r>
          </w:hyperlink>
        </w:p>
        <w:p>
          <w:pPr>
            <w:pStyle w:val="TM1"/>
            <w:numPr>
              <w:ilvl w:val="0"/>
              <w:numId w:val="189"/>
            </w:numPr>
            <w:tabs>
              <w:tab w:val="left" w:pos="408"/>
              <w:tab w:val="right" w:leader="dot" w:pos="9178"/>
            </w:tabs>
            <w:ind w:start="407" w:hanging="248"/>
          </w:pPr>
          <w:hyperlink w:history="1" w:anchor="_bookmark11">
            <w:r>
              <w:t xml:space="preserve">Discussion40</w:t>
            </w:r>
          </w:hyperlink>
        </w:p>
        <w:p>
          <w:pPr>
            <w:pStyle w:val="TM1"/>
            <w:numPr>
              <w:ilvl w:val="0"/>
              <w:numId w:val="189"/>
            </w:numPr>
            <w:tabs>
              <w:tab w:val="left" w:pos="408"/>
              <w:tab w:val="right" w:leader="dot" w:pos="9178"/>
            </w:tabs>
            <w:ind w:start="407" w:hanging="248"/>
          </w:pPr>
          <w:hyperlink w:history="1" w:anchor="_bookmark12">
            <w:r>
              <w:t xml:space="preserve">Conclusion45</w:t>
            </w:r>
          </w:hyperlink>
        </w:p>
        <w:p>
          <w:pPr>
            <w:pStyle w:val="TM1"/>
            <w:tabs>
              <w:tab w:val="right" w:leader="dot" w:pos="9178"/>
            </w:tabs>
          </w:pPr>
          <w:hyperlink w:history="1" w:anchor="_bookmark13">
            <w:r>
              <w:t xml:space="preserve">Annexe A </w:t>
            </w:r>
            <w:r>
              <w:t xml:space="preserve">Document PICO47</w:t>
            </w:r>
          </w:hyperlink>
        </w:p>
        <w:p>
          <w:pPr>
            <w:pStyle w:val="TM1"/>
            <w:tabs>
              <w:tab w:val="right" w:leader="dot" w:pos="9178"/>
            </w:tabs>
            <w:spacing w:before="139"/>
          </w:pPr>
          <w:hyperlink w:history="1" w:anchor="_bookmark14">
            <w:r>
              <w:t xml:space="preserve">Annexe B </w:t>
            </w:r>
            <w:r>
              <w:t xml:space="preserve">Stratégie de recherche50</w:t>
            </w:r>
          </w:hyperlink>
        </w:p>
        <w:p>
          <w:pPr>
            <w:pStyle w:val="TM1"/>
            <w:tabs>
              <w:tab w:val="right" w:leader="dot" w:pos="9178"/>
            </w:tabs>
          </w:pPr>
          <w:hyperlink w:history="1" w:anchor="_bookmark15">
            <w:r>
              <w:t xml:space="preserve">Annexe C Sélection des preuves73</w:t>
            </w:r>
          </w:hyperlink>
        </w:p>
        <w:p>
          <w:pPr>
            <w:pStyle w:val="TM1"/>
            <w:tabs>
              <w:tab w:val="right" w:leader="dot" w:pos="9178"/>
            </w:tabs>
          </w:pPr>
          <w:hyperlink w:history="1" w:anchor="_bookmark16">
            <w:r>
              <w:t xml:space="preserve">Annexe D Tableau des études exclues74</w:t>
            </w:r>
          </w:hyperlink>
        </w:p>
        <w:p>
          <w:pPr>
            <w:pStyle w:val="TM1"/>
            <w:tabs>
              <w:tab w:val="right" w:leader="dot" w:pos="9178"/>
            </w:tabs>
          </w:pPr>
          <w:hyperlink w:history="1" w:anchor="_bookmark17">
            <w:r>
              <w:t xml:space="preserve">Annexe E </w:t>
            </w:r>
            <w:r>
              <w:t xml:space="preserve">Tableaux de preuves76</w:t>
            </w:r>
          </w:hyperlink>
        </w:p>
        <w:p>
          <w:pPr>
            <w:pStyle w:val="TM1"/>
            <w:tabs>
              <w:tab w:val="right" w:leader="dot" w:pos="9178"/>
            </w:tabs>
            <w:spacing w:before="136"/>
          </w:pPr>
          <w:hyperlink w:history="1" w:anchor="_bookmark18">
            <w:r>
              <w:t xml:space="preserve">Annexe F </w:t>
            </w:r>
            <w:r>
              <w:t xml:space="preserve">Listes de contrôle pour </w:t>
            </w:r>
            <w:r>
              <w:t xml:space="preserve">l'évaluation de la </w:t>
            </w:r>
            <w:r>
              <w:t xml:space="preserve">qualité98</w:t>
            </w:r>
          </w:hyperlink>
        </w:p>
        <w:p>
          <w:pPr>
            <w:pStyle w:val="TM1"/>
            <w:tabs>
              <w:tab w:val="right" w:leader="dot" w:pos="9178"/>
            </w:tabs>
            <w:spacing w:before="139"/>
          </w:pPr>
          <w:hyperlink w:history="1" w:anchor="_bookmark19">
            <w:r>
              <w:t xml:space="preserve">Annexe G </w:t>
            </w:r>
            <w:r>
              <w:t xml:space="preserve">Profils des grades99</w:t>
            </w:r>
          </w:hyperlink>
        </w:p>
        <w:p>
          <w:pPr>
            <w:pStyle w:val="TM1"/>
            <w:tabs>
              <w:tab w:val="right" w:leader="dot" w:pos="9178"/>
            </w:tabs>
          </w:pPr>
          <w:hyperlink w:history="1" w:anchor="_bookmark20">
            <w:r>
              <w:t xml:space="preserve">Glossaire129</w:t>
            </w:r>
          </w:hyperlink>
        </w:p>
        <w:p>
          <w:pPr>
            <w:pStyle w:val="TM1"/>
            <w:tabs>
              <w:tab w:val="right" w:leader="dot" w:pos="9178"/>
            </w:tabs>
          </w:pPr>
          <w:hyperlink w:history="1" w:anchor="_bookmark21">
            <w:r>
              <w:t xml:space="preserve">Références130</w:t>
            </w:r>
          </w:hyperlink>
        </w:p>
      </w:sdtContent>
    </w:sdt>
    <w:p w:rsidR="00432386" w:rsidRDefault="00432386">
      <w:pPr>
        <w:sectPr w:rsidR="00432386">
          <w:pgSz w:w="11910" w:h="16840"/>
          <w:pgMar w:top="1180" w:right="980" w:bottom="1460" w:left="1280" w:header="0" w:footer="1183" w:gutter="0"/>
          <w:cols w:space="720"/>
        </w:sectPr>
      </w:pPr>
    </w:p>
    <w:p>
      <w:pPr>
        <w:pStyle w:val="Titre1"/>
        <w:numPr>
          <w:ilvl w:val="0"/>
          <w:numId w:val="188"/>
        </w:numPr>
        <w:tabs>
          <w:tab w:val="left" w:pos="430"/>
        </w:tabs>
        <w:spacing w:before="79"/>
        <w:ind w:hanging="270"/>
      </w:pPr>
      <w:bookmarkStart w:name="_bookmark0" w:id="1"/>
      <w:bookmarkEnd w:id="1"/>
      <w:r>
        <w:rPr>
          <w:color w:val="365F91"/>
        </w:rPr>
        <w:lastRenderedPageBreak/>
        <w:t xml:space="preserve">Introduction</w:t>
      </w:r>
    </w:p>
    <w:p w:rsidR="00432386" w:rsidRDefault="00432386">
      <w:pPr>
        <w:pStyle w:val="Corpsdetexte"/>
        <w:spacing w:before="9"/>
        <w:ind w:start="0"/>
        <w:rPr>
          <w:b/>
          <w:sz w:val="20"/>
        </w:rPr>
      </w:pPr>
    </w:p>
    <w:p>
      <w:pPr>
        <w:pStyle w:val="Corpsdetexte"/>
        <w:spacing w:before="1" w:line="276" w:lineRule="auto"/>
        <w:ind w:end="690"/>
      </w:pPr>
      <w:r>
        <w:t xml:space="preserve">Cette revue vise à évaluer les preuves de l'efficacité clinique, de la sécurité et du rapport coût-efficacité </w:t>
      </w:r>
      <w:r>
        <w:t xml:space="preserve">des analogues de l'hormone de libération de la gonadotrophine (GnRH) pour les enfants et les </w:t>
      </w:r>
      <w:r>
        <w:t xml:space="preserve">adolescents âgés de 18 ans ou moins souffrant de dysphorie de genre. L'examen suit le </w:t>
      </w:r>
      <w:r>
        <w:t xml:space="preserve">processus et le modèle de mise en service spécialisée du </w:t>
      </w:r>
      <w:r>
        <w:t xml:space="preserve">NHS </w:t>
      </w:r>
      <w:r>
        <w:t xml:space="preserve">England et est basé sur les critères </w:t>
      </w:r>
      <w:r>
        <w:t xml:space="preserve">décrits dans le cadre PICO (voir </w:t>
      </w:r>
      <w:hyperlink w:history="1" w:anchor="_bookmark13">
        <w:r>
          <w:rPr>
            <w:color w:val="0000FF"/>
            <w:u w:val="single" w:color="0000FF"/>
          </w:rPr>
          <w:t xml:space="preserve">annexe A</w:t>
        </w:r>
      </w:hyperlink>
      <w:r>
        <w:t xml:space="preserve">). Ce document contribuera à informer l'</w:t>
      </w:r>
      <w:r>
        <w:t xml:space="preserve">examen </w:t>
      </w:r>
      <w:r>
        <w:t xml:space="preserve">indépendant du </w:t>
      </w:r>
      <w:r>
        <w:t xml:space="preserve">Dr Hilary </w:t>
      </w:r>
      <w:r>
        <w:t xml:space="preserve">Cass </w:t>
      </w:r>
      <w:r>
        <w:t xml:space="preserve">sur les </w:t>
      </w:r>
      <w:r>
        <w:t xml:space="preserve">services d'</w:t>
      </w:r>
      <w:r>
        <w:t xml:space="preserve">identité de </w:t>
      </w:r>
      <w:r>
        <w:t xml:space="preserve">genre </w:t>
      </w:r>
      <w:r>
        <w:t xml:space="preserve">pour les </w:t>
      </w:r>
      <w:r>
        <w:t xml:space="preserve">enfants </w:t>
      </w:r>
      <w:r>
        <w:t xml:space="preserve">et les </w:t>
      </w:r>
      <w:r>
        <w:t xml:space="preserve">jeunes</w:t>
      </w:r>
      <w:r>
        <w:t xml:space="preserve">.</w:t>
      </w:r>
    </w:p>
    <w:p w:rsidR="00432386" w:rsidRDefault="00432386">
      <w:pPr>
        <w:pStyle w:val="Corpsdetexte"/>
        <w:spacing w:before="4"/>
        <w:ind w:start="0"/>
        <w:rPr>
          <w:sz w:val="25"/>
        </w:rPr>
      </w:pPr>
    </w:p>
    <w:p>
      <w:pPr>
        <w:pStyle w:val="Corpsdetexte"/>
        <w:spacing w:before="0" w:line="276" w:lineRule="auto"/>
        <w:ind w:end="482"/>
      </w:pPr>
      <w:r>
        <w:t xml:space="preserve">La dysphorie de genre chez l'enfant, également connue sous le nom de trouble de l'identité de genre ou d'</w:t>
      </w:r>
      <w:r>
        <w:t xml:space="preserve">incongruence de </w:t>
      </w:r>
      <w:r>
        <w:t xml:space="preserve">genre </w:t>
      </w:r>
      <w:r>
        <w:t xml:space="preserve">de l'enfance (</w:t>
      </w:r>
      <w:hyperlink r:id="rId15">
        <w:r>
          <w:rPr>
            <w:color w:val="0000FF"/>
            <w:u w:val="single" w:color="0000FF"/>
          </w:rPr>
          <w:t xml:space="preserve">Organisation mondiale de la santé 2020</w:t>
        </w:r>
      </w:hyperlink>
      <w:r>
        <w:t xml:space="preserve">), fait référence à une gêne ou une détresse </w:t>
      </w:r>
      <w:r>
        <w:t xml:space="preserve">causée par une divergence entre l'identité de genre d'une personne (la façon dont elle </w:t>
      </w:r>
      <w:r>
        <w:t xml:space="preserve">se perçoit1 </w:t>
      </w:r>
      <w:r>
        <w:t xml:space="preserve">par rapport à son genre) et le sexe qui lui a été assigné à la naissance ainsi que le </w:t>
      </w:r>
      <w:r>
        <w:t xml:space="preserve">rôle de genre associé, </w:t>
      </w:r>
      <w:r>
        <w:t xml:space="preserve">et/ou les caractéristiques sexuelles primaires et secondaires (</w:t>
      </w:r>
      <w:hyperlink r:id="rId17">
        <w:r>
          <w:rPr>
            <w:color w:val="0000FF"/>
            <w:u w:val="single" w:color="0000FF"/>
          </w:rPr>
          <w:t xml:space="preserve">Manuel </w:t>
        </w:r>
      </w:hyperlink>
      <w:hyperlink r:id="rId16">
        <w:r>
          <w:rPr>
            <w:color w:val="0000FF"/>
            <w:u w:val="single" w:color="0000FF"/>
          </w:rPr>
          <w:t xml:space="preserve">diagnostique et </w:t>
        </w:r>
      </w:hyperlink>
      <w:hyperlink r:id="rId17">
        <w:r>
          <w:rPr>
            <w:color w:val="0000FF"/>
            <w:u w:val="single" w:color="0000FF"/>
          </w:rPr>
          <w:t xml:space="preserve">statistique</w:t>
        </w:r>
        <w:r>
          <w:rPr>
            <w:color w:val="0000FF"/>
            <w:u w:val="single" w:color="0000FF"/>
          </w:rPr>
          <w:t xml:space="preserve">des</w:t>
        </w:r>
        <w:r>
          <w:rPr>
            <w:color w:val="0000FF"/>
            <w:u w:val="single" w:color="0000FF"/>
          </w:rPr>
          <w:t xml:space="preserve">troubles mentaux 2013</w:t>
        </w:r>
      </w:hyperlink>
      <w:r>
        <w:t xml:space="preserve">).</w:t>
      </w:r>
    </w:p>
    <w:p w:rsidR="00432386" w:rsidRDefault="00432386">
      <w:pPr>
        <w:pStyle w:val="Corpsdetexte"/>
        <w:spacing w:before="1"/>
        <w:ind w:start="0"/>
        <w:rPr>
          <w:sz w:val="17"/>
        </w:rPr>
      </w:pPr>
    </w:p>
    <w:p>
      <w:pPr>
        <w:pStyle w:val="Corpsdetexte"/>
        <w:spacing w:before="94" w:line="276" w:lineRule="auto"/>
        <w:ind w:end="505"/>
      </w:pPr>
      <w:r>
        <w:t xml:space="preserve">Les </w:t>
      </w:r>
      <w:r>
        <w:t xml:space="preserve">analogues de la GnRH suppriment la puberté en retardant le développement des </w:t>
      </w:r>
      <w:r>
        <w:t xml:space="preserve">caractéristiques </w:t>
      </w:r>
      <w:r>
        <w:t xml:space="preserve">sexuelles secondaires</w:t>
      </w:r>
      <w:r>
        <w:t xml:space="preserve">. L'</w:t>
      </w:r>
      <w:r>
        <w:t xml:space="preserve">intention est d'atténuer la détresse associée au développement des </w:t>
      </w:r>
      <w:r>
        <w:t xml:space="preserve">caractéristiques sexuelles secondaires, ce qui donne le temps de discuter et d'</w:t>
      </w:r>
      <w:r>
        <w:t xml:space="preserve">explorer l'identité sexuelle avant de décider de prendre des mesures moins réversibles. En </w:t>
      </w:r>
      <w:r>
        <w:t xml:space="preserve">Angleterre, la </w:t>
      </w:r>
      <w:r>
        <w:t xml:space="preserve">triptoréline, un analogue de la GnRH (un décapeptide synthétique analogue de la GnRH naturelle, </w:t>
      </w:r>
      <w:r>
        <w:t xml:space="preserve">qui a des autorisations de mise sur le marché pour le traitement du cancer de la prostate, de l'endométriose et de la </w:t>
      </w:r>
      <w:r>
        <w:t xml:space="preserve">puberté précoce [apparition avant 8 ans chez les filles et 10 ans chez les garçons]) est utilisée à </w:t>
      </w:r>
      <w:r>
        <w:t xml:space="preserve">cette </w:t>
      </w:r>
      <w:r>
        <w:t xml:space="preserve">fin. L'utilisation de la triptoréline pour les enfants et les adolescents souffrant de dysphorie de genre est </w:t>
      </w:r>
      <w:hyperlink r:id="rId18">
        <w:r>
          <w:rPr>
            <w:color w:val="0000FF"/>
            <w:u w:val="single" w:color="0000FF"/>
          </w:rPr>
          <w:t xml:space="preserve">hors </w:t>
        </w:r>
      </w:hyperlink>
      <w:hyperlink r:id="rId19">
        <w:r>
          <w:rPr>
            <w:color w:val="0000FF"/>
            <w:u w:val="single" w:color="0000FF"/>
          </w:rPr>
          <w:t xml:space="preserve">AMM</w:t>
        </w:r>
        <w:r>
          <w:t xml:space="preserve">.</w:t>
        </w:r>
      </w:hyperlink>
    </w:p>
    <w:p w:rsidR="00432386" w:rsidRDefault="00432386">
      <w:pPr>
        <w:pStyle w:val="Corpsdetexte"/>
        <w:spacing w:before="4"/>
        <w:ind w:start="0"/>
        <w:rPr>
          <w:sz w:val="17"/>
        </w:rPr>
      </w:pPr>
    </w:p>
    <w:p>
      <w:pPr>
        <w:pStyle w:val="Corpsdetexte"/>
        <w:spacing w:before="93" w:line="276" w:lineRule="auto"/>
        <w:ind w:end="477"/>
      </w:pPr>
      <w:r>
        <w:t xml:space="preserve">Pour les enfants et les adolescents souffrant de </w:t>
      </w:r>
      <w:r>
        <w:t xml:space="preserve">dysphorie de genre, il est recommandé que les </w:t>
      </w:r>
      <w:r>
        <w:t xml:space="preserve">plans de </w:t>
      </w:r>
      <w:r>
        <w:t xml:space="preserve">prise en charge </w:t>
      </w:r>
      <w:r>
        <w:t xml:space="preserve">soient adaptés aux besoins de l'individu, et visent à améliorer l'</w:t>
      </w:r>
      <w:r>
        <w:t xml:space="preserve">impact </w:t>
      </w:r>
      <w:r>
        <w:t xml:space="preserve">potentiellement </w:t>
      </w:r>
      <w:r>
        <w:t xml:space="preserve">négatif de la dysphorie de genre sur les processus généraux de développement, à aider les jeunes </w:t>
      </w:r>
      <w:r>
        <w:t xml:space="preserve">et leurs familles à </w:t>
      </w:r>
      <w:r>
        <w:t xml:space="preserve">gérer les incertitudes inhérentes au </w:t>
      </w:r>
      <w:r>
        <w:t xml:space="preserve">développement de l'</w:t>
      </w:r>
      <w:r>
        <w:t xml:space="preserve">identité de genre </w:t>
      </w:r>
      <w:r>
        <w:t xml:space="preserve">et à fournir des opportunités continues d'exploration de l'identité de genre. Les plans </w:t>
      </w:r>
      <w:r>
        <w:t xml:space="preserve">peuvent également inclure un soutien et une exploration psychologiques et, pour certains individus, l'utilisation d'</w:t>
      </w:r>
      <w:r>
        <w:t xml:space="preserve">analogues de la GnRH </w:t>
      </w:r>
      <w:r>
        <w:t xml:space="preserve">à l'adolescence pour supprimer la puberté ; ceci peut être suivi plus tard par des </w:t>
      </w:r>
      <w:r>
        <w:t xml:space="preserve">hormones d'affirmation du genre </w:t>
      </w:r>
      <w:r>
        <w:t xml:space="preserve">du </w:t>
      </w:r>
      <w:r>
        <w:t xml:space="preserve">sexe </w:t>
      </w:r>
      <w:r>
        <w:t xml:space="preserve">désiré </w:t>
      </w:r>
      <w:r>
        <w:t xml:space="preserve">(</w:t>
      </w:r>
      <w:hyperlink r:id="rId20">
        <w:r>
          <w:rPr>
            <w:color w:val="0000FF"/>
            <w:u w:val="single" w:color="0000FF"/>
          </w:rPr>
          <w:t xml:space="preserve">NHS England</w:t>
        </w:r>
        <w:r>
          <w:rPr>
            <w:color w:val="0000FF"/>
            <w:u w:val="single" w:color="0000FF"/>
          </w:rPr>
          <w:t xml:space="preserve">2013</w:t>
        </w:r>
      </w:hyperlink>
      <w:r>
        <w:t xml:space="preserve">).</w:t>
      </w:r>
    </w:p>
    <w:p w:rsidR="00432386" w:rsidRDefault="00432386">
      <w:pPr>
        <w:pStyle w:val="Corpsdetexte"/>
        <w:spacing w:before="0"/>
        <w:ind w:start="0"/>
        <w:rPr>
          <w:sz w:val="20"/>
        </w:rPr>
      </w:pPr>
    </w:p>
    <w:p w:rsidR="00432386" w:rsidRDefault="00432386">
      <w:pPr>
        <w:pStyle w:val="Corpsdetexte"/>
        <w:spacing w:before="8"/>
        <w:ind w:start="0"/>
        <w:rPr>
          <w:sz w:val="21"/>
        </w:rPr>
      </w:pPr>
    </w:p>
    <w:p>
      <w:pPr>
        <w:pStyle w:val="Titre1"/>
        <w:numPr>
          <w:ilvl w:val="0"/>
          <w:numId w:val="188"/>
        </w:numPr>
        <w:tabs>
          <w:tab w:val="left" w:pos="430"/>
        </w:tabs>
        <w:ind w:hanging="270"/>
      </w:pPr>
      <w:bookmarkStart w:name="_bookmark1" w:id="2"/>
      <w:bookmarkEnd w:id="2"/>
      <w:r>
        <w:rPr>
          <w:color w:val="365F91"/>
        </w:rPr>
        <w:t xml:space="preserve">Résumé </w:t>
      </w:r>
      <w:r>
        <w:rPr>
          <w:color w:val="365F91"/>
        </w:rPr>
        <w:t xml:space="preserve">de </w:t>
      </w:r>
      <w:r>
        <w:rPr>
          <w:color w:val="365F91"/>
        </w:rPr>
        <w:t xml:space="preserve">l</w:t>
      </w:r>
      <w:r>
        <w:rPr>
          <w:color w:val="365F91"/>
        </w:rPr>
        <w:t xml:space="preserve">'</w:t>
      </w:r>
      <w:r>
        <w:rPr>
          <w:color w:val="365F91"/>
        </w:rPr>
        <w:t xml:space="preserve">examen</w:t>
      </w:r>
    </w:p>
    <w:p w:rsidR="00432386" w:rsidRDefault="00432386">
      <w:pPr>
        <w:pStyle w:val="Corpsdetexte"/>
        <w:spacing w:before="0"/>
        <w:ind w:start="0"/>
        <w:rPr>
          <w:b/>
          <w:sz w:val="21"/>
        </w:rPr>
      </w:pPr>
    </w:p>
    <w:p>
      <w:pPr>
        <w:pStyle w:val="Corpsdetexte"/>
        <w:spacing w:before="0" w:line="276" w:lineRule="auto"/>
        <w:ind w:end="545"/>
      </w:pPr>
      <w:r>
        <w:t xml:space="preserve">Neuf études observationnelles ont été incluses dans l'examen des preuves. Cinq études étaient des </w:t>
      </w:r>
      <w:r>
        <w:t xml:space="preserve">études observationnelles rétrospectives (</w:t>
      </w:r>
      <w:hyperlink r:id="rId21">
        <w:r>
          <w:rPr>
            <w:color w:val="0000FF"/>
            <w:u w:val="single" w:color="0000FF"/>
          </w:rPr>
          <w:t xml:space="preserve">Brik et al. 2020</w:t>
        </w:r>
      </w:hyperlink>
      <w:r>
        <w:t xml:space="preserve">, </w:t>
      </w:r>
      <w:hyperlink r:id="rId22">
        <w:r>
          <w:rPr>
            <w:color w:val="0000FF"/>
            <w:u w:val="single" w:color="0000FF"/>
          </w:rPr>
          <w:t xml:space="preserve">Joseph et al. 2019</w:t>
        </w:r>
      </w:hyperlink>
      <w:r>
        <w:t xml:space="preserve">, </w:t>
      </w:r>
      <w:hyperlink r:id="rId23">
        <w:r>
          <w:rPr>
            <w:color w:val="0000FF"/>
            <w:u w:val="single" w:color="0000FF"/>
          </w:rPr>
          <w:t xml:space="preserve">Khatchadourian et </w:t>
        </w:r>
      </w:hyperlink>
      <w:hyperlink r:id="rId24">
        <w:r>
          <w:rPr>
            <w:color w:val="0000FF"/>
            <w:u w:val="single" w:color="0000FF"/>
          </w:rPr>
          <w:t xml:space="preserve">al. 2014</w:t>
        </w:r>
      </w:hyperlink>
      <w:r>
        <w:t xml:space="preserve">, </w:t>
      </w:r>
      <w:hyperlink r:id="rId25">
        <w:r>
          <w:rPr>
            <w:color w:val="0000FF"/>
            <w:u w:val="single" w:color="0000FF"/>
          </w:rPr>
          <w:t xml:space="preserve">Klink et al. 2015</w:t>
        </w:r>
      </w:hyperlink>
      <w:r>
        <w:t xml:space="preserve">, </w:t>
      </w:r>
      <w:hyperlink r:id="rId26">
        <w:r>
          <w:rPr>
            <w:color w:val="0000FF"/>
            <w:u w:val="single" w:color="0000FF"/>
          </w:rPr>
          <w:t xml:space="preserve">Vlot et al. 2017</w:t>
        </w:r>
      </w:hyperlink>
      <w:r>
        <w:t xml:space="preserve">), 3 études étaient des </w:t>
      </w:r>
      <w:r>
        <w:t xml:space="preserve">études observationnelles </w:t>
      </w:r>
      <w:r>
        <w:t xml:space="preserve">longitudinales prospectives </w:t>
      </w:r>
      <w:r>
        <w:t xml:space="preserve">(</w:t>
      </w:r>
      <w:hyperlink r:id="rId27">
        <w:r>
          <w:rPr>
            <w:color w:val="0000FF"/>
            <w:u w:val="single" w:color="0000FF"/>
          </w:rPr>
          <w:t xml:space="preserve">Costa et al. 2015</w:t>
        </w:r>
      </w:hyperlink>
      <w:r>
        <w:t xml:space="preserve">, </w:t>
      </w:r>
      <w:hyperlink r:id="rId28">
        <w:r>
          <w:rPr>
            <w:color w:val="0000FF"/>
            <w:u w:val="single" w:color="0000FF"/>
          </w:rPr>
          <w:t xml:space="preserve">de Vries et al. 2011</w:t>
        </w:r>
      </w:hyperlink>
      <w:r>
        <w:t xml:space="preserve">, </w:t>
      </w:r>
      <w:hyperlink r:id="rId29">
        <w:r>
          <w:rPr>
            <w:color w:val="0000FF"/>
            <w:u w:val="single" w:color="0000FF"/>
          </w:rPr>
          <w:t xml:space="preserve">Schagen et al. 2016</w:t>
        </w:r>
      </w:hyperlink>
      <w:r>
        <w:t xml:space="preserve">) et 1 </w:t>
      </w:r>
      <w:r>
        <w:t xml:space="preserve">étude </w:t>
      </w:r>
      <w:r>
        <w:t xml:space="preserve">était </w:t>
      </w:r>
      <w:r>
        <w:t xml:space="preserve">une </w:t>
      </w:r>
      <w:r>
        <w:t xml:space="preserve">étude </w:t>
      </w:r>
      <w:r>
        <w:t xml:space="preserve">transversale </w:t>
      </w:r>
      <w:r>
        <w:t xml:space="preserve">(</w:t>
      </w:r>
      <w:hyperlink r:id="rId30">
        <w:r>
          <w:rPr>
            <w:color w:val="0000FF"/>
            <w:u w:val="single" w:color="0000FF"/>
          </w:rPr>
          <w:t xml:space="preserve">Staphorsius</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Deux </w:t>
      </w:r>
      <w:r>
        <w:t xml:space="preserve">études </w:t>
      </w:r>
      <w:r>
        <w:t xml:space="preserve">(Costa </w:t>
      </w:r>
      <w:r>
        <w:t xml:space="preserve">et </w:t>
      </w:r>
      <w:r>
        <w:t xml:space="preserve">al. </w:t>
      </w:r>
      <w:r>
        <w:t xml:space="preserve">2015</w:t>
      </w:r>
    </w:p>
    <w:p w:rsidR="00432386" w:rsidRDefault="00432386">
      <w:pPr>
        <w:pStyle w:val="Corpsdetexte"/>
        <w:spacing w:before="0"/>
        <w:ind w:start="0"/>
        <w:rPr>
          <w:sz w:val="20"/>
        </w:rPr>
      </w:pPr>
    </w:p>
    <w:p w:rsidR="00432386" w:rsidRDefault="00BE015C">
      <w:pPr>
        <w:pStyle w:val="Corpsdetexte"/>
        <w:spacing w:before="4"/>
        <w:ind w:start="0"/>
        <w:rPr>
          <w:sz w:val="21"/>
        </w:rPr>
      </w:pPr>
      <w:r>
        <w:pict>
          <v:rect id="docshape2" style="position:absolute;margin-left:1in;margin-top:13.5pt;width:2in;height:.7pt;z-index:-15728640;mso-wrap-distance-left:0;mso-wrap-distance-right:0;mso-position-horizontal-relative:page" o:spid="_x0000_s1047" fillcolor="black" stroked="f">
            <w10:wrap type="topAndBottom" anchorx="page"/>
          </v:rect>
        </w:pict>
      </w:r>
    </w:p>
    <w:p w:rsidR="00432386" w:rsidRDefault="00432386">
      <w:pPr>
        <w:pStyle w:val="Corpsdetexte"/>
        <w:spacing w:before="0"/>
        <w:ind w:start="0"/>
        <w:rPr>
          <w:sz w:val="20"/>
        </w:rPr>
      </w:pPr>
    </w:p>
    <w:p w:rsidR="00432386" w:rsidRDefault="00432386">
      <w:pPr>
        <w:pStyle w:val="Corpsdetexte"/>
        <w:spacing w:before="10"/>
        <w:ind w:start="0"/>
        <w:rPr>
          <w:sz w:val="24"/>
        </w:rPr>
      </w:pPr>
    </w:p>
    <w:p>
      <w:pPr>
        <w:spacing w:before="93"/>
        <w:ind w:start="160" w:end="832"/>
        <w:rPr>
          <w:sz w:val="20"/>
        </w:rPr>
      </w:pPr>
      <w:r>
        <w:rPr>
          <w:position w:val="6"/>
          <w:sz w:val="13"/>
        </w:rPr>
        <w:t xml:space="preserve">1 </w:t>
      </w:r>
      <w:r>
        <w:rPr>
          <w:sz w:val="20"/>
        </w:rPr>
        <w:t xml:space="preserve">Le genre fait référence aux rôles, comportements, activités, attributs et opportunités qu'une </w:t>
      </w:r>
      <w:r>
        <w:rPr>
          <w:sz w:val="20"/>
        </w:rPr>
        <w:t xml:space="preserve">société </w:t>
      </w:r>
      <w:r>
        <w:rPr>
          <w:sz w:val="20"/>
        </w:rPr>
        <w:t xml:space="preserve">considère comme appropriés pour les filles et les garçons, les femmes et les hommes (</w:t>
      </w:r>
      <w:hyperlink r:id="rId31">
        <w:r>
          <w:rPr>
            <w:color w:val="0000FF"/>
            <w:sz w:val="20"/>
            <w:u w:val="single" w:color="0000FF"/>
          </w:rPr>
          <w:t xml:space="preserve">Organisation mondiale de la santé, Health </w:t>
        </w:r>
      </w:hyperlink>
      <w:hyperlink r:id="rId32">
        <w:r>
          <w:rPr>
            <w:color w:val="0000FF"/>
            <w:sz w:val="20"/>
            <w:u w:val="single" w:color="0000FF"/>
          </w:rPr>
          <w:t xml:space="preserve">Topics :</w:t>
        </w:r>
        <w:r>
          <w:rPr>
            <w:color w:val="0000FF"/>
            <w:sz w:val="20"/>
            <w:u w:val="single" w:color="0000FF"/>
          </w:rPr>
          <w:t xml:space="preserve">Gender</w:t>
        </w:r>
      </w:hyperlink>
      <w:r>
        <w:rPr>
          <w:sz w:val="20"/>
        </w:rPr>
        <w:t xml:space="preserve">).</w:t>
      </w:r>
    </w:p>
    <w:p w:rsidR="00432386" w:rsidRDefault="00432386">
      <w:pPr>
        <w:rPr>
          <w:sz w:val="20"/>
        </w:rPr>
        <w:sectPr w:rsidR="00432386">
          <w:pgSz w:w="11910" w:h="16840"/>
          <w:pgMar w:top="1180" w:right="980" w:bottom="1380" w:left="1280" w:header="0" w:footer="1183" w:gutter="0"/>
          <w:cols w:space="720"/>
        </w:sectPr>
      </w:pPr>
    </w:p>
    <w:p>
      <w:pPr>
        <w:pStyle w:val="Corpsdetexte"/>
        <w:spacing w:before="78" w:line="276" w:lineRule="auto"/>
        <w:ind w:end="848"/>
      </w:pPr>
      <w:r>
        <w:lastRenderedPageBreak/>
        <w:t xml:space="preserve">et Staphorsius et al. 2015) ont fourni des preuves comparatives et les 7 autres études </w:t>
      </w:r>
      <w:r>
        <w:t xml:space="preserve">ont utilisé des </w:t>
      </w:r>
      <w:r>
        <w:t xml:space="preserve">comparaisons </w:t>
      </w:r>
      <w:r>
        <w:t xml:space="preserve">intra-personnelles, </w:t>
      </w:r>
      <w:r>
        <w:t xml:space="preserve">avant et </w:t>
      </w:r>
      <w:r>
        <w:t xml:space="preserve">après.</w:t>
      </w:r>
    </w:p>
    <w:p w:rsidR="00432386" w:rsidRDefault="00432386">
      <w:pPr>
        <w:pStyle w:val="Corpsdetexte"/>
        <w:spacing w:before="2"/>
        <w:ind w:start="0"/>
        <w:rPr>
          <w:sz w:val="25"/>
        </w:rPr>
      </w:pPr>
    </w:p>
    <w:p>
      <w:pPr>
        <w:pStyle w:val="Corpsdetexte"/>
        <w:spacing w:before="0" w:line="276" w:lineRule="auto"/>
        <w:ind w:end="481"/>
      </w:pPr>
      <w:r>
        <w:t xml:space="preserve">La terminologie utilisée dans ce domaine est en constante évolution et varie en fonction des </w:t>
      </w:r>
      <w:r>
        <w:t xml:space="preserve">perspectives des parties prenantes</w:t>
      </w:r>
      <w:r>
        <w:t xml:space="preserve">. Dans cette analyse des preuves, nous avons utilisé l'expression "</w:t>
      </w:r>
      <w:r>
        <w:t xml:space="preserve">sexe assigné à la </w:t>
      </w:r>
      <w:r>
        <w:t xml:space="preserve">personne à </w:t>
      </w:r>
      <w:r>
        <w:t xml:space="preserve">la naissance" plutôt que sexe natal ou biologique, </w:t>
      </w:r>
      <w:r>
        <w:t xml:space="preserve">analogues de l'</w:t>
      </w:r>
      <w:r>
        <w:t xml:space="preserve">hormone de libération de la gonadotrophine </w:t>
      </w:r>
      <w:r>
        <w:t xml:space="preserve">(GnRH) plutôt que "bloqueurs de puberté" et hormones d'affirmation du genre plutôt que </w:t>
      </w:r>
      <w:r>
        <w:t xml:space="preserve">"</w:t>
      </w:r>
      <w:r>
        <w:t xml:space="preserve">hormones</w:t>
      </w:r>
      <w:r>
        <w:t xml:space="preserve"> transsexuelles</w:t>
      </w:r>
      <w:r>
        <w:t xml:space="preserve">". Les études de recherche incluses dans cet examen des preuves peuvent utiliser des </w:t>
      </w:r>
      <w:r>
        <w:t xml:space="preserve">termes </w:t>
      </w:r>
      <w:r>
        <w:t xml:space="preserve">historiques </w:t>
      </w:r>
      <w:r>
        <w:t xml:space="preserve">qui </w:t>
      </w:r>
      <w:r>
        <w:t xml:space="preserve">ne sont plus </w:t>
      </w:r>
      <w:r>
        <w:t xml:space="preserve">considérés comme </w:t>
      </w:r>
      <w:r>
        <w:t xml:space="preserve">appropriés.</w:t>
      </w:r>
    </w:p>
    <w:p w:rsidR="00432386" w:rsidRDefault="00432386">
      <w:pPr>
        <w:pStyle w:val="Corpsdetexte"/>
        <w:spacing w:before="5"/>
        <w:ind w:start="0"/>
        <w:rPr>
          <w:sz w:val="25"/>
        </w:rPr>
      </w:pPr>
    </w:p>
    <w:p>
      <w:pPr>
        <w:spacing w:line="276" w:lineRule="auto"/>
        <w:ind w:start="160" w:end="545"/>
        <w:rPr>
          <w:b/>
        </w:rPr>
      </w:pPr>
      <w:r>
        <w:rPr>
          <w:b/>
        </w:rPr>
        <w:t xml:space="preserve">Chez les enfants et les adolescents souffrant de dysphorie de genre, quelle est l'efficacité clinique </w:t>
      </w:r>
      <w:r>
        <w:rPr>
          <w:b/>
        </w:rPr>
        <w:t xml:space="preserve">du traitement par les analogues de la GnRH par rapport à une ou une combinaison de </w:t>
      </w:r>
      <w:r>
        <w:rPr>
          <w:b/>
        </w:rPr>
        <w:t xml:space="preserve">soutien </w:t>
      </w:r>
      <w:r>
        <w:rPr>
          <w:b/>
        </w:rPr>
        <w:t xml:space="preserve">psychologique</w:t>
      </w:r>
      <w:r>
        <w:rPr>
          <w:b/>
        </w:rPr>
        <w:t xml:space="preserve">, de </w:t>
      </w:r>
      <w:r>
        <w:rPr>
          <w:b/>
        </w:rPr>
        <w:t xml:space="preserve">transition </w:t>
      </w:r>
      <w:r>
        <w:rPr>
          <w:b/>
        </w:rPr>
        <w:t xml:space="preserve">sociale </w:t>
      </w:r>
      <w:r>
        <w:rPr>
          <w:b/>
        </w:rPr>
        <w:t xml:space="preserve">vers </w:t>
      </w:r>
      <w:r>
        <w:rPr>
          <w:b/>
        </w:rPr>
        <w:t xml:space="preserve">le </w:t>
      </w:r>
      <w:r>
        <w:rPr>
          <w:b/>
        </w:rPr>
        <w:t xml:space="preserve">genre </w:t>
      </w:r>
      <w:r>
        <w:rPr>
          <w:b/>
        </w:rPr>
        <w:t xml:space="preserve">désiré </w:t>
      </w:r>
      <w:r>
        <w:rPr>
          <w:b/>
        </w:rPr>
        <w:t xml:space="preserve">ou d'</w:t>
      </w:r>
      <w:r>
        <w:rPr>
          <w:b/>
        </w:rPr>
        <w:t xml:space="preserve">aucune </w:t>
      </w:r>
      <w:r>
        <w:rPr>
          <w:b/>
        </w:rPr>
        <w:t xml:space="preserve">intervention ?</w:t>
      </w:r>
    </w:p>
    <w:p>
      <w:pPr>
        <w:pStyle w:val="Titre1"/>
        <w:spacing w:before="200"/>
      </w:pPr>
      <w:bookmarkStart w:name="_bookmark2" w:id="3"/>
      <w:bookmarkEnd w:id="3"/>
      <w:r>
        <w:rPr>
          <w:color w:val="4F81BC"/>
        </w:rPr>
        <w:t xml:space="preserve">Résultats </w:t>
      </w:r>
      <w:r>
        <w:rPr>
          <w:color w:val="4F81BC"/>
        </w:rPr>
        <w:t xml:space="preserve">critiques</w:t>
      </w:r>
    </w:p>
    <w:p w:rsidR="00432386" w:rsidRDefault="00432386">
      <w:pPr>
        <w:pStyle w:val="Corpsdetexte"/>
        <w:spacing w:before="10"/>
        <w:ind w:start="0"/>
        <w:rPr>
          <w:b/>
          <w:sz w:val="20"/>
        </w:rPr>
      </w:pPr>
    </w:p>
    <w:p>
      <w:pPr>
        <w:pStyle w:val="Corpsdetexte"/>
        <w:spacing w:before="1" w:line="278" w:lineRule="auto"/>
        <w:ind w:end="469"/>
      </w:pPr>
      <w:r>
        <w:t xml:space="preserve">Les résultats critiques pour la prise de décision sont l'impact sur la dysphorie de genre, la santé mentale </w:t>
      </w:r>
      <w:r>
        <w:t xml:space="preserve">et la qualité de vie. La qualité des preuves pour ces résultats a été évaluée comme un degré </w:t>
      </w:r>
      <w:r>
        <w:t xml:space="preserve">de certitude </w:t>
      </w:r>
      <w:r>
        <w:t xml:space="preserve">très faible </w:t>
      </w:r>
      <w:r>
        <w:t xml:space="preserve">en utilisant le système </w:t>
      </w:r>
      <w:r>
        <w:t xml:space="preserve">GRADE </w:t>
      </w:r>
      <w:r>
        <w:t xml:space="preserve">modifié</w:t>
      </w:r>
      <w:r>
        <w:t xml:space="preserve">.</w:t>
      </w:r>
    </w:p>
    <w:p>
      <w:pPr>
        <w:pStyle w:val="Titre2"/>
        <w:spacing w:before="192"/>
      </w:pPr>
      <w:r>
        <w:t xml:space="preserve">Impact </w:t>
      </w:r>
      <w:r>
        <w:t xml:space="preserve">sur la </w:t>
      </w:r>
      <w:r>
        <w:t xml:space="preserve">dysphorie de </w:t>
      </w:r>
      <w:r>
        <w:t xml:space="preserve">genre</w:t>
      </w:r>
    </w:p>
    <w:p>
      <w:pPr>
        <w:pStyle w:val="Corpsdetexte"/>
        <w:spacing w:before="40" w:line="276" w:lineRule="auto"/>
        <w:ind w:end="470"/>
      </w:pPr>
      <w:r>
        <w:t xml:space="preserve">L'</w:t>
      </w:r>
      <w:r>
        <w:t xml:space="preserve">étude menée par </w:t>
      </w:r>
      <w:hyperlink r:id="rId33">
        <w:r>
          <w:rPr>
            <w:color w:val="0000FF"/>
            <w:u w:val="single" w:color="0000FF"/>
          </w:rPr>
          <w:t xml:space="preserve">de Vries et al. en 2011 </w:t>
        </w:r>
      </w:hyperlink>
      <w:r>
        <w:t xml:space="preserve">auprès de 70 adolescents souffrant de dysphorie de genre a révélé que le </w:t>
      </w:r>
      <w:r>
        <w:t xml:space="preserve">traitement par des analogues de la GnRH avant de commencer à prendre des hormones d'affirmation du genre n'</w:t>
      </w:r>
      <w:r>
        <w:t xml:space="preserve">affecte</w:t>
      </w:r>
      <w:r>
        <w:t xml:space="preserve"> pas </w:t>
      </w:r>
      <w:r>
        <w:t xml:space="preserve">la </w:t>
      </w:r>
      <w:r>
        <w:t xml:space="preserve">dysphorie de genre (mesurée à l'aide de l'échelle de dysphorie de genre d'Utrecht [UGDS]). </w:t>
      </w:r>
      <w:r>
        <w:t xml:space="preserve">Le score </w:t>
      </w:r>
      <w:r>
        <w:t xml:space="preserve">moyen </w:t>
      </w:r>
      <w:r>
        <w:t xml:space="preserve">(±SD) de dysphorie de genre (UGDS) n'était pas statistiquement différent au départ </w:t>
      </w:r>
      <w:r>
        <w:t xml:space="preserve">par rapport </w:t>
      </w:r>
      <w:r>
        <w:t xml:space="preserve">au </w:t>
      </w:r>
      <w:r>
        <w:t xml:space="preserve">suivi </w:t>
      </w:r>
      <w:r>
        <w:t xml:space="preserve">(n=41, </w:t>
      </w:r>
      <w:r>
        <w:t xml:space="preserve">53,20 </w:t>
      </w:r>
      <w:r>
        <w:t xml:space="preserve">[±7,91] </w:t>
      </w:r>
      <w:r>
        <w:t xml:space="preserve">contre </w:t>
      </w:r>
      <w:r>
        <w:t xml:space="preserve">53,9 </w:t>
      </w:r>
      <w:r>
        <w:t xml:space="preserve">[±17,42], </w:t>
      </w:r>
      <w:r>
        <w:t xml:space="preserve">p=0,333).</w:t>
      </w:r>
    </w:p>
    <w:p w:rsidR="00432386" w:rsidRDefault="00432386">
      <w:pPr>
        <w:pStyle w:val="Corpsdetexte"/>
        <w:spacing w:before="2"/>
        <w:ind w:start="0"/>
        <w:rPr>
          <w:sz w:val="25"/>
        </w:rPr>
      </w:pPr>
    </w:p>
    <w:p>
      <w:pPr>
        <w:pStyle w:val="Titre2"/>
        <w:spacing w:before="1"/>
      </w:pPr>
      <w:r>
        <w:t xml:space="preserve">Impact </w:t>
      </w:r>
      <w:r>
        <w:t xml:space="preserve">sur la </w:t>
      </w:r>
      <w:r>
        <w:t xml:space="preserve">santé </w:t>
      </w:r>
      <w:r>
        <w:t xml:space="preserve">mentale</w:t>
      </w:r>
    </w:p>
    <w:p>
      <w:pPr>
        <w:pStyle w:val="Corpsdetexte"/>
        <w:spacing w:line="276" w:lineRule="auto"/>
        <w:ind w:end="472"/>
      </w:pPr>
      <w:r>
        <w:t xml:space="preserve">L'</w:t>
      </w:r>
      <w:r>
        <w:t xml:space="preserve">étude menée par </w:t>
      </w:r>
      <w:hyperlink r:id="rId34">
        <w:r>
          <w:rPr>
            <w:color w:val="0000FF"/>
            <w:u w:val="single" w:color="0000FF"/>
          </w:rPr>
          <w:t xml:space="preserve">de Vries et al. en 2011 </w:t>
        </w:r>
      </w:hyperlink>
      <w:r>
        <w:t xml:space="preserve">auprès de 70 adolescents souffrant de dysphorie de genre a révélé qu'un </w:t>
      </w:r>
      <w:r>
        <w:t xml:space="preserve">traitement aux analogues de la GnRH </w:t>
      </w:r>
      <w:r>
        <w:t xml:space="preserve">avant de commencer à prendre des hormones d'affirmation du genre peut réduire la </w:t>
      </w:r>
      <w:r>
        <w:t xml:space="preserve">dépression (mesurée à l'aide du Beck Depression Inventory-II [BDI-II]). Le </w:t>
      </w:r>
      <w:r>
        <w:t xml:space="preserve">score </w:t>
      </w:r>
      <w:r>
        <w:t xml:space="preserve">BDI moyen [±SD] </w:t>
      </w:r>
      <w:r>
        <w:t xml:space="preserve">était statistiquement significatif et inférieur (amélioré) par rapport au début de l'étude et au suivi </w:t>
      </w:r>
      <w:r>
        <w:t xml:space="preserve">(n=41, </w:t>
      </w:r>
      <w:r>
        <w:t xml:space="preserve">8,31 </w:t>
      </w:r>
      <w:r>
        <w:t xml:space="preserve">[±7,12] </w:t>
      </w:r>
      <w:r>
        <w:t xml:space="preserve">contre 4,95 </w:t>
      </w:r>
      <w:r>
        <w:t xml:space="preserve">[±6,72], </w:t>
      </w:r>
      <w:r>
        <w:t xml:space="preserve">p=0,004).</w:t>
      </w:r>
    </w:p>
    <w:p w:rsidR="00432386" w:rsidRDefault="00432386">
      <w:pPr>
        <w:pStyle w:val="Corpsdetexte"/>
        <w:spacing w:before="11"/>
        <w:ind w:start="0"/>
        <w:rPr>
          <w:sz w:val="26"/>
        </w:rPr>
      </w:pPr>
    </w:p>
    <w:p>
      <w:pPr>
        <w:pStyle w:val="Corpsdetexte"/>
        <w:spacing w:before="0" w:line="276" w:lineRule="auto"/>
        <w:ind w:end="533"/>
      </w:pPr>
      <w:r>
        <w:t xml:space="preserve">L'</w:t>
      </w:r>
      <w:r>
        <w:t xml:space="preserve">étude menée par </w:t>
      </w:r>
      <w:hyperlink r:id="rId35">
        <w:r>
          <w:rPr>
            <w:color w:val="0000FF"/>
            <w:u w:val="single" w:color="0000FF"/>
          </w:rPr>
          <w:t xml:space="preserve">de Vries et al. en 2011 </w:t>
        </w:r>
      </w:hyperlink>
      <w:r>
        <w:t xml:space="preserve">auprès de 70 adolescents souffrant de dysphorie de genre a révélé que le </w:t>
      </w:r>
      <w:r>
        <w:t xml:space="preserve">traitement par des analogues de la GnRH avant de </w:t>
      </w:r>
      <w:r>
        <w:t xml:space="preserve">commencer à prendre des hormones d'affirmation du genre n'a pas d'incidence sur la </w:t>
      </w:r>
      <w:r>
        <w:t xml:space="preserve">colère (mesurée à l'aide de l'échelle Trait Anger Scale [TPI]). Le score moyen [±SD] de colère (TPI) </w:t>
      </w:r>
      <w:r>
        <w:t xml:space="preserve">n'</w:t>
      </w:r>
      <w:r>
        <w:t xml:space="preserve">était </w:t>
      </w:r>
      <w:r>
        <w:t xml:space="preserve">pas statistiquement différent au départ par rapport au suivi (n=41, 18,29 </w:t>
      </w:r>
      <w:r>
        <w:t xml:space="preserve">[±5,54] </w:t>
      </w:r>
      <w:r>
        <w:t xml:space="preserve">contre 17,88 </w:t>
      </w:r>
      <w:r>
        <w:t xml:space="preserve">[±5,24], </w:t>
      </w:r>
      <w:r>
        <w:t xml:space="preserve">p=0,503).</w:t>
      </w:r>
    </w:p>
    <w:p w:rsidR="00432386" w:rsidRDefault="00432386">
      <w:pPr>
        <w:pStyle w:val="Corpsdetexte"/>
        <w:spacing w:before="2"/>
        <w:ind w:start="0"/>
        <w:rPr>
          <w:sz w:val="25"/>
        </w:rPr>
      </w:pPr>
    </w:p>
    <w:p>
      <w:pPr>
        <w:pStyle w:val="Corpsdetexte"/>
        <w:spacing w:before="1" w:line="276" w:lineRule="auto"/>
        <w:ind w:end="665"/>
      </w:pPr>
      <w:r>
        <w:t xml:space="preserve">L'</w:t>
      </w:r>
      <w:r>
        <w:t xml:space="preserve">étude menée par </w:t>
      </w:r>
      <w:hyperlink r:id="rId36">
        <w:r>
          <w:rPr>
            <w:color w:val="0000FF"/>
            <w:u w:val="single" w:color="0000FF"/>
          </w:rPr>
          <w:t xml:space="preserve">de Vries et al. en 2011 </w:t>
        </w:r>
      </w:hyperlink>
      <w:r>
        <w:t xml:space="preserve">auprès de 70 adolescents souffrant de dysphorie de genre a révélé que le </w:t>
      </w:r>
      <w:r>
        <w:t xml:space="preserve">traitement par des analogues de la GnRH avant de commencer à prendre des </w:t>
      </w:r>
      <w:r>
        <w:t xml:space="preserve">hormones </w:t>
      </w:r>
      <w:r>
        <w:t xml:space="preserve">d'affirmation du genre </w:t>
      </w:r>
      <w:r>
        <w:t xml:space="preserve">n'affecte pas l'</w:t>
      </w:r>
      <w:r>
        <w:t xml:space="preserve">anxiété (mesurée à l'aide de l'échelle d'anxiété de trait [STAI]). </w:t>
      </w:r>
      <w:r>
        <w:t xml:space="preserve">Le score </w:t>
      </w:r>
      <w:r>
        <w:t xml:space="preserve">moyen [±SD] </w:t>
      </w:r>
      <w:r>
        <w:t xml:space="preserve">d'</w:t>
      </w:r>
      <w:r>
        <w:t xml:space="preserve">anxiété (STAI) </w:t>
      </w:r>
      <w:r>
        <w:t xml:space="preserve">n'était pas statistiquement différent au départ par rapport au suivi (n=41, </w:t>
      </w:r>
      <w:r>
        <w:t xml:space="preserve">39,43 </w:t>
      </w:r>
      <w:r>
        <w:t xml:space="preserve">[±10,07] </w:t>
      </w:r>
      <w:r>
        <w:t xml:space="preserve">contre </w:t>
      </w:r>
      <w:r>
        <w:t xml:space="preserve">37,95 </w:t>
      </w:r>
      <w:r>
        <w:t xml:space="preserve">[±9,38], </w:t>
      </w:r>
      <w:r>
        <w:t xml:space="preserve">p=0,276).</w:t>
      </w:r>
    </w:p>
    <w:p w:rsidR="00432386" w:rsidRDefault="00432386">
      <w:pPr>
        <w:pStyle w:val="Corpsdetexte"/>
        <w:spacing w:before="5"/>
        <w:ind w:start="0"/>
        <w:rPr>
          <w:sz w:val="25"/>
        </w:rPr>
      </w:pPr>
    </w:p>
    <w:p>
      <w:pPr>
        <w:pStyle w:val="Titre2"/>
      </w:pPr>
      <w:r>
        <w:t xml:space="preserve">Impact </w:t>
      </w:r>
      <w:r>
        <w:t xml:space="preserve">sur la </w:t>
      </w:r>
      <w:r>
        <w:t xml:space="preserve">qualité </w:t>
      </w:r>
      <w:r>
        <w:t xml:space="preserve">de </w:t>
      </w:r>
      <w:r>
        <w:t xml:space="preserve">vie</w:t>
      </w:r>
    </w:p>
    <w:p>
      <w:pPr>
        <w:pStyle w:val="Corpsdetexte"/>
        <w:spacing w:before="40"/>
      </w:pPr>
      <w:r>
        <w:t xml:space="preserve">Aucune </w:t>
      </w:r>
      <w:r>
        <w:t xml:space="preserve">preuve </w:t>
      </w:r>
      <w:r>
        <w:t xml:space="preserve">n'a </w:t>
      </w:r>
      <w:r>
        <w:t xml:space="preserve">été </w:t>
      </w:r>
      <w:r>
        <w:t xml:space="preserve">identifiée.</w:t>
      </w:r>
    </w:p>
    <w:p w:rsidR="00432386" w:rsidRDefault="00432386">
      <w:pPr>
        <w:sectPr w:rsidR="00432386">
          <w:pgSz w:w="11910" w:h="16840"/>
          <w:pgMar w:top="1180" w:right="980" w:bottom="1460" w:left="1280" w:header="0" w:footer="1183" w:gutter="0"/>
          <w:cols w:space="720"/>
        </w:sectPr>
      </w:pPr>
    </w:p>
    <w:p>
      <w:pPr>
        <w:pStyle w:val="Titre1"/>
        <w:spacing w:before="69"/>
      </w:pPr>
      <w:bookmarkStart w:name="_bookmark3" w:id="4"/>
      <w:bookmarkEnd w:id="4"/>
      <w:r>
        <w:rPr>
          <w:color w:val="4F81BC"/>
        </w:rPr>
        <w:t xml:space="preserve">Résultats </w:t>
      </w:r>
      <w:r>
        <w:rPr>
          <w:color w:val="4F81BC"/>
        </w:rPr>
        <w:lastRenderedPageBreak/>
        <w:t xml:space="preserve">importants</w:t>
      </w:r>
    </w:p>
    <w:p w:rsidR="00432386" w:rsidRDefault="00432386">
      <w:pPr>
        <w:pStyle w:val="Corpsdetexte"/>
        <w:spacing w:before="10"/>
        <w:ind w:start="0"/>
        <w:rPr>
          <w:b/>
          <w:sz w:val="20"/>
        </w:rPr>
      </w:pPr>
    </w:p>
    <w:p>
      <w:pPr>
        <w:pStyle w:val="Corpsdetexte"/>
        <w:spacing w:before="0" w:line="276" w:lineRule="auto"/>
        <w:ind w:end="983"/>
      </w:pPr>
      <w:r>
        <w:t xml:space="preserve">Les résultats importants pour la prise de décision sont l'impact sur l'image corporelle, l'</w:t>
      </w:r>
      <w:r>
        <w:t xml:space="preserve">impact </w:t>
      </w:r>
      <w:r>
        <w:t xml:space="preserve">psychosocial</w:t>
      </w:r>
      <w:r>
        <w:t xml:space="preserve">, l'engagement avec les services de soins de santé, l'impact sur l'étendue de la </w:t>
      </w:r>
      <w:r>
        <w:t xml:space="preserve">chirurgie </w:t>
      </w:r>
      <w:r>
        <w:t xml:space="preserve">et la satisfaction à son égard </w:t>
      </w:r>
      <w:r>
        <w:t xml:space="preserve">et l'arrêt du traitement. La qualité des preuves pour tous ces résultats a été </w:t>
      </w:r>
      <w:r>
        <w:t xml:space="preserve">évaluée </w:t>
      </w:r>
      <w:r>
        <w:t xml:space="preserve">comme une </w:t>
      </w:r>
      <w:r>
        <w:t xml:space="preserve">certitude </w:t>
      </w:r>
      <w:r>
        <w:t xml:space="preserve">très </w:t>
      </w:r>
      <w:r>
        <w:t xml:space="preserve">faible </w:t>
      </w:r>
      <w:r>
        <w:t xml:space="preserve">en utilisant le </w:t>
      </w:r>
      <w:r>
        <w:t xml:space="preserve">GRADE </w:t>
      </w:r>
      <w:r>
        <w:t xml:space="preserve">modifié</w:t>
      </w:r>
      <w:r>
        <w:t xml:space="preserve">.</w:t>
      </w:r>
    </w:p>
    <w:p>
      <w:pPr>
        <w:pStyle w:val="Titre2"/>
        <w:spacing w:before="202"/>
      </w:pPr>
      <w:r>
        <w:t xml:space="preserve">Impact </w:t>
      </w:r>
      <w:r>
        <w:t xml:space="preserve">sur l'</w:t>
      </w:r>
      <w:r>
        <w:t xml:space="preserve">image </w:t>
      </w:r>
      <w:r>
        <w:t xml:space="preserve">corporelle</w:t>
      </w:r>
    </w:p>
    <w:p>
      <w:pPr>
        <w:pStyle w:val="Corpsdetexte"/>
        <w:spacing w:line="276" w:lineRule="auto"/>
        <w:ind w:end="605"/>
      </w:pPr>
      <w:r>
        <w:t xml:space="preserve">L'</w:t>
      </w:r>
      <w:r>
        <w:t xml:space="preserve">étude menée </w:t>
      </w:r>
      <w:r>
        <w:t xml:space="preserve">par </w:t>
      </w:r>
      <w:hyperlink r:id="rId37">
        <w:r>
          <w:rPr>
            <w:color w:val="0000FF"/>
            <w:u w:val="single" w:color="0000FF"/>
          </w:rPr>
          <w:t xml:space="preserve">de Vries et al. en 2011 </w:t>
        </w:r>
      </w:hyperlink>
      <w:r>
        <w:t xml:space="preserve">auprès de 70 adolescents souffrant de dysphorie de genre a révélé que le </w:t>
      </w:r>
      <w:r>
        <w:t xml:space="preserve">traitement par analogues de la GnRH avant de commencer à prendre des hormones d'affirmation du genre n'affecte pas l'</w:t>
      </w:r>
      <w:r>
        <w:t xml:space="preserve">image corporelle (mesurée à l'aide de l'échelle d'image corporelle [BIS]). </w:t>
      </w:r>
      <w:r>
        <w:t xml:space="preserve">Les scores </w:t>
      </w:r>
      <w:r>
        <w:t xml:space="preserve">moyens [±SD] </w:t>
      </w:r>
      <w:r>
        <w:t xml:space="preserve">de l</w:t>
      </w:r>
      <w:r>
        <w:t xml:space="preserve">'image corporelle </w:t>
      </w:r>
      <w:r>
        <w:t xml:space="preserve">(BIS) n'étaient pas statistiquement significativement différents entre le début et </w:t>
      </w:r>
      <w:r>
        <w:t xml:space="preserve">le </w:t>
      </w:r>
      <w:r>
        <w:t xml:space="preserve">suivi </w:t>
      </w:r>
      <w:r>
        <w:t xml:space="preserve">pour les </w:t>
      </w:r>
      <w:r>
        <w:t xml:space="preserve">caractéristiques </w:t>
      </w:r>
      <w:r>
        <w:t xml:space="preserve">sexuelles </w:t>
      </w:r>
      <w:r>
        <w:t xml:space="preserve">primaires </w:t>
      </w:r>
      <w:r>
        <w:t xml:space="preserve">(n=57, </w:t>
      </w:r>
      <w:r>
        <w:t xml:space="preserve">4,10 </w:t>
      </w:r>
      <w:r>
        <w:t xml:space="preserve">[±0,56] </w:t>
      </w:r>
      <w:r>
        <w:t xml:space="preserve">contre </w:t>
      </w:r>
      <w:r>
        <w:t xml:space="preserve">3,98 </w:t>
      </w:r>
      <w:r>
        <w:t xml:space="preserve">[±0,71], </w:t>
      </w:r>
      <w:r>
        <w:t xml:space="preserve">p=0,145),</w:t>
      </w:r>
    </w:p>
    <w:p>
      <w:pPr>
        <w:pStyle w:val="Corpsdetexte"/>
        <w:spacing w:before="0" w:line="253" w:lineRule="exact"/>
      </w:pPr>
      <w:r>
        <w:t xml:space="preserve">caractéristiques </w:t>
      </w:r>
      <w:r>
        <w:t xml:space="preserve">sexuelles </w:t>
      </w:r>
      <w:r>
        <w:t xml:space="preserve">secondaires </w:t>
      </w:r>
      <w:r>
        <w:t xml:space="preserve">(n=57, </w:t>
      </w:r>
      <w:r>
        <w:t xml:space="preserve">2,74 </w:t>
      </w:r>
      <w:r>
        <w:t xml:space="preserve">[±0,65] </w:t>
      </w:r>
      <w:r>
        <w:t xml:space="preserve">contre </w:t>
      </w:r>
      <w:r>
        <w:t xml:space="preserve">2,82 </w:t>
      </w:r>
      <w:r>
        <w:t xml:space="preserve">[±0,68], </w:t>
      </w:r>
      <w:r>
        <w:t xml:space="preserve">p=0,569) </w:t>
      </w:r>
      <w:r>
        <w:t xml:space="preserve">ou </w:t>
      </w:r>
      <w:r>
        <w:t xml:space="preserve">neutres.</w:t>
      </w:r>
    </w:p>
    <w:p>
      <w:pPr>
        <w:pStyle w:val="Corpsdetexte"/>
        <w:spacing w:before="41"/>
      </w:pPr>
      <w:r>
        <w:t xml:space="preserve">caractéristiques </w:t>
      </w:r>
      <w:r>
        <w:t xml:space="preserve">corporelles </w:t>
      </w:r>
      <w:r>
        <w:t xml:space="preserve">(n=57, </w:t>
      </w:r>
      <w:r>
        <w:t xml:space="preserve">2,41 </w:t>
      </w:r>
      <w:r>
        <w:t xml:space="preserve">[±0,63] </w:t>
      </w:r>
      <w:r>
        <w:t xml:space="preserve">contre </w:t>
      </w:r>
      <w:r>
        <w:t xml:space="preserve">2,47 </w:t>
      </w:r>
      <w:r>
        <w:t xml:space="preserve">[±0,56], </w:t>
      </w:r>
      <w:r>
        <w:t xml:space="preserve">p=0</w:t>
      </w:r>
      <w:r>
        <w:t xml:space="preserve">,620).</w:t>
      </w:r>
    </w:p>
    <w:p w:rsidR="00432386" w:rsidRDefault="00432386">
      <w:pPr>
        <w:pStyle w:val="Corpsdetexte"/>
        <w:spacing w:before="6"/>
        <w:ind w:start="0"/>
        <w:rPr>
          <w:sz w:val="20"/>
        </w:rPr>
      </w:pPr>
    </w:p>
    <w:p>
      <w:pPr>
        <w:pStyle w:val="Titre2"/>
      </w:pPr>
      <w:r>
        <w:t xml:space="preserve">Impact </w:t>
      </w:r>
      <w:r>
        <w:t xml:space="preserve">psychosocial</w:t>
      </w:r>
    </w:p>
    <w:p>
      <w:pPr>
        <w:pStyle w:val="Corpsdetexte"/>
        <w:spacing w:before="38" w:line="276" w:lineRule="auto"/>
        <w:ind w:end="583"/>
      </w:pPr>
      <w:r>
        <w:t xml:space="preserve">L'</w:t>
      </w:r>
      <w:r>
        <w:t xml:space="preserve">étude menée par </w:t>
      </w:r>
      <w:hyperlink r:id="rId38">
        <w:r>
          <w:rPr>
            <w:color w:val="0000FF"/>
            <w:u w:val="single" w:color="0000FF"/>
          </w:rPr>
          <w:t xml:space="preserve">de Vries et al. en 2011 </w:t>
        </w:r>
      </w:hyperlink>
      <w:r>
        <w:t xml:space="preserve">auprès de 70 adolescents souffrant de dysphorie de genre a révélé que le </w:t>
      </w:r>
      <w:r>
        <w:t xml:space="preserve">traitement par des analogues de la GnRH avant de commencer à prendre des hormones d'affirmation du genre peut améliorer l'</w:t>
      </w:r>
      <w:r>
        <w:t xml:space="preserve">impact psychosocial au fil du temps (mesuré à l'aide de l'échelle d'évaluation globale des enfants </w:t>
      </w:r>
      <w:r>
        <w:t xml:space="preserve">[CGAS]). Le score CGAS moyen [±SD] était statistiquement plus élevé (amélioré) </w:t>
      </w:r>
      <w:r>
        <w:t xml:space="preserve">par rapport </w:t>
      </w:r>
      <w:r>
        <w:t xml:space="preserve">au </w:t>
      </w:r>
      <w:r>
        <w:t xml:space="preserve">début de l'étude </w:t>
      </w:r>
      <w:r>
        <w:t xml:space="preserve">et au </w:t>
      </w:r>
      <w:r>
        <w:t xml:space="preserve">suivi </w:t>
      </w:r>
      <w:r>
        <w:t xml:space="preserve">(n=41, 70,24 </w:t>
      </w:r>
      <w:r>
        <w:t xml:space="preserve">[±10,12] </w:t>
      </w:r>
      <w:r>
        <w:t xml:space="preserve">contre </w:t>
      </w:r>
      <w:r>
        <w:t xml:space="preserve">73,90 </w:t>
      </w:r>
      <w:r>
        <w:t xml:space="preserve">[±9,63], </w:t>
      </w:r>
      <w:r>
        <w:t xml:space="preserve">p=0,005).</w:t>
      </w:r>
    </w:p>
    <w:p>
      <w:pPr>
        <w:pStyle w:val="Corpsdetexte"/>
        <w:spacing w:before="199" w:line="276" w:lineRule="auto"/>
        <w:ind w:end="531"/>
      </w:pPr>
      <w:r>
        <w:t xml:space="preserve">Cette étude a également montré que le fonctionnement psychosocial peut s'améliorer avec le temps (mesuré à l'aide de </w:t>
      </w:r>
      <w:r>
        <w:t xml:space="preserve">la Child Behaviour Checklist [CBCL] et du Youth Self-Report </w:t>
      </w:r>
      <w:r>
        <w:t xml:space="preserve">[YSR] </w:t>
      </w:r>
      <w:r>
        <w:t xml:space="preserve">auto-administré</w:t>
      </w:r>
      <w:r>
        <w:t xml:space="preserve">). </w:t>
      </w:r>
      <w:r>
        <w:t xml:space="preserve">Les scores moyens [±SD] de la CBCL étaient statistiquement significativement plus bas (améliorés) entre le début de l'étude </w:t>
      </w:r>
      <w:r>
        <w:t xml:space="preserve">et </w:t>
      </w:r>
      <w:r>
        <w:t xml:space="preserve">le </w:t>
      </w:r>
      <w:r>
        <w:t xml:space="preserve">suivi </w:t>
      </w:r>
      <w:r>
        <w:t xml:space="preserve">pour le </w:t>
      </w:r>
      <w:r>
        <w:t xml:space="preserve">score </w:t>
      </w:r>
      <w:r>
        <w:t xml:space="preserve">T </w:t>
      </w:r>
      <w:r>
        <w:t xml:space="preserve">total </w:t>
      </w:r>
      <w:r>
        <w:t xml:space="preserve">(n=54, </w:t>
      </w:r>
      <w:r>
        <w:t xml:space="preserve">60,70 </w:t>
      </w:r>
      <w:r>
        <w:t xml:space="preserve">[±12,76] </w:t>
      </w:r>
      <w:r>
        <w:t xml:space="preserve">contre </w:t>
      </w:r>
      <w:r>
        <w:t xml:space="preserve">54,46 </w:t>
      </w:r>
      <w:r>
        <w:t xml:space="preserve">[±11,23],</w:t>
      </w:r>
    </w:p>
    <w:p>
      <w:pPr>
        <w:pStyle w:val="Corpsdetexte"/>
        <w:spacing w:before="0"/>
      </w:pPr>
      <w:r>
        <w:t xml:space="preserve">p&lt;0,001), le </w:t>
      </w:r>
      <w:r>
        <w:t xml:space="preserve">score </w:t>
      </w:r>
      <w:r>
        <w:t xml:space="preserve">T </w:t>
      </w:r>
      <w:r>
        <w:t xml:space="preserve">d'</w:t>
      </w:r>
      <w:r>
        <w:t xml:space="preserve">internalisation </w:t>
      </w:r>
      <w:r>
        <w:t xml:space="preserve">(n=54</w:t>
      </w:r>
      <w:r>
        <w:t xml:space="preserve">, 61</w:t>
      </w:r>
      <w:r>
        <w:rPr>
          <w:spacing w:val="-2"/>
        </w:rPr>
        <w:t xml:space="preserve">,</w:t>
      </w:r>
      <w:r>
        <w:t xml:space="preserve">00 [</w:t>
      </w:r>
      <w:r>
        <w:rPr>
          <w:spacing w:val="-5"/>
        </w:rPr>
        <w:t xml:space="preserve">±12</w:t>
      </w:r>
      <w:r>
        <w:t xml:space="preserve">,21] </w:t>
      </w:r>
      <w:r>
        <w:t xml:space="preserve">contre 52</w:t>
      </w:r>
      <w:r>
        <w:rPr>
          <w:spacing w:val="-5"/>
        </w:rPr>
        <w:t xml:space="preserve">,</w:t>
      </w:r>
      <w:r>
        <w:t xml:space="preserve">17 [</w:t>
      </w:r>
      <w:r>
        <w:rPr>
          <w:spacing w:val="-5"/>
        </w:rPr>
        <w:t xml:space="preserve">±9</w:t>
      </w:r>
      <w:r>
        <w:t xml:space="preserve">,81], p&lt;0</w:t>
      </w:r>
      <w:r>
        <w:t xml:space="preserve">,001) et le score T d'</w:t>
      </w:r>
      <w:r>
        <w:t xml:space="preserve">internalisation (</w:t>
      </w:r>
      <w:r>
        <w:t xml:space="preserve">n=54</w:t>
      </w:r>
      <w:r>
        <w:t xml:space="preserve">, 61</w:t>
      </w:r>
      <w:r>
        <w:rPr>
          <w:spacing w:val="-2"/>
        </w:rPr>
        <w:t xml:space="preserve">,</w:t>
      </w:r>
      <w:r>
        <w:t xml:space="preserve">00 [</w:t>
      </w:r>
      <w:r>
        <w:rPr>
          <w:spacing w:val="-5"/>
        </w:rPr>
        <w:t xml:space="preserve">±12</w:t>
      </w:r>
      <w:r>
        <w:t xml:space="preserve">,21] </w:t>
      </w:r>
      <w:r>
        <w:t xml:space="preserve">contre 52</w:t>
      </w:r>
      <w:r>
        <w:rPr>
          <w:spacing w:val="-5"/>
        </w:rPr>
        <w:t xml:space="preserve">,</w:t>
      </w:r>
      <w:r>
        <w:t xml:space="preserve">17 [</w:t>
      </w:r>
      <w:r>
        <w:rPr>
          <w:spacing w:val="-5"/>
        </w:rPr>
        <w:t xml:space="preserve">±9</w:t>
      </w:r>
      <w:r>
        <w:t xml:space="preserve">,81], p&lt;0</w:t>
      </w:r>
      <w:r>
        <w:t xml:space="preserve">,001).</w:t>
      </w:r>
    </w:p>
    <w:p>
      <w:pPr>
        <w:pStyle w:val="Corpsdetexte"/>
        <w:spacing w:before="40" w:line="276" w:lineRule="auto"/>
        <w:ind w:end="717"/>
      </w:pPr>
      <w:r>
        <w:t xml:space="preserve">le score T d'extériorisation (n=54, 58,04 [±12,99] contre 53,81 [±11,86], p=0,001). </w:t>
      </w:r>
      <w:r>
        <w:t xml:space="preserve">Les scores YSR </w:t>
      </w:r>
      <w:r>
        <w:t xml:space="preserve">moyens </w:t>
      </w:r>
      <w:r>
        <w:t xml:space="preserve">[±SD] étaient statistiquement significativement plus bas (améliorés) par rapport </w:t>
      </w:r>
      <w:r>
        <w:t xml:space="preserve">au</w:t>
      </w:r>
      <w:r>
        <w:t xml:space="preserve"> début du </w:t>
      </w:r>
      <w:r>
        <w:t xml:space="preserve">suivi </w:t>
      </w:r>
      <w:r>
        <w:t xml:space="preserve">pour le </w:t>
      </w:r>
      <w:r>
        <w:t xml:space="preserve">score </w:t>
      </w:r>
      <w:r>
        <w:t xml:space="preserve">T </w:t>
      </w:r>
      <w:r>
        <w:t xml:space="preserve">total </w:t>
      </w:r>
      <w:r>
        <w:t xml:space="preserve">(n=54, </w:t>
      </w:r>
      <w:r>
        <w:t xml:space="preserve">55,46 </w:t>
      </w:r>
      <w:r>
        <w:t xml:space="preserve">[±11,56] </w:t>
      </w:r>
      <w:r>
        <w:t xml:space="preserve">contre </w:t>
      </w:r>
      <w:r>
        <w:t xml:space="preserve">50,00 </w:t>
      </w:r>
      <w:r>
        <w:t xml:space="preserve">[±10,56], </w:t>
      </w:r>
      <w:r>
        <w:t xml:space="preserve">p&lt;0,001),</w:t>
      </w:r>
    </w:p>
    <w:p>
      <w:pPr>
        <w:pStyle w:val="Corpsdetexte"/>
        <w:spacing w:before="0" w:line="251" w:lineRule="exact"/>
      </w:pPr>
      <w:r>
        <w:t xml:space="preserve">internalisants </w:t>
      </w:r>
      <w:r>
        <w:t xml:space="preserve">(</w:t>
      </w:r>
      <w:r>
        <w:t xml:space="preserve">n=54, </w:t>
      </w:r>
      <w:r>
        <w:t xml:space="preserve">56,04 </w:t>
      </w:r>
      <w:r>
        <w:t xml:space="preserve">[±12,49] </w:t>
      </w:r>
      <w:r>
        <w:t xml:space="preserve">contre </w:t>
      </w:r>
      <w:r>
        <w:t xml:space="preserve">49,78 </w:t>
      </w:r>
      <w:r>
        <w:t xml:space="preserve">[±11,63], </w:t>
      </w:r>
      <w:r>
        <w:t xml:space="preserve">p&lt;0,001) </w:t>
      </w:r>
      <w:r>
        <w:rPr>
          <w:spacing w:val="1"/>
        </w:rPr>
        <w:t xml:space="preserve">et </w:t>
      </w:r>
      <w:r>
        <w:t xml:space="preserve">externalisants.</w:t>
      </w:r>
    </w:p>
    <w:p>
      <w:pPr>
        <w:pStyle w:val="Corpsdetexte"/>
        <w:spacing w:before="38" w:line="276" w:lineRule="auto"/>
        <w:ind w:end="496"/>
      </w:pPr>
      <w:r>
        <w:t xml:space="preserve">T (n=54, 53,30 [±11,87] contre 49,98 [±9,35], p=0,009). La proportion d'adolescents dont </w:t>
      </w:r>
      <w:r>
        <w:t xml:space="preserve">le score se situe dans la fourchette clinique </w:t>
      </w:r>
      <w:r>
        <w:t xml:space="preserve">a diminué entre le début et la fin de l'étude sur l'</w:t>
      </w:r>
      <w:r>
        <w:t xml:space="preserve">échelle des </w:t>
      </w:r>
      <w:r>
        <w:t xml:space="preserve">problèmes totaux </w:t>
      </w:r>
      <w:r>
        <w:t xml:space="preserve">de la </w:t>
      </w:r>
      <w:r>
        <w:t xml:space="preserve">CBCL (</w:t>
      </w:r>
      <w:r>
        <w:t xml:space="preserve">44,4 % contre 22,2 %, p=0,001) et sur l'échelle d'internalisation de l'YSR (29,6 % contre </w:t>
      </w:r>
      <w:r>
        <w:t xml:space="preserve">11,1 %, </w:t>
      </w:r>
      <w:r>
        <w:t xml:space="preserve">p=0,017).</w:t>
      </w:r>
    </w:p>
    <w:p w:rsidR="00432386" w:rsidRDefault="00432386">
      <w:pPr>
        <w:pStyle w:val="Corpsdetexte"/>
        <w:spacing w:before="3"/>
        <w:ind w:start="0"/>
        <w:rPr>
          <w:sz w:val="25"/>
        </w:rPr>
      </w:pPr>
    </w:p>
    <w:p>
      <w:pPr>
        <w:pStyle w:val="Corpsdetexte"/>
        <w:spacing w:before="0" w:line="276" w:lineRule="auto"/>
        <w:ind w:end="517"/>
      </w:pPr>
      <w:r>
        <w:t xml:space="preserve">L'</w:t>
      </w:r>
      <w:r>
        <w:t xml:space="preserve">étude de </w:t>
      </w:r>
      <w:hyperlink r:id="rId39">
        <w:r>
          <w:rPr>
            <w:color w:val="0000FF"/>
            <w:u w:val="single" w:color="0000FF"/>
          </w:rPr>
          <w:t xml:space="preserve">Costa et al. 2015 </w:t>
        </w:r>
      </w:hyperlink>
      <w:r>
        <w:t xml:space="preserve">chez 201 adolescents atteints de dysphorie de genre qui ont bénéficié d'un </w:t>
      </w:r>
      <w:r>
        <w:t xml:space="preserve">soutien psychologique de </w:t>
      </w:r>
      <w:r>
        <w:t xml:space="preserve">6 mois </w:t>
      </w:r>
      <w:r>
        <w:t xml:space="preserve">suivi soit d'analogues de la GnRH et d'un </w:t>
      </w:r>
      <w:r>
        <w:t xml:space="preserve">soutien </w:t>
      </w:r>
      <w:r>
        <w:t xml:space="preserve">psychologique continu</w:t>
      </w:r>
      <w:r>
        <w:t xml:space="preserve">, soit d'un soutien psychologique continu uniquement, a révélé que pendant le traitement par les </w:t>
      </w:r>
      <w:r>
        <w:t xml:space="preserve">analogues de la </w:t>
      </w:r>
      <w:r>
        <w:t xml:space="preserve">GnRH, l</w:t>
      </w:r>
      <w:r>
        <w:t xml:space="preserve">'impact psychosocial en termes de fonctionnement global peut s'améliorer avec le temps </w:t>
      </w:r>
      <w:r>
        <w:t xml:space="preserve">(mesuré à l'aide du CGAS). Dans le groupe recevant des analogues de la GnRH, le </w:t>
      </w:r>
      <w:r>
        <w:t xml:space="preserve">score CGAS </w:t>
      </w:r>
      <w:r>
        <w:t xml:space="preserve">moyen [±SD] </w:t>
      </w:r>
      <w:r>
        <w:t xml:space="preserve">était statistiquement plus élevé (amélioré) après 6 mois (n=60, 64,70 </w:t>
      </w:r>
      <w:r>
        <w:t xml:space="preserve">[±13,34]) et 12 mois (n=35, 67,40 [±13,39]) par rapport au début du traitement (n=101, 58,72 </w:t>
      </w:r>
      <w:r>
        <w:t xml:space="preserve">[±11,38], p=0,003 et p&lt;0,001, respectivement). Cependant, il n'y a pas eu de </w:t>
      </w:r>
      <w:r>
        <w:t xml:space="preserve">différence </w:t>
      </w:r>
      <w:r>
        <w:t xml:space="preserve">statistiquement </w:t>
      </w:r>
      <w:r>
        <w:t xml:space="preserve">significative </w:t>
      </w:r>
      <w:r>
        <w:t xml:space="preserve">dans le fonctionnement global (scores CGAS) entre le groupe recevant des </w:t>
      </w:r>
      <w:r>
        <w:t xml:space="preserve">analogues de la </w:t>
      </w:r>
      <w:r>
        <w:t xml:space="preserve">GnRH </w:t>
      </w:r>
      <w:r>
        <w:t xml:space="preserve">et un soutien psychologique et le groupe recevant uniquement un soutien psychologique, </w:t>
      </w:r>
      <w:r>
        <w:t xml:space="preserve">quel que soit le moment.</w:t>
      </w:r>
    </w:p>
    <w:p w:rsidR="00432386" w:rsidRDefault="00432386">
      <w:pPr>
        <w:spacing w:line="276" w:lineRule="auto"/>
        <w:sectPr w:rsidR="00432386">
          <w:pgSz w:w="11910" w:h="16840"/>
          <w:pgMar w:top="1480" w:right="980" w:bottom="1460" w:left="1280" w:header="0" w:footer="1183" w:gutter="0"/>
          <w:cols w:space="720"/>
        </w:sectPr>
      </w:pPr>
    </w:p>
    <w:p>
      <w:pPr>
        <w:pStyle w:val="Corpsdetexte"/>
        <w:spacing w:before="69" w:line="276" w:lineRule="auto"/>
        <w:ind w:end="640"/>
      </w:pPr>
      <w:r>
        <w:lastRenderedPageBreak/>
        <w:t xml:space="preserve">L'étude de </w:t>
      </w:r>
      <w:hyperlink r:id="rId40">
        <w:r>
          <w:rPr>
            <w:color w:val="0000FF"/>
            <w:u w:val="single" w:color="0000FF"/>
          </w:rPr>
          <w:t xml:space="preserve">Staphorsius et al. 2015 </w:t>
        </w:r>
      </w:hyperlink>
      <w:r>
        <w:t xml:space="preserve">chez 40 adolescents atteints de dysphorie de genre (dont 20 </w:t>
      </w:r>
      <w:r>
        <w:t xml:space="preserve">recevaient des analogues de la GnRH) a donné les scores moyens [±SD] de la CBCL pour chaque groupe, mais </w:t>
      </w:r>
      <w:r>
        <w:t xml:space="preserve">l'analyse statistique n'est pas claire </w:t>
      </w:r>
      <w:r>
        <w:t xml:space="preserve">(transfemmes recevant des analogues de la GnRH 57.4 [±9,8], </w:t>
      </w:r>
      <w:r>
        <w:t xml:space="preserve">transfemmes ne recevant pas d'analogues de la GnRH 58,2 [±9,3], transmales recevant des </w:t>
      </w:r>
      <w:r>
        <w:t xml:space="preserve">analogues de la </w:t>
      </w:r>
      <w:r>
        <w:t xml:space="preserve">GnRH </w:t>
      </w:r>
      <w:r>
        <w:t xml:space="preserve">57,5 </w:t>
      </w:r>
      <w:r>
        <w:t xml:space="preserve">[±9,4], </w:t>
      </w:r>
      <w:r>
        <w:t xml:space="preserve">transmales </w:t>
      </w:r>
      <w:r>
        <w:t xml:space="preserve">ne </w:t>
      </w:r>
      <w:r>
        <w:t xml:space="preserve">recevant </w:t>
      </w:r>
      <w:r>
        <w:t xml:space="preserve">pas </w:t>
      </w:r>
      <w:r>
        <w:t xml:space="preserve">d'</w:t>
      </w:r>
      <w:r>
        <w:t xml:space="preserve">analogues de la </w:t>
      </w:r>
      <w:r>
        <w:t xml:space="preserve">GnRH </w:t>
      </w:r>
      <w:r>
        <w:t xml:space="preserve">63,9 </w:t>
      </w:r>
      <w:r>
        <w:t xml:space="preserve">[±10,5]).</w:t>
      </w:r>
    </w:p>
    <w:p w:rsidR="00432386" w:rsidRDefault="00432386">
      <w:pPr>
        <w:pStyle w:val="Corpsdetexte"/>
        <w:spacing w:before="2"/>
        <w:ind w:start="0"/>
        <w:rPr>
          <w:sz w:val="25"/>
        </w:rPr>
      </w:pPr>
    </w:p>
    <w:p>
      <w:pPr>
        <w:pStyle w:val="Titre2"/>
        <w:spacing w:before="1"/>
      </w:pPr>
      <w:r>
        <w:t xml:space="preserve">Engagement </w:t>
      </w:r>
      <w:r>
        <w:t xml:space="preserve">avec les </w:t>
      </w:r>
      <w:r>
        <w:t xml:space="preserve">services de </w:t>
      </w:r>
      <w:r>
        <w:t xml:space="preserve">soins de </w:t>
      </w:r>
      <w:r>
        <w:t xml:space="preserve">santé</w:t>
      </w:r>
    </w:p>
    <w:p>
      <w:pPr>
        <w:pStyle w:val="Corpsdetexte"/>
        <w:spacing w:line="276" w:lineRule="auto"/>
        <w:ind w:end="701"/>
      </w:pPr>
      <w:r>
        <w:t xml:space="preserve">L'étude de </w:t>
      </w:r>
      <w:hyperlink r:id="rId41">
        <w:r>
          <w:rPr>
            <w:color w:val="0000FF"/>
            <w:u w:val="single" w:color="0000FF"/>
          </w:rPr>
          <w:t xml:space="preserve">Brik et al. 2018 </w:t>
        </w:r>
      </w:hyperlink>
      <w:r>
        <w:t xml:space="preserve">chez 143 enfants et adolescents atteints de dysphorie de genre </w:t>
      </w:r>
      <w:r>
        <w:t xml:space="preserve">et recevant des analogues de la GnRH a révélé que 9 adolescents de la base de sondage initiale (9/214, </w:t>
      </w:r>
      <w:r>
        <w:t xml:space="preserve">4,2%</w:t>
      </w:r>
      <w:r>
        <w:t xml:space="preserve">) </w:t>
      </w:r>
      <w:r>
        <w:t xml:space="preserve">ont été </w:t>
      </w:r>
      <w:r>
        <w:t xml:space="preserve">exclus </w:t>
      </w:r>
      <w:r>
        <w:t xml:space="preserve">de l</w:t>
      </w:r>
      <w:r>
        <w:t xml:space="preserve">'</w:t>
      </w:r>
      <w:r>
        <w:t xml:space="preserve">étude </w:t>
      </w:r>
      <w:r>
        <w:t xml:space="preserve">parce qu'</w:t>
      </w:r>
      <w:r>
        <w:t xml:space="preserve">ils ont cessé de </w:t>
      </w:r>
      <w:r>
        <w:t xml:space="preserve">se présenter aux </w:t>
      </w:r>
      <w:r>
        <w:t xml:space="preserve">rendez-vous.</w:t>
      </w:r>
    </w:p>
    <w:p w:rsidR="00432386" w:rsidRDefault="00432386">
      <w:pPr>
        <w:pStyle w:val="Corpsdetexte"/>
        <w:spacing w:before="4"/>
        <w:ind w:start="0"/>
        <w:rPr>
          <w:sz w:val="25"/>
        </w:rPr>
      </w:pPr>
    </w:p>
    <w:p>
      <w:pPr>
        <w:pStyle w:val="Corpsdetexte"/>
        <w:spacing w:before="0" w:line="276" w:lineRule="auto"/>
        <w:ind w:end="467"/>
      </w:pPr>
      <w:r>
        <w:t xml:space="preserve">L'étude de </w:t>
      </w:r>
      <w:hyperlink r:id="rId42">
        <w:r>
          <w:rPr>
            <w:color w:val="0000FF"/>
            <w:u w:val="single" w:color="0000FF"/>
          </w:rPr>
          <w:t xml:space="preserve">Costa et al. 2015 </w:t>
        </w:r>
      </w:hyperlink>
      <w:r>
        <w:t xml:space="preserve">chez 201 adolescents atteints de dysphorie de genre qui ont eu 6 mois </w:t>
      </w:r>
      <w:r>
        <w:t xml:space="preserve">de soutien psychologique suivi soit d'analogues de la GnRH et d'un </w:t>
      </w:r>
      <w:r>
        <w:t xml:space="preserve">soutien </w:t>
      </w:r>
      <w:r>
        <w:t xml:space="preserve">psychologique continu</w:t>
      </w:r>
      <w:r>
        <w:t xml:space="preserve">, soit d'un soutien psychologique continu uniquement, a eu une grande perte de suivi dans le temps. La </w:t>
      </w:r>
      <w:r>
        <w:t xml:space="preserve">taille de l'échantillon au départ et à 6 mois était de 201, qui a chuté de 39,8% à 121 </w:t>
      </w:r>
      <w:r>
        <w:t xml:space="preserve">après 12 </w:t>
      </w:r>
      <w:r>
        <w:t xml:space="preserve">mois et de 64,7% à 71 après 18 mois de suivi. Aucune explication des raisons de la perte au </w:t>
      </w:r>
      <w:r>
        <w:t xml:space="preserve">suivi </w:t>
      </w:r>
      <w:r>
        <w:t xml:space="preserve">n'</w:t>
      </w:r>
      <w:r>
        <w:t xml:space="preserve">est </w:t>
      </w:r>
      <w:r>
        <w:t xml:space="preserve">rapportée.</w:t>
      </w:r>
    </w:p>
    <w:p w:rsidR="00432386" w:rsidRDefault="00432386">
      <w:pPr>
        <w:pStyle w:val="Corpsdetexte"/>
        <w:spacing w:before="5"/>
        <w:ind w:start="0"/>
        <w:rPr>
          <w:sz w:val="25"/>
        </w:rPr>
      </w:pPr>
    </w:p>
    <w:p>
      <w:pPr>
        <w:pStyle w:val="Titre2"/>
      </w:pPr>
      <w:r>
        <w:t xml:space="preserve">Impact </w:t>
      </w:r>
      <w:r>
        <w:t xml:space="preserve">sur l'</w:t>
      </w:r>
      <w:r>
        <w:t xml:space="preserve">étendue </w:t>
      </w:r>
      <w:r>
        <w:t xml:space="preserve">et la </w:t>
      </w:r>
      <w:r>
        <w:t xml:space="preserve">satisfaction de </w:t>
      </w:r>
      <w:r>
        <w:t xml:space="preserve">la </w:t>
      </w:r>
      <w:r>
        <w:t xml:space="preserve">chirurgie</w:t>
      </w:r>
    </w:p>
    <w:p>
      <w:pPr>
        <w:pStyle w:val="Corpsdetexte"/>
      </w:pPr>
      <w:r>
        <w:t xml:space="preserve">Aucune </w:t>
      </w:r>
      <w:r>
        <w:t xml:space="preserve">preuve </w:t>
      </w:r>
      <w:r>
        <w:t xml:space="preserve">n'a </w:t>
      </w:r>
      <w:r>
        <w:t xml:space="preserve">été </w:t>
      </w:r>
      <w:r>
        <w:t xml:space="preserve">identifiée.</w:t>
      </w:r>
    </w:p>
    <w:p w:rsidR="00432386" w:rsidRDefault="00432386">
      <w:pPr>
        <w:pStyle w:val="Corpsdetexte"/>
        <w:spacing w:before="8"/>
        <w:ind w:start="0"/>
        <w:rPr>
          <w:sz w:val="28"/>
        </w:rPr>
      </w:pPr>
    </w:p>
    <w:p>
      <w:pPr>
        <w:pStyle w:val="Titre2"/>
        <w:spacing w:before="1"/>
      </w:pPr>
      <w:r>
        <w:t xml:space="preserve">Arrêt du </w:t>
      </w:r>
      <w:r>
        <w:t xml:space="preserve">traitement</w:t>
      </w:r>
    </w:p>
    <w:p>
      <w:pPr>
        <w:pStyle w:val="Corpsdetexte"/>
        <w:spacing w:line="276" w:lineRule="auto"/>
        <w:ind w:end="490"/>
      </w:pPr>
      <w:r>
        <w:t xml:space="preserve">L'étude de </w:t>
      </w:r>
      <w:hyperlink r:id="rId43">
        <w:r>
          <w:rPr>
            <w:color w:val="0000FF"/>
            <w:u w:val="single" w:color="0000FF"/>
          </w:rPr>
          <w:t xml:space="preserve">Brik et al. 2018 </w:t>
        </w:r>
      </w:hyperlink>
      <w:r>
        <w:t xml:space="preserve">chez 143 enfants et adolescents atteints de dysphorie de genre </w:t>
      </w:r>
      <w:r>
        <w:t xml:space="preserve">et recevant des analogues de la GnRH a rapporté les raisons de l'arrêt des analogues de la GnRH. Au cours de la </w:t>
      </w:r>
      <w:r>
        <w:t xml:space="preserve">période de suivi, 6,2 % (9/143) des </w:t>
      </w:r>
      <w:r>
        <w:t xml:space="preserve">adolescents avaient arrêté les analogues de la GnRH après une </w:t>
      </w:r>
      <w:r>
        <w:t xml:space="preserve">durée </w:t>
      </w:r>
      <w:r>
        <w:t xml:space="preserve">médiane </w:t>
      </w:r>
      <w:r>
        <w:t xml:space="preserve">de </w:t>
      </w:r>
      <w:r>
        <w:t xml:space="preserve">0,8 </w:t>
      </w:r>
      <w:r>
        <w:t xml:space="preserve">an (intervalle de </w:t>
      </w:r>
      <w:r>
        <w:t xml:space="preserve">0,1 à </w:t>
      </w:r>
      <w:r>
        <w:t xml:space="preserve">3,0). </w:t>
      </w:r>
      <w:r>
        <w:t xml:space="preserve">Cinq </w:t>
      </w:r>
      <w:r>
        <w:t xml:space="preserve">adolescents ont </w:t>
      </w:r>
      <w:r>
        <w:t xml:space="preserve">arrêté le </w:t>
      </w:r>
      <w:r>
        <w:t xml:space="preserve">traitement </w:t>
      </w:r>
      <w:r>
        <w:t xml:space="preserve">parce qu'</w:t>
      </w:r>
      <w:r>
        <w:t xml:space="preserve">ils </w:t>
      </w:r>
      <w:r>
        <w:t xml:space="preserve">ne souhaitaient plus recevoir de traitement d'affirmation du genre pour diverses raisons. Chez 4 adolescents </w:t>
      </w:r>
      <w:r>
        <w:t xml:space="preserve">(tous transmaliens), les analogues de la GnRH ont été arrêtés principalement en raison d'effets indésirables </w:t>
      </w:r>
      <w:r>
        <w:rPr>
          <w:rFonts w:ascii="Calibri"/>
        </w:rPr>
        <w:t xml:space="preserve">(</w:t>
      </w:r>
      <w:r>
        <w:t xml:space="preserve">tels que l'</w:t>
      </w:r>
      <w:r>
        <w:t xml:space="preserve">humeur et la labilité émotionnelle), bien qu'ils aient souhaité poursuivre les traitements pour la </w:t>
      </w:r>
      <w:r>
        <w:t xml:space="preserve">dysphorie de </w:t>
      </w:r>
      <w:r>
        <w:t xml:space="preserve">genre</w:t>
      </w:r>
      <w:r>
        <w:t xml:space="preserve">.</w:t>
      </w:r>
    </w:p>
    <w:p w:rsidR="00432386" w:rsidRDefault="00432386">
      <w:pPr>
        <w:pStyle w:val="Corpsdetexte"/>
        <w:spacing w:before="3"/>
        <w:ind w:start="0"/>
        <w:rPr>
          <w:sz w:val="25"/>
        </w:rPr>
      </w:pPr>
    </w:p>
    <w:p>
      <w:pPr>
        <w:pStyle w:val="Corpsdetexte"/>
        <w:spacing w:before="0" w:line="276" w:lineRule="auto"/>
        <w:ind w:end="823"/>
      </w:pPr>
      <w:r>
        <w:t xml:space="preserve">L'étude de </w:t>
      </w:r>
      <w:hyperlink r:id="rId44">
        <w:r>
          <w:rPr>
            <w:color w:val="0000FF"/>
            <w:u w:val="single" w:color="0000FF"/>
          </w:rPr>
          <w:t xml:space="preserve">Khatchadourian et al. 2014 </w:t>
        </w:r>
      </w:hyperlink>
      <w:r>
        <w:t xml:space="preserve">chez 27 adolescents atteints de dysphorie de genre qui </w:t>
      </w:r>
      <w:r>
        <w:t xml:space="preserve">ont commencé les analogues de la GnRH a rapporté les raisons de leur arrêt. Onze sur les 26 pour lesquels les </w:t>
      </w:r>
      <w:r>
        <w:t xml:space="preserve">données </w:t>
      </w:r>
      <w:r>
        <w:t xml:space="preserve">étaient </w:t>
      </w:r>
      <w:r>
        <w:t xml:space="preserve">disponibles (42%) ont </w:t>
      </w:r>
      <w:r>
        <w:t xml:space="preserve">arrêté les </w:t>
      </w:r>
      <w:r>
        <w:t xml:space="preserve">analogues de la </w:t>
      </w:r>
      <w:r>
        <w:t xml:space="preserve">GnRH </w:t>
      </w:r>
      <w:r>
        <w:t xml:space="preserve">au cours du </w:t>
      </w:r>
      <w:r>
        <w:t xml:space="preserve">suivi.</w:t>
      </w:r>
    </w:p>
    <w:p w:rsidR="00432386" w:rsidRDefault="00432386">
      <w:pPr>
        <w:pStyle w:val="Corpsdetexte"/>
        <w:spacing w:before="3"/>
        <w:ind w:start="0"/>
        <w:rPr>
          <w:sz w:val="25"/>
        </w:rPr>
      </w:pPr>
    </w:p>
    <w:p>
      <w:pPr>
        <w:pStyle w:val="Titre2"/>
        <w:spacing w:before="1" w:line="276" w:lineRule="auto"/>
        <w:ind w:end="497"/>
      </w:pPr>
      <w:r>
        <w:t xml:space="preserve">Chez les enfants et les adolescents souffrant de dysphorie de genre, quelle est la </w:t>
      </w:r>
      <w:r>
        <w:t xml:space="preserve">sécurité à </w:t>
      </w:r>
      <w:r>
        <w:t xml:space="preserve">court et à long terme </w:t>
      </w:r>
      <w:r>
        <w:t xml:space="preserve">des analogues de la GnRH par rapport à un </w:t>
      </w:r>
      <w:r>
        <w:t xml:space="preserve">soutien </w:t>
      </w:r>
      <w:r>
        <w:t xml:space="preserve">psychologique ou à une combinaison de soutien psychologique</w:t>
      </w:r>
      <w:r>
        <w:t xml:space="preserve">, à la </w:t>
      </w:r>
      <w:r>
        <w:t xml:space="preserve">transition </w:t>
      </w:r>
      <w:r>
        <w:t xml:space="preserve">sociale </w:t>
      </w:r>
      <w:r>
        <w:t xml:space="preserve">vers </w:t>
      </w:r>
      <w:r>
        <w:t xml:space="preserve">le </w:t>
      </w:r>
      <w:r>
        <w:t xml:space="preserve">genre </w:t>
      </w:r>
      <w:r>
        <w:t xml:space="preserve">désiré </w:t>
      </w:r>
      <w:r>
        <w:t xml:space="preserve">ou à l'</w:t>
      </w:r>
      <w:r>
        <w:t xml:space="preserve">absence d'</w:t>
      </w:r>
      <w:r>
        <w:t xml:space="preserve">intervention ?</w:t>
      </w:r>
    </w:p>
    <w:p>
      <w:pPr>
        <w:pStyle w:val="Corpsdetexte"/>
        <w:spacing w:before="200" w:line="276" w:lineRule="auto"/>
        <w:ind w:end="665"/>
      </w:pPr>
      <w:r>
        <w:t xml:space="preserve">Des preuves étaient disponibles pour la densité osseuse, le développement ou le fonctionnement cognitif, et d'autres </w:t>
      </w:r>
      <w:r>
        <w:t xml:space="preserve">résultats de sécurité. La qualité des preuves pour tous ces résultats a été évaluée comme étant de très faible </w:t>
      </w:r>
      <w:r>
        <w:t xml:space="preserve">certitude en utilisant le </w:t>
      </w:r>
      <w:r>
        <w:t xml:space="preserve">GRADE </w:t>
      </w:r>
      <w:r>
        <w:t xml:space="preserve">modifié</w:t>
      </w:r>
      <w:r>
        <w:t xml:space="preserve">.</w:t>
      </w:r>
    </w:p>
    <w:p>
      <w:pPr>
        <w:pStyle w:val="Titre2"/>
        <w:spacing w:before="200"/>
        <w:jc w:val="both"/>
      </w:pPr>
      <w:r>
        <w:t xml:space="preserve">Densité </w:t>
      </w:r>
      <w:r>
        <w:t xml:space="preserve">osseuse</w:t>
      </w:r>
    </w:p>
    <w:p>
      <w:pPr>
        <w:pStyle w:val="Corpsdetexte"/>
        <w:spacing w:before="38" w:line="276" w:lineRule="auto"/>
        <w:ind w:end="602"/>
        <w:jc w:val="both"/>
      </w:pPr>
      <w:r>
        <w:t xml:space="preserve">L'</w:t>
      </w:r>
      <w:r>
        <w:t xml:space="preserve">étude de </w:t>
      </w:r>
      <w:hyperlink r:id="rId45">
        <w:r>
          <w:rPr>
            <w:color w:val="0000FF"/>
            <w:u w:val="single" w:color="0000FF"/>
          </w:rPr>
          <w:t xml:space="preserve">Joseph et al. 2019 </w:t>
        </w:r>
      </w:hyperlink>
      <w:r>
        <w:t xml:space="preserve">sur 70 adolescents souffrant de dysphorie de genre a révélé que les </w:t>
      </w:r>
      <w:r>
        <w:t xml:space="preserve">analogues de la </w:t>
      </w:r>
      <w:r>
        <w:t xml:space="preserve">GnRH </w:t>
      </w:r>
      <w:r>
        <w:t xml:space="preserve">peuvent réduire l'augmentation attendue de la </w:t>
      </w:r>
      <w:r>
        <w:t xml:space="preserve">densité osseuse </w:t>
      </w:r>
      <w:r>
        <w:t xml:space="preserve">lombaire ou fémorale </w:t>
      </w:r>
      <w:r>
        <w:t xml:space="preserve">(mesurée </w:t>
      </w:r>
      <w:r>
        <w:t xml:space="preserve">par </w:t>
      </w:r>
      <w:r>
        <w:t xml:space="preserve">le </w:t>
      </w:r>
      <w:r>
        <w:t xml:space="preserve">z-score). </w:t>
      </w:r>
      <w:r>
        <w:t xml:space="preserve">Cependant, </w:t>
      </w:r>
      <w:r>
        <w:t xml:space="preserve">les </w:t>
      </w:r>
      <w:r>
        <w:t xml:space="preserve">z-scores </w:t>
      </w:r>
      <w:r>
        <w:t xml:space="preserve">se </w:t>
      </w:r>
      <w:r>
        <w:t xml:space="preserve">situaient </w:t>
      </w:r>
      <w:r>
        <w:t xml:space="preserve">largement </w:t>
      </w:r>
      <w:r>
        <w:t xml:space="preserve">dans </w:t>
      </w:r>
      <w:r>
        <w:t xml:space="preserve">un </w:t>
      </w:r>
      <w:r>
        <w:t xml:space="preserve">écart-type </w:t>
      </w:r>
      <w:r>
        <w:t xml:space="preserve">de la </w:t>
      </w:r>
      <w:r>
        <w:t xml:space="preserve">normale,</w:t>
      </w:r>
    </w:p>
    <w:p w:rsidR="00432386" w:rsidRDefault="00432386">
      <w:pPr>
        <w:spacing w:line="276" w:lineRule="auto"/>
        <w:jc w:val="both"/>
        <w:sectPr w:rsidR="00432386">
          <w:pgSz w:w="11910" w:h="16840"/>
          <w:pgMar w:top="1480" w:right="980" w:bottom="1460" w:left="1280" w:header="0" w:footer="1183" w:gutter="0"/>
          <w:cols w:space="720"/>
        </w:sectPr>
      </w:pPr>
    </w:p>
    <w:p>
      <w:pPr>
        <w:pStyle w:val="Corpsdetexte"/>
        <w:spacing w:before="78" w:line="278" w:lineRule="auto"/>
        <w:ind w:end="579"/>
      </w:pPr>
      <w:r>
        <w:lastRenderedPageBreak/>
        <w:t xml:space="preserve">et les valeurs réelles de densité osseuse lombaire ou fémorale n'étaient pas statistiquement significativement différentes </w:t>
      </w:r>
      <w:r>
        <w:t xml:space="preserve">entre le </w:t>
      </w:r>
      <w:r>
        <w:t xml:space="preserve">début et le </w:t>
      </w:r>
      <w:r>
        <w:t xml:space="preserve">suivi :</w:t>
      </w:r>
    </w:p>
    <w:p>
      <w:pPr>
        <w:pStyle w:val="Paragraphedeliste"/>
        <w:numPr>
          <w:ilvl w:val="0"/>
          <w:numId w:val="187"/>
        </w:numPr>
        <w:tabs>
          <w:tab w:val="left" w:pos="880"/>
          <w:tab w:val="left" w:pos="881"/>
        </w:tabs>
        <w:spacing w:before="193" w:line="273" w:lineRule="auto"/>
        <w:ind w:end="555"/>
      </w:pPr>
      <w:r>
        <w:t xml:space="preserve">Le z-score moyen [±SD] de la densité minérale apparente osseuse (DMAO) lombaire était </w:t>
      </w:r>
      <w:r>
        <w:t xml:space="preserve">statistiquement inférieur à 1 an par rapport au départ chez les transfemmes </w:t>
      </w:r>
      <w:r>
        <w:t xml:space="preserve">(départ </w:t>
      </w:r>
      <w:r>
        <w:t xml:space="preserve">0,859 </w:t>
      </w:r>
      <w:r>
        <w:t xml:space="preserve">[±0,154], </w:t>
      </w:r>
      <w:r>
        <w:t xml:space="preserve">1 </w:t>
      </w:r>
      <w:r>
        <w:t xml:space="preserve">an </w:t>
      </w:r>
      <w:r>
        <w:t xml:space="preserve">-0,228 </w:t>
      </w:r>
      <w:r>
        <w:t xml:space="preserve">[±1,027], </w:t>
      </w:r>
      <w:r>
        <w:t xml:space="preserve">p=0,000) </w:t>
      </w:r>
      <w:r>
        <w:t xml:space="preserve">et les </w:t>
      </w:r>
      <w:r>
        <w:t xml:space="preserve">transmales </w:t>
      </w:r>
      <w:r>
        <w:t xml:space="preserve">(départ</w:t>
      </w:r>
    </w:p>
    <w:p>
      <w:pPr>
        <w:pStyle w:val="Corpsdetexte"/>
        <w:spacing w:before="5"/>
        <w:ind w:start="880"/>
      </w:pPr>
      <w:r>
        <w:t xml:space="preserve">-0,186 </w:t>
      </w:r>
      <w:r>
        <w:t xml:space="preserve">[±1,230], </w:t>
      </w:r>
      <w:r>
        <w:t xml:space="preserve">1 </w:t>
      </w:r>
      <w:r>
        <w:t xml:space="preserve">an </w:t>
      </w:r>
      <w:r>
        <w:t xml:space="preserve">-0,541 </w:t>
      </w:r>
      <w:r>
        <w:t xml:space="preserve">[±1,396], </w:t>
      </w:r>
      <w:r>
        <w:t xml:space="preserve">p=0,006).</w:t>
      </w:r>
    </w:p>
    <w:p>
      <w:pPr>
        <w:pStyle w:val="Paragraphedeliste"/>
        <w:numPr>
          <w:ilvl w:val="0"/>
          <w:numId w:val="187"/>
        </w:numPr>
        <w:tabs>
          <w:tab w:val="left" w:pos="880"/>
          <w:tab w:val="left" w:pos="881"/>
        </w:tabs>
        <w:spacing w:line="276" w:lineRule="auto"/>
        <w:ind w:end="766"/>
      </w:pPr>
      <w:r>
        <w:t xml:space="preserve">Le </w:t>
      </w:r>
      <w:r>
        <w:t xml:space="preserve">z-score moyen [±SD] pour la BMAD lombaire était statistiquement plus bas après avoir </w:t>
      </w:r>
      <w:r>
        <w:t xml:space="preserve">reçu des analogues de la GnRH pendant 2 ans par rapport à la ligne de base chez les transfemmes </w:t>
      </w:r>
      <w:r>
        <w:t xml:space="preserve">(ligne de base 0,486 [±0,809], 2 ans -0,279 [±0,930</w:t>
      </w:r>
      <w:r>
        <w:t xml:space="preserve">], p=0,000) et les transmales </w:t>
      </w:r>
      <w:r>
        <w:t xml:space="preserve">(ligne de base </w:t>
      </w:r>
      <w:r>
        <w:t xml:space="preserve">-0,361 </w:t>
      </w:r>
      <w:r>
        <w:t xml:space="preserve">[±1,439], </w:t>
      </w:r>
      <w:r>
        <w:t xml:space="preserve">2 </w:t>
      </w:r>
      <w:r>
        <w:t xml:space="preserve">ans </w:t>
      </w:r>
      <w:r>
        <w:t xml:space="preserve">-0,913 </w:t>
      </w:r>
      <w:r>
        <w:t xml:space="preserve">[±1,318], </w:t>
      </w:r>
      <w:r>
        <w:t xml:space="preserve">p=0,001).</w:t>
      </w:r>
    </w:p>
    <w:p>
      <w:pPr>
        <w:pStyle w:val="Paragraphedeliste"/>
        <w:numPr>
          <w:ilvl w:val="0"/>
          <w:numId w:val="187"/>
        </w:numPr>
        <w:tabs>
          <w:tab w:val="left" w:pos="880"/>
          <w:tab w:val="left" w:pos="881"/>
        </w:tabs>
        <w:spacing w:before="0" w:line="276" w:lineRule="auto"/>
        <w:ind w:end="578"/>
      </w:pPr>
      <w:r>
        <w:t xml:space="preserve">Le z-score moyen [±SD] de la densité minérale osseuse (DMO) du col du fémur était </w:t>
      </w:r>
      <w:r>
        <w:t xml:space="preserve">significativement plus bas après avoir reçu des analogues de la GnRH pendant 2 ans par </w:t>
      </w:r>
      <w:r>
        <w:t xml:space="preserve">rapport à la ligne de base </w:t>
      </w:r>
      <w:r>
        <w:t xml:space="preserve">chez les transfemmes (ligne de base 0,0450 [±0,781], 2 ans -0,600 [±1,059], </w:t>
      </w:r>
      <w:r>
        <w:t xml:space="preserve">p=0,002) et les transmales (ligne de base -1,075 [±1,145], 2 ans -1,779 [±0,816], </w:t>
      </w:r>
      <w:r>
        <w:t xml:space="preserve">p=0,001).</w:t>
      </w:r>
    </w:p>
    <w:p w:rsidR="00432386" w:rsidRDefault="00432386">
      <w:pPr>
        <w:pStyle w:val="Corpsdetexte"/>
        <w:spacing w:before="8"/>
        <w:ind w:start="0"/>
        <w:rPr>
          <w:sz w:val="24"/>
        </w:rPr>
      </w:pPr>
    </w:p>
    <w:p>
      <w:pPr>
        <w:pStyle w:val="Corpsdetexte"/>
        <w:spacing w:before="0" w:line="276" w:lineRule="auto"/>
        <w:ind w:end="477"/>
      </w:pPr>
      <w:r>
        <w:t xml:space="preserve">L'</w:t>
      </w:r>
      <w:r>
        <w:t xml:space="preserve">étude de </w:t>
      </w:r>
      <w:hyperlink r:id="rId46">
        <w:r>
          <w:rPr>
            <w:color w:val="0000FF"/>
            <w:u w:val="single" w:color="0000FF"/>
          </w:rPr>
          <w:t xml:space="preserve">Klink et al. 2015 </w:t>
        </w:r>
      </w:hyperlink>
      <w:r>
        <w:t xml:space="preserve">chez 34 adolescents souffrant de dysphorie de genre a révélé que les </w:t>
      </w:r>
      <w:r>
        <w:t xml:space="preserve">analogues de la </w:t>
      </w:r>
      <w:r>
        <w:t xml:space="preserve">GnRH </w:t>
      </w:r>
      <w:r>
        <w:t xml:space="preserve">peuvent réduire l'augmentation attendue de la </w:t>
      </w:r>
      <w:r>
        <w:t xml:space="preserve">densité </w:t>
      </w:r>
      <w:r>
        <w:t xml:space="preserve">osseuse </w:t>
      </w:r>
      <w:r>
        <w:t xml:space="preserve">lombaire (transmales uniquement), mais pas fémorale</w:t>
      </w:r>
      <w:r>
        <w:t xml:space="preserve">. </w:t>
      </w:r>
      <w:r>
        <w:t xml:space="preserve">Cependant, </w:t>
      </w:r>
      <w:r>
        <w:t xml:space="preserve">les </w:t>
      </w:r>
      <w:r>
        <w:t xml:space="preserve">scores z </w:t>
      </w:r>
      <w:r>
        <w:t xml:space="preserve">se situent </w:t>
      </w:r>
      <w:r>
        <w:t xml:space="preserve">largement </w:t>
      </w:r>
      <w:r>
        <w:t xml:space="preserve">dans </w:t>
      </w:r>
      <w:r>
        <w:t xml:space="preserve">un </w:t>
      </w:r>
      <w:r>
        <w:t xml:space="preserve">écart-type </w:t>
      </w:r>
      <w:r>
        <w:t xml:space="preserve">de la </w:t>
      </w:r>
      <w:r>
        <w:t xml:space="preserve">normale. </w:t>
      </w:r>
      <w:r>
        <w:t xml:space="preserve">Les valeurs </w:t>
      </w:r>
      <w:r>
        <w:t xml:space="preserve">réelles </w:t>
      </w:r>
      <w:r>
        <w:t xml:space="preserve">de la densité osseuse lombaire ou fémorale n'étaient pas statistiquement significativement différentes entre le </w:t>
      </w:r>
      <w:r>
        <w:t xml:space="preserve">début de l'étude </w:t>
      </w:r>
      <w:r>
        <w:t xml:space="preserve">et le </w:t>
      </w:r>
      <w:r>
        <w:t xml:space="preserve">suivi </w:t>
      </w:r>
      <w:r>
        <w:t xml:space="preserve">(à l'exception </w:t>
      </w:r>
      <w:r>
        <w:t xml:space="preserve">des </w:t>
      </w:r>
      <w:r>
        <w:t xml:space="preserve">mesures de la </w:t>
      </w:r>
      <w:r>
        <w:t xml:space="preserve">DMO </w:t>
      </w:r>
      <w:r>
        <w:t xml:space="preserve">chez les </w:t>
      </w:r>
      <w:r>
        <w:t xml:space="preserve">transmales) :</w:t>
      </w:r>
    </w:p>
    <w:p>
      <w:pPr>
        <w:pStyle w:val="Paragraphedeliste"/>
        <w:numPr>
          <w:ilvl w:val="0"/>
          <w:numId w:val="187"/>
        </w:numPr>
        <w:tabs>
          <w:tab w:val="left" w:pos="880"/>
          <w:tab w:val="left" w:pos="881"/>
        </w:tabs>
        <w:spacing w:before="199" w:line="276" w:lineRule="auto"/>
        <w:ind w:end="602"/>
      </w:pPr>
      <w:r>
        <w:t xml:space="preserve">Le z-score moyen [±SD] pour la BMAD lombaire n'était pas statistiquement différent </w:t>
      </w:r>
      <w:r>
        <w:t xml:space="preserve">entre le </w:t>
      </w:r>
      <w:r>
        <w:t xml:space="preserve">début de l'administration des analogues de la GnRH et le début de l'administration des hormones d'affirmation du genre chez les </w:t>
      </w:r>
      <w:r>
        <w:t xml:space="preserve">transfemmes, mais il était statistiquement plus bas lors du début de l'administration des </w:t>
      </w:r>
      <w:r>
        <w:t xml:space="preserve">hormones </w:t>
      </w:r>
      <w:r>
        <w:t xml:space="preserve">d'affirmation du genre </w:t>
      </w:r>
      <w:r>
        <w:t xml:space="preserve">chez les </w:t>
      </w:r>
      <w:r>
        <w:t xml:space="preserve">transmales </w:t>
      </w:r>
      <w:r>
        <w:t xml:space="preserve">(</w:t>
      </w:r>
      <w:r>
        <w:t xml:space="preserve">analogues de la </w:t>
      </w:r>
      <w:r>
        <w:t xml:space="preserve">GnRH : </w:t>
      </w:r>
      <w:r>
        <w:t xml:space="preserve">0,28 </w:t>
      </w:r>
      <w:r>
        <w:t xml:space="preserve">[±0,90], </w:t>
      </w:r>
      <w:r>
        <w:t xml:space="preserve">hormones d'</w:t>
      </w:r>
      <w:r>
        <w:t xml:space="preserve">affirmation du genre : 0,28 [</w:t>
      </w:r>
      <w:r>
        <w:t xml:space="preserve">±0,90]).</w:t>
      </w:r>
    </w:p>
    <w:p>
      <w:pPr>
        <w:pStyle w:val="Corpsdetexte"/>
        <w:spacing w:before="1"/>
        <w:ind w:start="880"/>
      </w:pPr>
      <w:r>
        <w:t xml:space="preserve">−0.50 </w:t>
      </w:r>
      <w:r>
        <w:t xml:space="preserve">[±0.81], </w:t>
      </w:r>
      <w:r>
        <w:t xml:space="preserve">p=0.004).</w:t>
      </w:r>
    </w:p>
    <w:p w:rsidR="00432386" w:rsidRDefault="00432386">
      <w:pPr>
        <w:pStyle w:val="Corpsdetexte"/>
        <w:spacing w:before="4"/>
        <w:ind w:start="0"/>
        <w:rPr>
          <w:sz w:val="20"/>
        </w:rPr>
      </w:pPr>
    </w:p>
    <w:p>
      <w:pPr>
        <w:pStyle w:val="Corpsdetexte"/>
        <w:spacing w:before="0" w:line="276" w:lineRule="auto"/>
        <w:ind w:end="542"/>
      </w:pPr>
      <w:r>
        <w:t xml:space="preserve">L'</w:t>
      </w:r>
      <w:r>
        <w:t xml:space="preserve">étude de </w:t>
      </w:r>
      <w:hyperlink r:id="rId47">
        <w:r>
          <w:rPr>
            <w:color w:val="0000FF"/>
            <w:u w:val="single" w:color="0000FF"/>
          </w:rPr>
          <w:t xml:space="preserve">Vlot et al. 2017 </w:t>
        </w:r>
      </w:hyperlink>
      <w:r>
        <w:t xml:space="preserve">chez 70 adolescents atteints de dysphorie de genre a révélé que les </w:t>
      </w:r>
      <w:r>
        <w:t xml:space="preserve">analogues de la </w:t>
      </w:r>
      <w:r>
        <w:t xml:space="preserve">GnRH </w:t>
      </w:r>
      <w:r>
        <w:t xml:space="preserve">peuvent réduire l'augmentation attendue de la </w:t>
      </w:r>
      <w:r>
        <w:t xml:space="preserve">densité </w:t>
      </w:r>
      <w:r>
        <w:t xml:space="preserve">osseuse lombaire ou fémorale</w:t>
      </w:r>
      <w:r>
        <w:t xml:space="preserve">. Cependant, les </w:t>
      </w:r>
      <w:r>
        <w:t xml:space="preserve">scores z se situaient largement dans un écart-type de la normale. Les valeurs réelles </w:t>
      </w:r>
      <w:r>
        <w:t xml:space="preserve">de la densité osseuse </w:t>
      </w:r>
      <w:r>
        <w:t xml:space="preserve">lombaire ou fémorale </w:t>
      </w:r>
      <w:r>
        <w:t xml:space="preserve">n'étaient pas statistiquement significativement différentes entre le début de l'étude et le suivi </w:t>
      </w:r>
      <w:r>
        <w:t xml:space="preserve">(sauf chez les transmales dont l'âge osseux était ≥14 </w:t>
      </w:r>
      <w:r>
        <w:t xml:space="preserve">ans). Cette étude a rapporté le changement de la </w:t>
      </w:r>
      <w:r>
        <w:t xml:space="preserve">densité osseuse entre le début des analogues de la GnRH et le début des hormones d'affirmation du genre par </w:t>
      </w:r>
      <w:r>
        <w:t xml:space="preserve">âge </w:t>
      </w:r>
      <w:r>
        <w:t xml:space="preserve">osseux </w:t>
      </w:r>
      <w:r>
        <w:t xml:space="preserve">:</w:t>
      </w:r>
    </w:p>
    <w:p>
      <w:pPr>
        <w:pStyle w:val="Paragraphedeliste"/>
        <w:numPr>
          <w:ilvl w:val="0"/>
          <w:numId w:val="187"/>
        </w:numPr>
        <w:tabs>
          <w:tab w:val="left" w:pos="880"/>
          <w:tab w:val="left" w:pos="881"/>
        </w:tabs>
        <w:spacing w:before="200" w:line="276" w:lineRule="auto"/>
        <w:ind w:end="475"/>
      </w:pPr>
      <w:r>
        <w:t xml:space="preserve">Le z-score médian [fourchette] pour la BMAD lombaire chez les transfemmes dont l'âge osseux était &lt;15 </w:t>
      </w:r>
      <w:r>
        <w:t xml:space="preserve">ans était statistiquement significatif et plus bas au </w:t>
      </w:r>
      <w:r>
        <w:t xml:space="preserve">début de la prise d'hormones d'affirmation du genre qu'au </w:t>
      </w:r>
      <w:r>
        <w:t xml:space="preserve">début de la prise d'analogues de la GnRH (analogues de la GnRH -0,20 [-1,82 à 1,18], </w:t>
      </w:r>
      <w:r>
        <w:t xml:space="preserve">hormones d'affirmation du</w:t>
      </w:r>
      <w:r>
        <w:t xml:space="preserve"> genre </w:t>
      </w:r>
      <w:r>
        <w:t xml:space="preserve">-1,52 [-2,36 à 0,42], p=0,001) mais n'était pas </w:t>
      </w:r>
      <w:r>
        <w:rPr>
          <w:spacing w:val="1"/>
        </w:rPr>
        <w:t xml:space="preserve">statistiquement </w:t>
      </w:r>
      <w:r>
        <w:t xml:space="preserve">différent chez les </w:t>
      </w:r>
      <w:r>
        <w:t xml:space="preserve">transfemmes </w:t>
      </w:r>
      <w:r>
        <w:rPr>
          <w:spacing w:val="-2"/>
        </w:rPr>
        <w:t xml:space="preserve">dont l</w:t>
      </w:r>
      <w:r>
        <w:t xml:space="preserve">'</w:t>
      </w:r>
      <w:r>
        <w:rPr>
          <w:spacing w:val="-3"/>
        </w:rPr>
        <w:t xml:space="preserve">âge</w:t>
      </w:r>
      <w:r>
        <w:t xml:space="preserve"> osseux était</w:t>
      </w:r>
      <w:r>
        <w:t xml:space="preserve"> ≥15 </w:t>
      </w:r>
      <w:r>
        <w:t xml:space="preserve">ans.</w:t>
      </w:r>
    </w:p>
    <w:p>
      <w:pPr>
        <w:pStyle w:val="Paragraphedeliste"/>
        <w:numPr>
          <w:ilvl w:val="0"/>
          <w:numId w:val="187"/>
        </w:numPr>
        <w:tabs>
          <w:tab w:val="left" w:pos="880"/>
          <w:tab w:val="left" w:pos="881"/>
        </w:tabs>
        <w:spacing w:before="0" w:line="276" w:lineRule="auto"/>
        <w:ind w:end="640"/>
      </w:pPr>
      <w:r>
        <w:t xml:space="preserve">Le z-score médian [fourchette] pour la BMAD lombaire chez les transmaliens dont l'âge osseux était &lt;14 </w:t>
      </w:r>
      <w:r>
        <w:t xml:space="preserve">ans était significativement plus bas au début de la prise d'hormones d'affirmation du genre qu'au </w:t>
      </w:r>
      <w:r>
        <w:t xml:space="preserve">début de la prise d'analogues de la GnRH (analogues de la GnRH -0.05 [-0,78 à 2,94], </w:t>
      </w:r>
      <w:r>
        <w:t xml:space="preserve">hormones d</w:t>
      </w:r>
      <w:r>
        <w:t xml:space="preserve">'affirmation du </w:t>
      </w:r>
      <w:r>
        <w:t xml:space="preserve">genre </w:t>
      </w:r>
      <w:r>
        <w:t xml:space="preserve">-0,84 [-2,20 à 0,87], p=0,003) et chez les transmales avec un </w:t>
      </w:r>
      <w:r>
        <w:t xml:space="preserve">âge </w:t>
      </w:r>
      <w:r>
        <w:t xml:space="preserve">osseux</w:t>
      </w:r>
      <w:r>
        <w:rPr>
          <w:spacing w:val="-2"/>
        </w:rPr>
        <w:t xml:space="preserve"> ≥14 </w:t>
      </w:r>
      <w:r>
        <w:t xml:space="preserve">ans </w:t>
      </w:r>
      <w:r>
        <w:t xml:space="preserve">(</w:t>
      </w:r>
      <w:r>
        <w:t xml:space="preserve">analogues de la </w:t>
      </w:r>
      <w:r>
        <w:t xml:space="preserve">GnRH </w:t>
      </w:r>
      <w:r>
        <w:t xml:space="preserve">0,27 </w:t>
      </w:r>
      <w:r>
        <w:t xml:space="preserve">[-1,60 </w:t>
      </w:r>
      <w:r>
        <w:t xml:space="preserve">à </w:t>
      </w:r>
      <w:r>
        <w:t xml:space="preserve">1,80], </w:t>
      </w:r>
      <w:r>
        <w:t xml:space="preserve">hormones d'</w:t>
      </w:r>
      <w:r>
        <w:t xml:space="preserve">affirmation du genre</w:t>
      </w:r>
    </w:p>
    <w:p>
      <w:pPr>
        <w:pStyle w:val="Corpsdetexte"/>
        <w:spacing w:before="0" w:line="251" w:lineRule="exact"/>
        <w:ind w:start="880"/>
      </w:pPr>
      <w:r>
        <w:t xml:space="preserve">-0,29 </w:t>
      </w:r>
      <w:r>
        <w:t xml:space="preserve">[-2,28 </w:t>
      </w:r>
      <w:r>
        <w:t xml:space="preserve">à </w:t>
      </w:r>
      <w:r>
        <w:t xml:space="preserve">0,90], </w:t>
      </w:r>
      <w:r>
        <w:t xml:space="preserve">p≤0,0001).</w:t>
      </w:r>
    </w:p>
    <w:p w:rsidR="00432386" w:rsidRDefault="00432386">
      <w:pPr>
        <w:spacing w:line="251" w:lineRule="exact"/>
        <w:sectPr w:rsidR="00432386">
          <w:pgSz w:w="11910" w:h="16840"/>
          <w:pgMar w:top="1180" w:right="980" w:bottom="1460" w:left="1280" w:header="0" w:footer="1183" w:gutter="0"/>
          <w:cols w:space="720"/>
        </w:sectPr>
      </w:pPr>
    </w:p>
    <w:p>
      <w:pPr>
        <w:pStyle w:val="Paragraphedeliste"/>
        <w:numPr>
          <w:ilvl w:val="0"/>
          <w:numId w:val="187"/>
        </w:numPr>
        <w:tabs>
          <w:tab w:val="left" w:pos="880"/>
          <w:tab w:val="left" w:pos="881"/>
        </w:tabs>
        <w:spacing w:before="78" w:line="276" w:lineRule="auto"/>
        <w:ind w:end="542"/>
      </w:pPr>
      <w:r>
        <w:t xml:space="preserve">Le </w:t>
      </w:r>
      <w:r>
        <w:lastRenderedPageBreak/>
        <w:t xml:space="preserve">z-score médian [fourchette] pour la BMAD du col fémoral chez les transfemmes dont l'âge osseux était </w:t>
      </w:r>
      <w:r>
        <w:t xml:space="preserve">&lt;15 ans n'était pas statistiquement significativement plus faible au début de l'administration des </w:t>
      </w:r>
      <w:r>
        <w:t xml:space="preserve">hormones</w:t>
      </w:r>
      <w:r>
        <w:t xml:space="preserve"> d'affirmation du genre </w:t>
      </w:r>
      <w:r>
        <w:t xml:space="preserve">qu'au début de l'administration des analogues de la GnRH (analogues de la GnRH -0.71 [-3,35 à 0,37], </w:t>
      </w:r>
      <w:r>
        <w:t xml:space="preserve">hormones d'</w:t>
      </w:r>
      <w:r>
        <w:t xml:space="preserve">affirmation du genre </w:t>
      </w:r>
      <w:r>
        <w:t xml:space="preserve">-1,32 [-3,39 à 0,21], p≤0,1) ou chez les transfemmes avec un </w:t>
      </w:r>
      <w:r>
        <w:t xml:space="preserve">âge osseux ≥15 ans (analogues de la GnRH -0,44 [-1,37 à 0,93], </w:t>
      </w:r>
      <w:r>
        <w:t xml:space="preserve">hormones d'</w:t>
      </w:r>
      <w:r>
        <w:t xml:space="preserve">affirmation du genre </w:t>
      </w:r>
      <w:r>
        <w:t xml:space="preserve">-0,36 </w:t>
      </w:r>
      <w:r>
        <w:t xml:space="preserve">[-1,50 </w:t>
      </w:r>
      <w:r>
        <w:t xml:space="preserve">à 0,46]).</w:t>
      </w:r>
    </w:p>
    <w:p>
      <w:pPr>
        <w:pStyle w:val="Paragraphedeliste"/>
        <w:numPr>
          <w:ilvl w:val="0"/>
          <w:numId w:val="187"/>
        </w:numPr>
        <w:tabs>
          <w:tab w:val="left" w:pos="880"/>
          <w:tab w:val="left" w:pos="881"/>
        </w:tabs>
        <w:spacing w:before="0" w:line="276" w:lineRule="auto"/>
        <w:ind w:end="547"/>
      </w:pPr>
      <w:r>
        <w:t xml:space="preserve">Le </w:t>
      </w:r>
      <w:r>
        <w:t xml:space="preserve">z-score pour le BMAD du col fémoral chez les transmaliens dont l'âge osseux était &lt; 14 </w:t>
      </w:r>
      <w:r>
        <w:t xml:space="preserve">ans </w:t>
      </w:r>
      <w:r>
        <w:rPr>
          <w:spacing w:val="-59"/>
        </w:rPr>
        <w:t xml:space="preserve">n'</w:t>
      </w:r>
      <w:r>
        <w:t xml:space="preserve">était </w:t>
      </w:r>
      <w:r>
        <w:rPr>
          <w:spacing w:val="-59"/>
        </w:rPr>
        <w:t xml:space="preserve">pas </w:t>
      </w:r>
      <w:r>
        <w:t xml:space="preserve">statistiquement significativement plus faible au début de l'administration des hormones d'affirmation du genre qu'au </w:t>
      </w:r>
      <w:r>
        <w:t xml:space="preserve">début de l'administration des analogues de la GnRH (analogues de la GnRH -0,01 [-1,30 à 0.91], </w:t>
      </w:r>
      <w:r>
        <w:t xml:space="preserve">hormone d'</w:t>
      </w:r>
      <w:r>
        <w:t xml:space="preserve">affirmation du genre </w:t>
      </w:r>
      <w:r>
        <w:t xml:space="preserve">-0,37 [-2,28 à 0,47]) mais était statistiquement significativement plus faible chez les </w:t>
      </w:r>
      <w:r>
        <w:t xml:space="preserve">transmaliens ayant un </w:t>
      </w:r>
      <w:r>
        <w:t xml:space="preserve">âge osseux ≥14 ans (analogues de la GnRH 0,27 [-1,39 à 1,32], </w:t>
      </w:r>
      <w:r>
        <w:t xml:space="preserve">hormones d'</w:t>
      </w:r>
      <w:r>
        <w:t xml:space="preserve">affirmation du genre </w:t>
      </w:r>
      <w:r>
        <w:t xml:space="preserve">-0,27 </w:t>
      </w:r>
      <w:r>
        <w:t xml:space="preserve">[-1,91 </w:t>
      </w:r>
      <w:r>
        <w:t xml:space="preserve">à 1,29], </w:t>
      </w:r>
      <w:r>
        <w:t xml:space="preserve">p=0,002).</w:t>
      </w:r>
    </w:p>
    <w:p>
      <w:pPr>
        <w:pStyle w:val="Titre2"/>
        <w:spacing w:before="191"/>
        <w:jc w:val="both"/>
      </w:pPr>
      <w:r>
        <w:t xml:space="preserve">Développement </w:t>
      </w:r>
      <w:r>
        <w:t xml:space="preserve">ou </w:t>
      </w:r>
      <w:r>
        <w:t xml:space="preserve">fonctionnement </w:t>
      </w:r>
      <w:r>
        <w:t xml:space="preserve">cognitif</w:t>
      </w:r>
    </w:p>
    <w:p>
      <w:pPr>
        <w:pStyle w:val="Corpsdetexte"/>
        <w:spacing w:before="38" w:line="276" w:lineRule="auto"/>
        <w:ind w:end="599"/>
        <w:jc w:val="both"/>
      </w:pPr>
      <w:r>
        <w:t xml:space="preserve">L'</w:t>
      </w:r>
      <w:r>
        <w:t xml:space="preserve">étude de </w:t>
      </w:r>
      <w:hyperlink r:id="rId48">
        <w:r>
          <w:rPr>
            <w:color w:val="0000FF"/>
            <w:u w:val="single" w:color="0000FF"/>
          </w:rPr>
          <w:t xml:space="preserve">Staphorsius et al. 2015 </w:t>
        </w:r>
      </w:hyperlink>
      <w:r>
        <w:t xml:space="preserve">chez 40 adolescents atteints de dysphorie de genre (dont 20 </w:t>
      </w:r>
      <w:r>
        <w:t xml:space="preserve">recevaient des analogues de la GnRH) a mesuré le développement ou le fonctionnement cognitif (à l'aide d'un </w:t>
      </w:r>
      <w:r>
        <w:t xml:space="preserve">test de </w:t>
      </w:r>
      <w:r>
        <w:t xml:space="preserve">QI, </w:t>
      </w:r>
      <w:r>
        <w:t xml:space="preserve">ainsi que le </w:t>
      </w:r>
      <w:r>
        <w:t xml:space="preserve">temps de </w:t>
      </w:r>
      <w:r>
        <w:t xml:space="preserve">réaction </w:t>
      </w:r>
      <w:r>
        <w:t xml:space="preserve">et la </w:t>
      </w:r>
      <w:r>
        <w:t xml:space="preserve">précision </w:t>
      </w:r>
      <w:r>
        <w:t xml:space="preserve">mesurés </w:t>
      </w:r>
      <w:r>
        <w:t xml:space="preserve">à l'aide de </w:t>
      </w:r>
      <w:r>
        <w:t xml:space="preserve">la </w:t>
      </w:r>
      <w:r>
        <w:t xml:space="preserve">tâche de la </w:t>
      </w:r>
      <w:r>
        <w:t xml:space="preserve">Tour </w:t>
      </w:r>
      <w:r>
        <w:t xml:space="preserve">de </w:t>
      </w:r>
      <w:r>
        <w:t xml:space="preserve">Londres</w:t>
      </w:r>
      <w:r>
        <w:t xml:space="preserve">) :</w:t>
      </w:r>
    </w:p>
    <w:p>
      <w:pPr>
        <w:pStyle w:val="Paragraphedeliste"/>
        <w:numPr>
          <w:ilvl w:val="0"/>
          <w:numId w:val="187"/>
        </w:numPr>
        <w:tabs>
          <w:tab w:val="left" w:pos="881"/>
        </w:tabs>
        <w:spacing w:before="1"/>
        <w:ind w:hanging="361"/>
        <w:jc w:val="both"/>
      </w:pPr>
      <w:r>
        <w:t xml:space="preserve">Le </w:t>
      </w:r>
      <w:r>
        <w:t xml:space="preserve">QI </w:t>
      </w:r>
      <w:r>
        <w:t xml:space="preserve">moyen </w:t>
      </w:r>
      <w:r>
        <w:t xml:space="preserve">(±SD) </w:t>
      </w:r>
      <w:r>
        <w:t xml:space="preserve">chez les </w:t>
      </w:r>
      <w:r>
        <w:t xml:space="preserve">transfemmes </w:t>
      </w:r>
      <w:r>
        <w:t xml:space="preserve">recevant des </w:t>
      </w:r>
      <w:r>
        <w:t xml:space="preserve">analogues de la </w:t>
      </w:r>
      <w:r>
        <w:t xml:space="preserve">GnRH </w:t>
      </w:r>
      <w:r>
        <w:t xml:space="preserve">était de </w:t>
      </w:r>
      <w:r>
        <w:t xml:space="preserve">94,0 </w:t>
      </w:r>
      <w:r>
        <w:t xml:space="preserve">(±10,3) </w:t>
      </w:r>
      <w:r>
        <w:t xml:space="preserve">et</w:t>
      </w:r>
    </w:p>
    <w:p>
      <w:pPr>
        <w:pStyle w:val="Corpsdetexte"/>
        <w:spacing w:before="36" w:line="276" w:lineRule="auto"/>
        <w:ind w:start="880" w:end="1007"/>
        <w:jc w:val="both"/>
      </w:pPr>
      <w:r>
        <w:t xml:space="preserve">109,4 (±21,2) dans le groupe témoin. Chez les transmales recevant des analogues de la GnRH, le </w:t>
      </w:r>
      <w:r>
        <w:t xml:space="preserve">QI </w:t>
      </w:r>
      <w:r>
        <w:t xml:space="preserve">moyen </w:t>
      </w:r>
      <w:r>
        <w:t xml:space="preserve">(±SD) </w:t>
      </w:r>
      <w:r>
        <w:t xml:space="preserve">était de </w:t>
      </w:r>
      <w:r>
        <w:t xml:space="preserve">95,8 </w:t>
      </w:r>
      <w:r>
        <w:t xml:space="preserve">(±15,6) et de </w:t>
      </w:r>
      <w:r>
        <w:t xml:space="preserve">98,5 </w:t>
      </w:r>
      <w:r>
        <w:t xml:space="preserve">(±15,9) </w:t>
      </w:r>
      <w:r>
        <w:t xml:space="preserve">dans le </w:t>
      </w:r>
      <w:r>
        <w:t xml:space="preserve">groupe </w:t>
      </w:r>
      <w:r>
        <w:t xml:space="preserve">témoin</w:t>
      </w:r>
      <w:r>
        <w:t xml:space="preserve">.</w:t>
      </w:r>
    </w:p>
    <w:p>
      <w:pPr>
        <w:pStyle w:val="Paragraphedeliste"/>
        <w:numPr>
          <w:ilvl w:val="0"/>
          <w:numId w:val="187"/>
        </w:numPr>
        <w:tabs>
          <w:tab w:val="left" w:pos="881"/>
        </w:tabs>
        <w:spacing w:before="0" w:line="273" w:lineRule="auto"/>
        <w:ind w:end="620"/>
        <w:jc w:val="both"/>
      </w:pPr>
      <w:r>
        <w:t xml:space="preserve">Le </w:t>
      </w:r>
      <w:r>
        <w:t xml:space="preserve">temps de réaction </w:t>
      </w:r>
      <w:r>
        <w:t xml:space="preserve">moyen (</w:t>
      </w:r>
      <w:r>
        <w:t xml:space="preserve">±SD) chez les transfemmes recevant des analogues de la GnRH était de 10,9 </w:t>
      </w:r>
      <w:r>
        <w:t xml:space="preserve">(±4,1) et de 9,9 (±3,1) dans le groupe témoin. Chez les transmales recevant un analogue de la GnRH, il était de </w:t>
      </w:r>
      <w:r>
        <w:t xml:space="preserve">9,9 </w:t>
      </w:r>
      <w:r>
        <w:t xml:space="preserve">(±3,1) </w:t>
      </w:r>
      <w:r>
        <w:t xml:space="preserve">et de </w:t>
      </w:r>
      <w:r>
        <w:t xml:space="preserve">10,0 </w:t>
      </w:r>
      <w:r>
        <w:t xml:space="preserve">(±2,0) </w:t>
      </w:r>
      <w:r>
        <w:t xml:space="preserve">dans </w:t>
      </w:r>
      <w:r>
        <w:t xml:space="preserve">le </w:t>
      </w:r>
      <w:r>
        <w:t xml:space="preserve">groupe </w:t>
      </w:r>
      <w:r>
        <w:t xml:space="preserve">témoin</w:t>
      </w:r>
      <w:r>
        <w:t xml:space="preserve">.</w:t>
      </w:r>
    </w:p>
    <w:p>
      <w:pPr>
        <w:pStyle w:val="Paragraphedeliste"/>
        <w:numPr>
          <w:ilvl w:val="0"/>
          <w:numId w:val="187"/>
        </w:numPr>
        <w:tabs>
          <w:tab w:val="left" w:pos="881"/>
        </w:tabs>
        <w:spacing w:before="4"/>
        <w:ind w:hanging="361"/>
        <w:jc w:val="both"/>
      </w:pPr>
      <w:r>
        <w:t xml:space="preserve">Le </w:t>
      </w:r>
      <w:r>
        <w:t xml:space="preserve">score de </w:t>
      </w:r>
      <w:r>
        <w:t xml:space="preserve">précision </w:t>
      </w:r>
      <w:r>
        <w:t xml:space="preserve">moyen </w:t>
      </w:r>
      <w:r>
        <w:t xml:space="preserve">(±SD) </w:t>
      </w:r>
      <w:r>
        <w:t xml:space="preserve">chez les </w:t>
      </w:r>
      <w:r>
        <w:t xml:space="preserve">transfemmes </w:t>
      </w:r>
      <w:r>
        <w:t xml:space="preserve">recevant des </w:t>
      </w:r>
      <w:r>
        <w:t xml:space="preserve">analogues de la </w:t>
      </w:r>
      <w:r>
        <w:t xml:space="preserve">GnRH </w:t>
      </w:r>
      <w:r>
        <w:t xml:space="preserve">était de</w:t>
      </w:r>
    </w:p>
    <w:p>
      <w:pPr>
        <w:pStyle w:val="Corpsdetexte"/>
        <w:spacing w:before="36" w:line="276" w:lineRule="auto"/>
        <w:ind w:start="880" w:end="1147"/>
        <w:jc w:val="both"/>
      </w:pPr>
      <w:r>
        <w:t xml:space="preserve">73,9 (±9,1) et 83,4 (±9,5) dans le groupe témoin. Chez les transmales recevant des </w:t>
      </w:r>
      <w:r>
        <w:t xml:space="preserve">analogues de la </w:t>
      </w:r>
      <w:r>
        <w:t xml:space="preserve">GnRH, </w:t>
      </w:r>
      <w:r>
        <w:t xml:space="preserve">il </w:t>
      </w:r>
      <w:r>
        <w:t xml:space="preserve">était de </w:t>
      </w:r>
      <w:r>
        <w:t xml:space="preserve">85,7 </w:t>
      </w:r>
      <w:r>
        <w:t xml:space="preserve">(±10,5) </w:t>
      </w:r>
      <w:r>
        <w:t xml:space="preserve">et de </w:t>
      </w:r>
      <w:r>
        <w:t xml:space="preserve">88,8 </w:t>
      </w:r>
      <w:r>
        <w:t xml:space="preserve">(±9,7) </w:t>
      </w:r>
      <w:r>
        <w:t xml:space="preserve">dans le </w:t>
      </w:r>
      <w:r>
        <w:t xml:space="preserve">groupe </w:t>
      </w:r>
      <w:r>
        <w:t xml:space="preserve">témoin</w:t>
      </w:r>
      <w:r>
        <w:t xml:space="preserve">.</w:t>
      </w:r>
    </w:p>
    <w:p>
      <w:pPr>
        <w:pStyle w:val="Corpsdetexte"/>
        <w:spacing w:before="1"/>
        <w:jc w:val="both"/>
      </w:pPr>
      <w:r>
        <w:t xml:space="preserve">Aucune </w:t>
      </w:r>
      <w:r>
        <w:t xml:space="preserve">analyse </w:t>
      </w:r>
      <w:r>
        <w:t xml:space="preserve">statistique </w:t>
      </w:r>
      <w:r>
        <w:t xml:space="preserve">ou </w:t>
      </w:r>
      <w:r>
        <w:t xml:space="preserve">interprétation </w:t>
      </w:r>
      <w:r>
        <w:t xml:space="preserve">des </w:t>
      </w:r>
      <w:r>
        <w:t xml:space="preserve">résultats </w:t>
      </w:r>
      <w:r>
        <w:t xml:space="preserve">n'</w:t>
      </w:r>
      <w:r>
        <w:t xml:space="preserve">a été </w:t>
      </w:r>
      <w:r>
        <w:t xml:space="preserve">rapportée.</w:t>
      </w:r>
    </w:p>
    <w:p w:rsidR="00432386" w:rsidRDefault="00432386">
      <w:pPr>
        <w:pStyle w:val="Corpsdetexte"/>
        <w:spacing w:before="7"/>
        <w:ind w:start="0"/>
        <w:rPr>
          <w:sz w:val="20"/>
        </w:rPr>
      </w:pPr>
    </w:p>
    <w:p>
      <w:pPr>
        <w:pStyle w:val="Titre2"/>
      </w:pPr>
      <w:r>
        <w:t xml:space="preserve">Autres </w:t>
      </w:r>
      <w:r>
        <w:t xml:space="preserve">résultats en matière de </w:t>
      </w:r>
      <w:r>
        <w:t xml:space="preserve">sécurité</w:t>
      </w:r>
    </w:p>
    <w:p>
      <w:pPr>
        <w:pStyle w:val="Corpsdetexte"/>
        <w:spacing w:before="38" w:line="276" w:lineRule="auto"/>
        <w:ind w:end="1043"/>
      </w:pPr>
      <w:r>
        <w:t xml:space="preserve">L'</w:t>
      </w:r>
      <w:r>
        <w:t xml:space="preserve">étude de </w:t>
      </w:r>
      <w:hyperlink r:id="rId49">
        <w:r>
          <w:rPr>
            <w:color w:val="0000FF"/>
            <w:u w:val="single" w:color="0000FF"/>
          </w:rPr>
          <w:t xml:space="preserve">Schagen et al. 2016 </w:t>
        </w:r>
      </w:hyperlink>
      <w:r>
        <w:t xml:space="preserve">chez 116 adolescents atteints de dysphorie de genre a montré que </w:t>
      </w:r>
      <w:r>
        <w:t xml:space="preserve">les </w:t>
      </w:r>
      <w:r>
        <w:t xml:space="preserve">analogues de la </w:t>
      </w:r>
      <w:r>
        <w:t xml:space="preserve">GnRH </w:t>
      </w:r>
      <w:r>
        <w:t xml:space="preserve">n'</w:t>
      </w:r>
      <w:r>
        <w:t xml:space="preserve">affectent </w:t>
      </w:r>
      <w:r>
        <w:t xml:space="preserve">pas </w:t>
      </w:r>
      <w:r>
        <w:t xml:space="preserve">la </w:t>
      </w:r>
      <w:r>
        <w:t xml:space="preserve">fonction </w:t>
      </w:r>
      <w:r>
        <w:t xml:space="preserve">rénale </w:t>
      </w:r>
      <w:r>
        <w:t xml:space="preserve">ou </w:t>
      </w:r>
      <w:r>
        <w:t xml:space="preserve">hépatique </w:t>
      </w:r>
      <w:r>
        <w:t xml:space="preserve">:</w:t>
      </w:r>
    </w:p>
    <w:p>
      <w:pPr>
        <w:pStyle w:val="Paragraphedeliste"/>
        <w:numPr>
          <w:ilvl w:val="0"/>
          <w:numId w:val="187"/>
        </w:numPr>
        <w:tabs>
          <w:tab w:val="left" w:pos="880"/>
          <w:tab w:val="left" w:pos="881"/>
        </w:tabs>
        <w:spacing w:before="1" w:line="273" w:lineRule="auto"/>
        <w:ind w:end="507"/>
      </w:pPr>
      <w:r>
        <w:t xml:space="preserve">Il n'y avait pas de différence statistiquement significative entre les résultats de base et les résultats à un an </w:t>
      </w:r>
      <w:r>
        <w:t xml:space="preserve">pour la créatinine sérique chez les femmes transfemmes, mais il y avait une diminution statistiquement significative </w:t>
      </w:r>
      <w:r>
        <w:t xml:space="preserve">entre les </w:t>
      </w:r>
      <w:r>
        <w:t xml:space="preserve">résultats de </w:t>
      </w:r>
      <w:r>
        <w:t xml:space="preserve">base et les résultats </w:t>
      </w:r>
      <w:r>
        <w:t xml:space="preserve">à un </w:t>
      </w:r>
      <w:r>
        <w:t xml:space="preserve">an </w:t>
      </w:r>
      <w:r>
        <w:t xml:space="preserve">chez les </w:t>
      </w:r>
      <w:r>
        <w:t xml:space="preserve">hommes transfemmes </w:t>
      </w:r>
      <w:r>
        <w:t xml:space="preserve">(p=0,01).</w:t>
      </w:r>
    </w:p>
    <w:p>
      <w:pPr>
        <w:pStyle w:val="Paragraphedeliste"/>
        <w:numPr>
          <w:ilvl w:val="0"/>
          <w:numId w:val="187"/>
        </w:numPr>
        <w:tabs>
          <w:tab w:val="left" w:pos="880"/>
          <w:tab w:val="left" w:pos="881"/>
        </w:tabs>
        <w:spacing w:before="1" w:line="273" w:lineRule="auto"/>
        <w:ind w:end="1168"/>
      </w:pPr>
      <w:r>
        <w:t xml:space="preserve">Les taux de </w:t>
      </w:r>
      <w:r>
        <w:t xml:space="preserve">glutamyl transférase, d'alanine </w:t>
      </w:r>
      <w:r>
        <w:t xml:space="preserve">aminotransférase (ALT) et d'aspartate </w:t>
      </w:r>
      <w:r>
        <w:t xml:space="preserve">aminotransférase (AST) n'ont pas changé de façon significative entre le début du traitement et les 12 </w:t>
      </w:r>
      <w:r>
        <w:t xml:space="preserve">mois </w:t>
      </w:r>
      <w:r>
        <w:t xml:space="preserve">de </w:t>
      </w:r>
      <w:r>
        <w:t xml:space="preserve">traitement.</w:t>
      </w:r>
    </w:p>
    <w:p w:rsidR="00432386" w:rsidRDefault="00432386">
      <w:pPr>
        <w:pStyle w:val="Corpsdetexte"/>
        <w:spacing w:before="8"/>
        <w:ind w:start="0"/>
        <w:rPr>
          <w:sz w:val="25"/>
        </w:rPr>
      </w:pPr>
    </w:p>
    <w:p>
      <w:pPr>
        <w:pStyle w:val="Corpsdetexte"/>
        <w:spacing w:before="0" w:line="276" w:lineRule="auto"/>
        <w:ind w:end="751"/>
      </w:pPr>
      <w:r>
        <w:t xml:space="preserve">L'étude de </w:t>
      </w:r>
      <w:hyperlink r:id="rId50">
        <w:r>
          <w:rPr>
            <w:color w:val="0000FF"/>
            <w:u w:val="single" w:color="0000FF"/>
          </w:rPr>
          <w:t xml:space="preserve">Khatchadourian et al. 2014 </w:t>
        </w:r>
      </w:hyperlink>
      <w:r>
        <w:t xml:space="preserve">chez 27 adolescents souffrant de dysphorie de genre et ayant </w:t>
      </w:r>
      <w:r>
        <w:t xml:space="preserve">commencé à prendre des analogues de la GnRH fait état, de manière narrative, d'effets indésirables des analogues de la GnRH chez 26 </w:t>
      </w:r>
      <w:r>
        <w:t xml:space="preserve">adolescents :</w:t>
      </w:r>
    </w:p>
    <w:p>
      <w:pPr>
        <w:pStyle w:val="Paragraphedeliste"/>
        <w:numPr>
          <w:ilvl w:val="0"/>
          <w:numId w:val="187"/>
        </w:numPr>
        <w:tabs>
          <w:tab w:val="left" w:pos="880"/>
          <w:tab w:val="left" w:pos="881"/>
        </w:tabs>
        <w:spacing w:before="1" w:line="273" w:lineRule="auto"/>
        <w:ind w:end="496"/>
      </w:pPr>
      <w:r>
        <w:t xml:space="preserve">1 transmale a développé des abcès stériles ; ils sont passés de l'acétate de leuprolide </w:t>
      </w:r>
      <w:r>
        <w:t xml:space="preserve">à la </w:t>
      </w:r>
      <w:r>
        <w:t xml:space="preserve">triptoréline</w:t>
      </w:r>
      <w:r>
        <w:t xml:space="preserve">, </w:t>
      </w:r>
      <w:r>
        <w:t xml:space="preserve">qui </w:t>
      </w:r>
      <w:r>
        <w:t xml:space="preserve">a été bien tolérée.</w:t>
      </w:r>
    </w:p>
    <w:p>
      <w:pPr>
        <w:pStyle w:val="Paragraphedeliste"/>
        <w:numPr>
          <w:ilvl w:val="0"/>
          <w:numId w:val="187"/>
        </w:numPr>
        <w:tabs>
          <w:tab w:val="left" w:pos="880"/>
          <w:tab w:val="left" w:pos="881"/>
        </w:tabs>
        <w:spacing w:before="2"/>
        <w:ind w:hanging="361"/>
      </w:pPr>
      <w:r>
        <w:t xml:space="preserve">1 </w:t>
      </w:r>
      <w:r>
        <w:t xml:space="preserve">transmale </w:t>
      </w:r>
      <w:r>
        <w:t xml:space="preserve">a développé des </w:t>
      </w:r>
      <w:r>
        <w:t xml:space="preserve">douleurs dans </w:t>
      </w:r>
      <w:r>
        <w:t xml:space="preserve">les jambes </w:t>
      </w:r>
      <w:r>
        <w:t xml:space="preserve">et des </w:t>
      </w:r>
      <w:r>
        <w:t xml:space="preserve">maux de tête, </w:t>
      </w:r>
      <w:r>
        <w:t xml:space="preserve">qui ont </w:t>
      </w:r>
      <w:r>
        <w:t xml:space="preserve">fini par </w:t>
      </w:r>
      <w:r>
        <w:t xml:space="preserve">disparaître.</w:t>
      </w:r>
    </w:p>
    <w:p>
      <w:pPr>
        <w:pStyle w:val="Paragraphedeliste"/>
        <w:numPr>
          <w:ilvl w:val="0"/>
          <w:numId w:val="187"/>
        </w:numPr>
        <w:tabs>
          <w:tab w:val="left" w:pos="873"/>
          <w:tab w:val="left" w:pos="874"/>
        </w:tabs>
        <w:ind w:start="873" w:hanging="356"/>
      </w:pPr>
      <w:r>
        <w:t xml:space="preserve">Un </w:t>
      </w:r>
      <w:r>
        <w:t xml:space="preserve">participant a </w:t>
      </w:r>
      <w:r>
        <w:t xml:space="preserve">pris </w:t>
      </w:r>
      <w:r>
        <w:t xml:space="preserve">19 </w:t>
      </w:r>
      <w:r>
        <w:t xml:space="preserve">kg </w:t>
      </w:r>
      <w:r>
        <w:t xml:space="preserve">dans les </w:t>
      </w:r>
      <w:r>
        <w:t xml:space="preserve">9 </w:t>
      </w:r>
      <w:r>
        <w:t xml:space="preserve">mois </w:t>
      </w:r>
      <w:r>
        <w:t xml:space="preserve">suivant le </w:t>
      </w:r>
      <w:r>
        <w:t xml:space="preserve">début de la prise d'</w:t>
      </w:r>
      <w:r>
        <w:t xml:space="preserve">analogues de la </w:t>
      </w:r>
      <w:r>
        <w:t xml:space="preserve">GnRH</w:t>
      </w:r>
      <w:r>
        <w:t xml:space="preserve">.</w:t>
      </w:r>
    </w:p>
    <w:p w:rsidR="00432386" w:rsidRDefault="00432386">
      <w:pPr>
        <w:sectPr w:rsidR="00432386">
          <w:pgSz w:w="11910" w:h="16840"/>
          <w:pgMar w:top="1180" w:right="980" w:bottom="1460" w:left="1280" w:header="0" w:footer="1183" w:gutter="0"/>
          <w:cols w:space="720"/>
        </w:sectPr>
      </w:pPr>
    </w:p>
    <w:p>
      <w:pPr>
        <w:pStyle w:val="Titre2"/>
        <w:spacing w:before="78" w:line="276" w:lineRule="auto"/>
        <w:ind w:end="621"/>
        <w:jc w:val="both"/>
      </w:pPr>
      <w:r>
        <w:lastRenderedPageBreak/>
        <w:t xml:space="preserve">Chez les enfants et les adolescents souffrant de dysphorie de genre, </w:t>
      </w:r>
      <w:r>
        <w:t xml:space="preserve">quel est le rapport coût-efficacité des </w:t>
      </w:r>
      <w:r>
        <w:t xml:space="preserve">analogues de la GnRH par rapport à une ou une combinaison de soutien psychologique, de </w:t>
      </w:r>
      <w:r>
        <w:t xml:space="preserve">transition </w:t>
      </w:r>
      <w:r>
        <w:t xml:space="preserve">sociale </w:t>
      </w:r>
      <w:r>
        <w:t xml:space="preserve">vers le </w:t>
      </w:r>
      <w:r>
        <w:t xml:space="preserve">genre désiré ou d'</w:t>
      </w:r>
      <w:r>
        <w:t xml:space="preserve">aucune </w:t>
      </w:r>
      <w:r>
        <w:t xml:space="preserve">intervention ?</w:t>
      </w:r>
    </w:p>
    <w:p>
      <w:pPr>
        <w:pStyle w:val="Corpsdetexte"/>
        <w:spacing w:before="201" w:line="276" w:lineRule="auto"/>
        <w:ind w:end="579"/>
        <w:jc w:val="both"/>
      </w:pPr>
      <w:r>
        <w:t xml:space="preserve">Aucune preuve du rapport coût-efficacité n'a été trouvée pour les analogues de la GnRH chez les enfants et les adolescents </w:t>
      </w:r>
      <w:r>
        <w:t xml:space="preserve">atteints de </w:t>
      </w:r>
      <w:r>
        <w:t xml:space="preserve">dysphorie </w:t>
      </w:r>
      <w:r>
        <w:t xml:space="preserve">de genre</w:t>
      </w:r>
      <w:r>
        <w:t xml:space="preserve">.</w:t>
      </w:r>
    </w:p>
    <w:p w:rsidR="00432386" w:rsidRDefault="00432386">
      <w:pPr>
        <w:pStyle w:val="Corpsdetexte"/>
        <w:spacing w:before="1"/>
        <w:ind w:start="0"/>
        <w:rPr>
          <w:sz w:val="25"/>
        </w:rPr>
      </w:pPr>
    </w:p>
    <w:p>
      <w:pPr>
        <w:pStyle w:val="Titre2"/>
        <w:spacing w:line="276" w:lineRule="auto"/>
        <w:ind w:end="839"/>
      </w:pPr>
      <w:r>
        <w:t xml:space="preserve">D'après les preuves sélectionnées, existe-t-il des sous-groupes d'enfants et d'adolescents </w:t>
      </w:r>
      <w:r>
        <w:t xml:space="preserve">souffrant de dysphorie de genre qui pourraient bénéficier davantage des analogues de la GnRH que la </w:t>
      </w:r>
      <w:r>
        <w:t xml:space="preserve">population </w:t>
      </w:r>
      <w:r>
        <w:t xml:space="preserve">d'</w:t>
      </w:r>
      <w:r>
        <w:t xml:space="preserve">intérêt </w:t>
      </w:r>
      <w:r>
        <w:t xml:space="preserve">plus large </w:t>
      </w:r>
      <w:r>
        <w:t xml:space="preserve">?</w:t>
      </w:r>
    </w:p>
    <w:p w:rsidR="00432386" w:rsidRDefault="00432386">
      <w:pPr>
        <w:pStyle w:val="Corpsdetexte"/>
        <w:spacing w:before="4"/>
        <w:ind w:start="0"/>
        <w:rPr>
          <w:b/>
          <w:sz w:val="25"/>
        </w:rPr>
      </w:pPr>
    </w:p>
    <w:p>
      <w:pPr>
        <w:pStyle w:val="Corpsdetexte"/>
        <w:spacing w:before="0" w:line="276" w:lineRule="auto"/>
        <w:ind w:end="603"/>
      </w:pPr>
      <w:r>
        <w:t xml:space="preserve">Certaines études ont rapporté des données séparément pour les sous-groupes suivants d'enfants et d'</w:t>
      </w:r>
      <w:r>
        <w:t xml:space="preserve">adolescents souffrant de dysphorie de genre : les garçons assignés au sexe à la naissance (transfemmes</w:t>
      </w:r>
      <w:r>
        <w:t xml:space="preserve">) et les </w:t>
      </w:r>
      <w:r>
        <w:t xml:space="preserve">filles assignées au </w:t>
      </w:r>
      <w:r>
        <w:t xml:space="preserve">sexe à </w:t>
      </w:r>
      <w:r>
        <w:t xml:space="preserve">la naissance (transmales). Certaines comparaisons directes de ces </w:t>
      </w:r>
      <w:r>
        <w:t xml:space="preserve">sous-groupes ont été effectuées, et des différences ont été largement observées au départ ainsi qu'au cours du suivi. Aucune preuve n'a </w:t>
      </w:r>
      <w:r>
        <w:t xml:space="preserve">été </w:t>
      </w:r>
      <w:r>
        <w:t xml:space="preserve">trouvée </w:t>
      </w:r>
      <w:r>
        <w:t xml:space="preserve">pour les </w:t>
      </w:r>
      <w:r>
        <w:t xml:space="preserve">autres </w:t>
      </w:r>
      <w:r>
        <w:t xml:space="preserve">sous-groupes </w:t>
      </w:r>
      <w:r>
        <w:t xml:space="preserve">spécifiés</w:t>
      </w:r>
      <w:r>
        <w:t xml:space="preserve">.</w:t>
      </w:r>
    </w:p>
    <w:p w:rsidR="00432386" w:rsidRDefault="00432386">
      <w:pPr>
        <w:pStyle w:val="Corpsdetexte"/>
        <w:spacing w:before="6"/>
        <w:ind w:start="0"/>
        <w:rPr>
          <w:sz w:val="25"/>
        </w:rPr>
      </w:pPr>
    </w:p>
    <w:p>
      <w:pPr>
        <w:pStyle w:val="Titre2"/>
      </w:pPr>
      <w:r>
        <w:t xml:space="preserve">Sexe </w:t>
      </w:r>
      <w:r>
        <w:t xml:space="preserve">assigné à </w:t>
      </w:r>
      <w:r>
        <w:t xml:space="preserve">la </w:t>
      </w:r>
      <w:r>
        <w:t xml:space="preserve">naissance : </w:t>
      </w:r>
      <w:r>
        <w:t xml:space="preserve">hommes </w:t>
      </w:r>
      <w:r>
        <w:t xml:space="preserve">(transfemmes)</w:t>
      </w:r>
    </w:p>
    <w:p>
      <w:pPr>
        <w:spacing w:before="37"/>
        <w:ind w:start="160"/>
        <w:rPr>
          <w:b/>
          <w:i/>
        </w:rPr>
      </w:pPr>
      <w:r>
        <w:rPr>
          <w:b/>
          <w:i/>
        </w:rPr>
        <w:t xml:space="preserve">Impact </w:t>
      </w:r>
      <w:r>
        <w:rPr>
          <w:b/>
          <w:i/>
        </w:rPr>
        <w:t xml:space="preserve">sur la </w:t>
      </w:r>
      <w:r>
        <w:rPr>
          <w:b/>
          <w:i/>
        </w:rPr>
        <w:t xml:space="preserve">dysphorie de </w:t>
      </w:r>
      <w:r>
        <w:rPr>
          <w:b/>
          <w:i/>
        </w:rPr>
        <w:t xml:space="preserve">genre</w:t>
      </w:r>
    </w:p>
    <w:p>
      <w:pPr>
        <w:pStyle w:val="Corpsdetexte"/>
        <w:spacing w:before="38" w:line="276" w:lineRule="auto"/>
        <w:ind w:end="517"/>
      </w:pPr>
      <w:r>
        <w:t xml:space="preserve">L'</w:t>
      </w:r>
      <w:r>
        <w:t xml:space="preserve">étude de </w:t>
      </w:r>
      <w:hyperlink r:id="rId51">
        <w:r>
          <w:rPr>
            <w:color w:val="0000FF"/>
            <w:u w:val="single" w:color="0000FF"/>
          </w:rPr>
          <w:t xml:space="preserve">Costa et al. 2015 </w:t>
        </w:r>
      </w:hyperlink>
      <w:r>
        <w:t xml:space="preserve">chez 201 adolescents souffrant de dysphorie de genre qui ont bénéficié d'un </w:t>
      </w:r>
      <w:r>
        <w:t xml:space="preserve">soutien psychologique de </w:t>
      </w:r>
      <w:r>
        <w:t xml:space="preserve">6 mois </w:t>
      </w:r>
      <w:r>
        <w:t xml:space="preserve">suivi soit d'analogues de la GnRH et d'un </w:t>
      </w:r>
      <w:r>
        <w:t xml:space="preserve">soutien </w:t>
      </w:r>
      <w:r>
        <w:t xml:space="preserve">psychologique continu</w:t>
      </w:r>
      <w:r>
        <w:t xml:space="preserve">, soit d'un soutien psychologique continu uniquement, a révélé que la dysphorie de genre (mesurée </w:t>
      </w:r>
      <w:r>
        <w:t xml:space="preserve">à l'aide de l'UGDS) chez les hommes assignés à un sexe à la naissance est plus faible que chez les </w:t>
      </w:r>
      <w:r>
        <w:t xml:space="preserve">femmes </w:t>
      </w:r>
      <w:r>
        <w:t xml:space="preserve">assignées à un sexe à la </w:t>
      </w:r>
      <w:r>
        <w:t xml:space="preserve">naissance</w:t>
      </w:r>
      <w:r>
        <w:t xml:space="preserve">. Les hommes assignés sexuellement à la naissance avaient un </w:t>
      </w:r>
      <w:r>
        <w:t xml:space="preserve">score UGDS </w:t>
      </w:r>
      <w:r>
        <w:t xml:space="preserve">moyen </w:t>
      </w:r>
      <w:r>
        <w:t xml:space="preserve">[±SD] de 51,6 [±9,7] </w:t>
      </w:r>
      <w:r>
        <w:t xml:space="preserve">statistiquement significatif (amélioré) </w:t>
      </w:r>
      <w:r>
        <w:t xml:space="preserve">par rapport aux femmes assignées sexuellement à la naissance (56,1 [±4,3], </w:t>
      </w:r>
      <w:r>
        <w:t xml:space="preserve">p&lt;0,001), </w:t>
      </w:r>
      <w:r>
        <w:rPr>
          <w:spacing w:val="-2"/>
        </w:rPr>
        <w:t xml:space="preserve">mais </w:t>
      </w:r>
      <w:r>
        <w:t xml:space="preserve">il </w:t>
      </w:r>
      <w:r>
        <w:rPr>
          <w:spacing w:val="-3"/>
        </w:rPr>
        <w:t xml:space="preserve">n'a pas été </w:t>
      </w:r>
      <w:r>
        <w:t xml:space="preserve">indiqué si </w:t>
      </w:r>
      <w:r>
        <w:t xml:space="preserve">cela était au </w:t>
      </w:r>
      <w:r>
        <w:rPr>
          <w:spacing w:val="-2"/>
        </w:rPr>
        <w:t xml:space="preserve">départ </w:t>
      </w:r>
      <w:r>
        <w:t xml:space="preserve">ou au </w:t>
      </w:r>
      <w:r>
        <w:t xml:space="preserve">suivi.</w:t>
      </w:r>
    </w:p>
    <w:p w:rsidR="00432386" w:rsidRDefault="00432386">
      <w:pPr>
        <w:pStyle w:val="Corpsdetexte"/>
        <w:spacing w:before="4"/>
        <w:ind w:start="0"/>
        <w:rPr>
          <w:sz w:val="25"/>
        </w:rPr>
      </w:pPr>
    </w:p>
    <w:p>
      <w:pPr>
        <w:pStyle w:val="Corpsdetexte"/>
        <w:spacing w:before="0" w:line="276" w:lineRule="auto"/>
        <w:ind w:end="480"/>
      </w:pPr>
      <w:r>
        <w:t xml:space="preserve">L'</w:t>
      </w:r>
      <w:r>
        <w:t xml:space="preserve">étude réalisée par </w:t>
      </w:r>
      <w:hyperlink r:id="rId52">
        <w:r>
          <w:rPr>
            <w:color w:val="0000FF"/>
            <w:u w:val="single" w:color="0000FF"/>
          </w:rPr>
          <w:t xml:space="preserve">de Vries et al. en 2011 </w:t>
        </w:r>
      </w:hyperlink>
      <w:r>
        <w:t xml:space="preserve">auprès de 70 adolescents souffrant de dysphorie de genre a révélé que la </w:t>
      </w:r>
      <w:r>
        <w:t xml:space="preserve">dysphorie de </w:t>
      </w:r>
      <w:r>
        <w:t xml:space="preserve">genre </w:t>
      </w:r>
      <w:r>
        <w:t xml:space="preserve">(mesurée à l'aide de l'UGDS) chez les </w:t>
      </w:r>
      <w:r>
        <w:t xml:space="preserve">hommes </w:t>
      </w:r>
      <w:r>
        <w:t xml:space="preserve">dont le sexe a été assigné à la </w:t>
      </w:r>
      <w:r>
        <w:t xml:space="preserve">naissance est plus faible que chez les </w:t>
      </w:r>
      <w:r>
        <w:t xml:space="preserve">femmes dont le </w:t>
      </w:r>
      <w:r>
        <w:t xml:space="preserve">sexe a </w:t>
      </w:r>
      <w:r>
        <w:t xml:space="preserve">été assigné à la naissance, au début de l'étude et lors du suivi. Le score UGDS moyen [±SD] était </w:t>
      </w:r>
      <w:r>
        <w:t xml:space="preserve">statistiquement significatif et inférieur (amélioré) chez les garçons assignés à la naissance par rapport aux </w:t>
      </w:r>
      <w:r>
        <w:t xml:space="preserve">filles assignées à la naissance au départ (n=non </w:t>
      </w:r>
      <w:r>
        <w:t xml:space="preserve">rapporté, score UGDS moyen : 47,95 [±9,70] </w:t>
      </w:r>
      <w:r>
        <w:t xml:space="preserve">contre 56,57 [±3,89]) et au suivi (n=non rapporté, 49,67 [±9,47] contre 56,62 [±4,00]) ; </w:t>
      </w:r>
      <w:r>
        <w:t xml:space="preserve">différence </w:t>
      </w:r>
      <w:r>
        <w:t xml:space="preserve">entre les </w:t>
      </w:r>
      <w:r>
        <w:t xml:space="preserve">sexes </w:t>
      </w:r>
      <w:r>
        <w:t xml:space="preserve">p&lt;0,001).</w:t>
      </w:r>
    </w:p>
    <w:p w:rsidR="00432386" w:rsidRDefault="00432386">
      <w:pPr>
        <w:pStyle w:val="Corpsdetexte"/>
        <w:spacing w:before="2"/>
        <w:ind w:start="0"/>
        <w:rPr>
          <w:sz w:val="25"/>
        </w:rPr>
      </w:pPr>
    </w:p>
    <w:p>
      <w:pPr>
        <w:ind w:start="160"/>
        <w:rPr>
          <w:b/>
          <w:i/>
        </w:rPr>
      </w:pPr>
      <w:r>
        <w:rPr>
          <w:b/>
          <w:i/>
        </w:rPr>
        <w:t xml:space="preserve">Impact </w:t>
      </w:r>
      <w:r>
        <w:rPr>
          <w:b/>
          <w:i/>
        </w:rPr>
        <w:t xml:space="preserve">sur la </w:t>
      </w:r>
      <w:r>
        <w:rPr>
          <w:b/>
          <w:i/>
        </w:rPr>
        <w:t xml:space="preserve">santé </w:t>
      </w:r>
      <w:r>
        <w:rPr>
          <w:b/>
          <w:i/>
        </w:rPr>
        <w:t xml:space="preserve">mentale</w:t>
      </w:r>
    </w:p>
    <w:p>
      <w:pPr>
        <w:pStyle w:val="Corpsdetexte"/>
        <w:spacing w:before="40" w:line="276" w:lineRule="auto"/>
        <w:ind w:end="470"/>
      </w:pPr>
      <w:r>
        <w:t xml:space="preserve">L'</w:t>
      </w:r>
      <w:r>
        <w:t xml:space="preserve">étude menée par </w:t>
      </w:r>
      <w:hyperlink r:id="rId53">
        <w:r>
          <w:rPr>
            <w:color w:val="0000FF"/>
            <w:u w:val="single" w:color="0000FF"/>
          </w:rPr>
          <w:t xml:space="preserve">de Vries et al. en 2011 </w:t>
        </w:r>
      </w:hyperlink>
      <w:r>
        <w:t xml:space="preserve">auprès de 70 adolescents souffrant de dysphorie de genre a révélé que l'</w:t>
      </w:r>
      <w:r>
        <w:t xml:space="preserve">impact sur la santé mentale (dépression, colère et anxiété) peut être différent chez les </w:t>
      </w:r>
      <w:r>
        <w:t xml:space="preserve">hommes </w:t>
      </w:r>
      <w:r>
        <w:t xml:space="preserve">assignés au </w:t>
      </w:r>
      <w:r>
        <w:t xml:space="preserve">sexe </w:t>
      </w:r>
      <w:r>
        <w:t xml:space="preserve">de </w:t>
      </w:r>
      <w:r>
        <w:t xml:space="preserve">naissance par rapport aux femmes assignées au sexe de naissance. Au fil du temps, il n'y avait pas de </w:t>
      </w:r>
      <w:r>
        <w:t xml:space="preserve">différence </w:t>
      </w:r>
      <w:r>
        <w:t xml:space="preserve">statistiquement </w:t>
      </w:r>
      <w:r>
        <w:t xml:space="preserve">significative entre les hommes et les femmes assignés à la naissance </w:t>
      </w:r>
      <w:r>
        <w:t xml:space="preserve">pour la dépression, mais les hommes assignés à la naissance présentaient des </w:t>
      </w:r>
      <w:r>
        <w:t xml:space="preserve">niveaux de </w:t>
      </w:r>
      <w:r>
        <w:t xml:space="preserve">colère </w:t>
      </w:r>
      <w:r>
        <w:t xml:space="preserve">et d'</w:t>
      </w:r>
      <w:r>
        <w:t xml:space="preserve">anxiété </w:t>
      </w:r>
      <w:r>
        <w:t xml:space="preserve">statistiquement significatifs inférieurs </w:t>
      </w:r>
      <w:r>
        <w:t xml:space="preserve">à ceux des </w:t>
      </w:r>
      <w:r>
        <w:t xml:space="preserve">femmes </w:t>
      </w:r>
      <w:r>
        <w:t xml:space="preserve">assignées à </w:t>
      </w:r>
      <w:r>
        <w:t xml:space="preserve">la </w:t>
      </w:r>
      <w:r>
        <w:t xml:space="preserve">naissance </w:t>
      </w:r>
      <w:r>
        <w:t xml:space="preserve">au départ </w:t>
      </w:r>
      <w:r>
        <w:t xml:space="preserve">et au </w:t>
      </w:r>
      <w:r>
        <w:t xml:space="preserve">suivi</w:t>
      </w:r>
      <w:r>
        <w:t xml:space="preserve">.</w:t>
      </w:r>
    </w:p>
    <w:p w:rsidR="00432386" w:rsidRDefault="00432386">
      <w:pPr>
        <w:pStyle w:val="Corpsdetexte"/>
        <w:spacing w:before="2"/>
        <w:ind w:start="0"/>
        <w:rPr>
          <w:sz w:val="25"/>
        </w:rPr>
      </w:pPr>
    </w:p>
    <w:p>
      <w:pPr>
        <w:pStyle w:val="Paragraphedeliste"/>
        <w:numPr>
          <w:ilvl w:val="0"/>
          <w:numId w:val="187"/>
        </w:numPr>
        <w:tabs>
          <w:tab w:val="left" w:pos="880"/>
          <w:tab w:val="left" w:pos="881"/>
        </w:tabs>
        <w:spacing w:before="0" w:line="276" w:lineRule="auto"/>
        <w:ind w:end="654"/>
      </w:pPr>
      <w:r>
        <w:t xml:space="preserve">Le score moyen [±SD] de dépression (BDI-II) n'était pas statistiquement différent </w:t>
      </w:r>
      <w:r>
        <w:t xml:space="preserve">chez les hommes assignés au sexe de naissance par rapport aux </w:t>
      </w:r>
      <w:r>
        <w:t xml:space="preserve">femmes assignées au </w:t>
      </w:r>
      <w:r>
        <w:t xml:space="preserve">sexe </w:t>
      </w:r>
      <w:r>
        <w:t xml:space="preserve">de naissance au </w:t>
      </w:r>
      <w:r>
        <w:t xml:space="preserve">départ (n=non rapporté, score BDI moyen [±SD] : 5,71 [±4,31] contre 10,34 [±8,24]) </w:t>
      </w:r>
      <w:r>
        <w:t xml:space="preserve">et lors du suivi (n=non rapporté, 3,50 [±4,58] contre 6,09 [±7,93]), </w:t>
      </w:r>
      <w:r>
        <w:t xml:space="preserve">différence</w:t>
      </w:r>
      <w:r>
        <w:t xml:space="preserve"> entre les sexes </w:t>
      </w:r>
      <w:r>
        <w:t xml:space="preserve">p=0,057.</w:t>
      </w:r>
    </w:p>
    <w:p w:rsidR="00432386" w:rsidRDefault="00432386">
      <w:pPr>
        <w:spacing w:line="276" w:lineRule="auto"/>
        <w:sectPr w:rsidR="00432386">
          <w:pgSz w:w="11910" w:h="16840"/>
          <w:pgMar w:top="1180" w:right="980" w:bottom="1460" w:left="1280" w:header="0" w:footer="1183" w:gutter="0"/>
          <w:cols w:space="720"/>
        </w:sectPr>
      </w:pPr>
    </w:p>
    <w:p>
      <w:pPr>
        <w:pStyle w:val="Paragraphedeliste"/>
        <w:numPr>
          <w:ilvl w:val="0"/>
          <w:numId w:val="187"/>
        </w:numPr>
        <w:tabs>
          <w:tab w:val="left" w:pos="880"/>
          <w:tab w:val="left" w:pos="881"/>
        </w:tabs>
        <w:spacing w:before="78" w:line="276" w:lineRule="auto"/>
        <w:ind w:end="555"/>
      </w:pPr>
      <w:r>
        <w:lastRenderedPageBreak/>
        <w:t xml:space="preserve">Le score moyen [±SD] de colère (TPI) était significativement plus bas (amélioré) chez les </w:t>
      </w:r>
      <w:r>
        <w:t xml:space="preserve">hommes dont le sexe a été assigné à la naissance par rapport aux femmes dont le sexe a été assigné à la naissance au départ </w:t>
      </w:r>
      <w:r>
        <w:t xml:space="preserve">(n=non rapporté, score TPI moyen [±SD] : 5,22 [±2,76] contre 6,43 [±2,78]) et au </w:t>
      </w:r>
      <w:r>
        <w:t xml:space="preserve">suivi </w:t>
      </w:r>
      <w:r>
        <w:t xml:space="preserve">(n=non rapporté, 5,00 [±3,07] contre 6,39 [±2,59]), différence entre les sexes </w:t>
      </w:r>
      <w:r>
        <w:t xml:space="preserve">p=0,022.</w:t>
      </w:r>
    </w:p>
    <w:p>
      <w:pPr>
        <w:pStyle w:val="Paragraphedeliste"/>
        <w:numPr>
          <w:ilvl w:val="0"/>
          <w:numId w:val="187"/>
        </w:numPr>
        <w:tabs>
          <w:tab w:val="left" w:pos="880"/>
          <w:tab w:val="left" w:pos="881"/>
        </w:tabs>
        <w:spacing w:before="0" w:line="276" w:lineRule="auto"/>
        <w:ind w:end="637"/>
      </w:pPr>
      <w:r>
        <w:t xml:space="preserve">Le score moyen [±SD] d'anxiété (STAI) était significativement plus bas (amélioré) </w:t>
      </w:r>
      <w:r>
        <w:t xml:space="preserve">chez les hommes dont le sexe était assigné à la naissance par rapport aux femmes dont le sexe était assigné à la naissance au </w:t>
      </w:r>
      <w:r>
        <w:t xml:space="preserve">début de l'étude </w:t>
      </w:r>
      <w:r>
        <w:t xml:space="preserve">(n=non rapporté, score STAI moyen [±SD] : 4,33 [±2,68] contre 7,00 [±2,36]) </w:t>
      </w:r>
      <w:r>
        <w:t xml:space="preserve">et lors du suivi (n=non rapporté, 4,39 [±2,64] contre 6,17 [±2,69]), </w:t>
      </w:r>
      <w:r>
        <w:t xml:space="preserve">différence</w:t>
      </w:r>
      <w:r>
        <w:t xml:space="preserve"> entre les sexes </w:t>
      </w:r>
      <w:r>
        <w:t xml:space="preserve">p&lt;0,001.</w:t>
      </w:r>
    </w:p>
    <w:p w:rsidR="00432386" w:rsidRDefault="00432386">
      <w:pPr>
        <w:pStyle w:val="Corpsdetexte"/>
        <w:spacing w:before="5"/>
        <w:ind w:start="0"/>
        <w:rPr>
          <w:sz w:val="24"/>
        </w:rPr>
      </w:pPr>
    </w:p>
    <w:p>
      <w:pPr>
        <w:ind w:start="160"/>
        <w:rPr>
          <w:b/>
          <w:i/>
        </w:rPr>
      </w:pPr>
      <w:r>
        <w:rPr>
          <w:b/>
          <w:i/>
        </w:rPr>
        <w:t xml:space="preserve">Impact </w:t>
      </w:r>
      <w:r>
        <w:rPr>
          <w:b/>
          <w:i/>
        </w:rPr>
        <w:t xml:space="preserve">sur l'</w:t>
      </w:r>
      <w:r>
        <w:rPr>
          <w:b/>
          <w:i/>
        </w:rPr>
        <w:t xml:space="preserve">image </w:t>
      </w:r>
      <w:r>
        <w:rPr>
          <w:b/>
          <w:i/>
        </w:rPr>
        <w:t xml:space="preserve">corporelle</w:t>
      </w:r>
    </w:p>
    <w:p>
      <w:pPr>
        <w:pStyle w:val="Corpsdetexte"/>
        <w:spacing w:before="40" w:line="276" w:lineRule="auto"/>
        <w:ind w:end="482"/>
      </w:pPr>
      <w:r>
        <w:t xml:space="preserve">L'</w:t>
      </w:r>
      <w:r>
        <w:t xml:space="preserve">étude menée par </w:t>
      </w:r>
      <w:hyperlink r:id="rId54">
        <w:r>
          <w:rPr>
            <w:color w:val="0000FF"/>
            <w:u w:val="single" w:color="0000FF"/>
          </w:rPr>
          <w:t xml:space="preserve">de Vries et al. en 2011 </w:t>
        </w:r>
      </w:hyperlink>
      <w:r>
        <w:t xml:space="preserve">auprès de 70 adolescents souffrant de dysphorie de genre a révélé que l'</w:t>
      </w:r>
      <w:r>
        <w:t xml:space="preserve">impact sur l'image corporelle peut être différent chez les hommes dont le sexe a été assigné à la naissance par rapport </w:t>
      </w:r>
      <w:r>
        <w:t xml:space="preserve">aux </w:t>
      </w:r>
      <w:r>
        <w:t xml:space="preserve">femmes dont le sexe a été assigné à la naissance. Les hommes assignés sexuellement à la naissance sont moins insatisfaits de leurs </w:t>
      </w:r>
      <w:r>
        <w:t xml:space="preserve">caractéristiques sexuelles </w:t>
      </w:r>
      <w:r>
        <w:t xml:space="preserve">primaires </w:t>
      </w:r>
      <w:r>
        <w:t xml:space="preserve">et secondaires que les femmes assignées sexuellement à la naissance, tant au début de l'étude qu'au cours du </w:t>
      </w:r>
      <w:r>
        <w:t xml:space="preserve">suivi, </w:t>
      </w:r>
      <w:r>
        <w:t xml:space="preserve">mais </w:t>
      </w:r>
      <w:r>
        <w:t xml:space="preserve">la </w:t>
      </w:r>
      <w:r>
        <w:t xml:space="preserve">satisfaction </w:t>
      </w:r>
      <w:r>
        <w:t xml:space="preserve">des </w:t>
      </w:r>
      <w:r>
        <w:t xml:space="preserve">caractéristiques </w:t>
      </w:r>
      <w:r>
        <w:t xml:space="preserve">corporelles </w:t>
      </w:r>
      <w:r>
        <w:t xml:space="preserve">neutres </w:t>
      </w:r>
      <w:r>
        <w:t xml:space="preserve">n'</w:t>
      </w:r>
      <w:r>
        <w:t xml:space="preserve">est </w:t>
      </w:r>
      <w:r>
        <w:t xml:space="preserve">pas </w:t>
      </w:r>
      <w:r>
        <w:t xml:space="preserve">différente.</w:t>
      </w:r>
    </w:p>
    <w:p w:rsidR="00432386" w:rsidRDefault="00432386">
      <w:pPr>
        <w:pStyle w:val="Corpsdetexte"/>
        <w:spacing w:before="3"/>
        <w:ind w:start="0"/>
        <w:rPr>
          <w:sz w:val="25"/>
        </w:rPr>
      </w:pPr>
    </w:p>
    <w:p>
      <w:pPr>
        <w:pStyle w:val="Paragraphedeliste"/>
        <w:numPr>
          <w:ilvl w:val="0"/>
          <w:numId w:val="187"/>
        </w:numPr>
        <w:tabs>
          <w:tab w:val="left" w:pos="880"/>
          <w:tab w:val="left" w:pos="881"/>
        </w:tabs>
        <w:spacing w:before="0" w:line="276" w:lineRule="auto"/>
        <w:ind w:end="674"/>
      </w:pPr>
      <w:r>
        <w:t xml:space="preserve">Le score BIS moyen [±SD] pour les caractéristiques primaires du sexe était </w:t>
      </w:r>
      <w:r>
        <w:t xml:space="preserve">significativement plus bas (amélioré) chez les hommes assignés à la naissance par rapport aux </w:t>
      </w:r>
      <w:r>
        <w:t xml:space="preserve">femmes assignées à la naissance au départ (n=non rapporté, score BIS moyen [±SD] : 4,</w:t>
      </w:r>
      <w:r>
        <w:t xml:space="preserve">02 </w:t>
      </w:r>
      <w:r>
        <w:t xml:space="preserve">[±0,61] contre 4,16 [±0,52]) et au suivi (n=non rapporté, 3,74 [±0,78] contre 4,17 </w:t>
      </w:r>
      <w:r>
        <w:t xml:space="preserve">[±0,58]), </w:t>
      </w:r>
      <w:r>
        <w:t xml:space="preserve">différence </w:t>
      </w:r>
      <w:r>
        <w:t xml:space="preserve">entre les sexes </w:t>
      </w:r>
      <w:r>
        <w:t xml:space="preserve">p=0,047.</w:t>
      </w:r>
    </w:p>
    <w:p>
      <w:pPr>
        <w:pStyle w:val="Paragraphedeliste"/>
        <w:numPr>
          <w:ilvl w:val="0"/>
          <w:numId w:val="187"/>
        </w:numPr>
        <w:tabs>
          <w:tab w:val="left" w:pos="880"/>
          <w:tab w:val="left" w:pos="881"/>
        </w:tabs>
        <w:spacing w:before="0" w:line="276" w:lineRule="auto"/>
        <w:ind w:end="521"/>
      </w:pPr>
      <w:r>
        <w:t xml:space="preserve">Le score BIS moyen [±SD] pour le sexe secondaire était significativement plus bas </w:t>
      </w:r>
      <w:r>
        <w:t xml:space="preserve">(amélioré) chez les hommes assignés à la naissance par rapport aux </w:t>
      </w:r>
      <w:r>
        <w:t xml:space="preserve">femmes </w:t>
      </w:r>
      <w:r>
        <w:t xml:space="preserve">assignées à la naissance </w:t>
      </w:r>
      <w:r>
        <w:t xml:space="preserve">au départ (n=non rapporté, score BIS moyen [±SD] : 2,66 [±0,50] contre 2,81 </w:t>
      </w:r>
      <w:r>
        <w:t xml:space="preserve">[±0,76]) et au suivi (n=non rapporté, 2,39 [±0,69] contre 3,18 [±0,42]), </w:t>
      </w:r>
      <w:r>
        <w:t xml:space="preserve">différence</w:t>
      </w:r>
      <w:r>
        <w:t xml:space="preserve"> entre les </w:t>
      </w:r>
      <w:r>
        <w:t xml:space="preserve">sexes </w:t>
      </w:r>
      <w:r>
        <w:t xml:space="preserve">p=0,001.</w:t>
      </w:r>
    </w:p>
    <w:p>
      <w:pPr>
        <w:pStyle w:val="Paragraphedeliste"/>
        <w:numPr>
          <w:ilvl w:val="0"/>
          <w:numId w:val="187"/>
        </w:numPr>
        <w:tabs>
          <w:tab w:val="left" w:pos="880"/>
          <w:tab w:val="left" w:pos="881"/>
        </w:tabs>
        <w:spacing w:before="0" w:line="276" w:lineRule="auto"/>
        <w:ind w:end="638"/>
      </w:pPr>
      <w:r>
        <w:t xml:space="preserve">Le score BIS moyen [±SD] pour les caractéristiques corporelles neutres n'était pas statistiquement </w:t>
      </w:r>
      <w:r>
        <w:t xml:space="preserve">différent chez les hommes assignés au sexe de naissance par rapport aux </w:t>
      </w:r>
      <w:r>
        <w:t xml:space="preserve">femmes </w:t>
      </w:r>
      <w:r>
        <w:t xml:space="preserve">assignées au sexe de </w:t>
      </w:r>
      <w:r>
        <w:t xml:space="preserve">naissance au départ (n=non rapporté, 2,60 [±0,58] contre 2,24 [±0,62], </w:t>
      </w:r>
      <w:r>
        <w:t xml:space="preserve">différence </w:t>
      </w:r>
      <w:r>
        <w:t xml:space="preserve">entre les </w:t>
      </w:r>
      <w:r>
        <w:t xml:space="preserve">sexes </w:t>
      </w:r>
      <w:r>
        <w:t xml:space="preserve">p=0,777).</w:t>
      </w:r>
    </w:p>
    <w:p>
      <w:pPr>
        <w:spacing w:before="188"/>
        <w:ind w:start="160"/>
        <w:rPr>
          <w:b/>
          <w:i/>
        </w:rPr>
      </w:pPr>
      <w:r>
        <w:rPr>
          <w:b/>
          <w:i/>
        </w:rPr>
        <w:t xml:space="preserve">Impact </w:t>
      </w:r>
      <w:r>
        <w:rPr>
          <w:b/>
          <w:i/>
        </w:rPr>
        <w:t xml:space="preserve">psychosocial</w:t>
      </w:r>
    </w:p>
    <w:p>
      <w:pPr>
        <w:pStyle w:val="Corpsdetexte"/>
        <w:spacing w:before="38" w:line="276" w:lineRule="auto"/>
        <w:ind w:end="517"/>
      </w:pPr>
      <w:r>
        <w:t xml:space="preserve">L'étude de </w:t>
      </w:r>
      <w:hyperlink r:id="rId55">
        <w:r>
          <w:rPr>
            <w:color w:val="0000FF"/>
            <w:u w:val="single" w:color="0000FF"/>
          </w:rPr>
          <w:t xml:space="preserve">Costa et al. 2015 </w:t>
        </w:r>
      </w:hyperlink>
      <w:r>
        <w:t xml:space="preserve">chez 201 adolescents atteints de dysphorie de genre qui ont bénéficié d'un </w:t>
      </w:r>
      <w:r>
        <w:t xml:space="preserve">soutien psychologique de </w:t>
      </w:r>
      <w:r>
        <w:t xml:space="preserve">6 mois </w:t>
      </w:r>
      <w:r>
        <w:t xml:space="preserve">suivi soit d'analogues de la GnRH et d'un </w:t>
      </w:r>
      <w:r>
        <w:t xml:space="preserve">soutien </w:t>
      </w:r>
      <w:r>
        <w:t xml:space="preserve">psychologique continu</w:t>
      </w:r>
      <w:r>
        <w:t xml:space="preserve">, soit d'un soutien psychologique continu uniquement, a révélé que les hommes assignés à un sexe à la naissance avaient des </w:t>
      </w:r>
      <w:r>
        <w:t xml:space="preserve">scores moyens [±SD] de CGAS au départ statistiquement significatifs inférieurs à </w:t>
      </w:r>
      <w:r>
        <w:t xml:space="preserve">ceux des </w:t>
      </w:r>
      <w:r>
        <w:t xml:space="preserve">femmes assignées à un </w:t>
      </w:r>
      <w:r>
        <w:t xml:space="preserve">sexe à </w:t>
      </w:r>
      <w:r>
        <w:t xml:space="preserve">la naissance (n=201, 55,4 [±12,7] contre 59,2 [±11,8], p=0,03), mais aucune </w:t>
      </w:r>
      <w:r>
        <w:t xml:space="preserve">conclusion </w:t>
      </w:r>
      <w:r>
        <w:t xml:space="preserve">n'a </w:t>
      </w:r>
      <w:r>
        <w:t xml:space="preserve">pu être tirée.</w:t>
      </w:r>
    </w:p>
    <w:p w:rsidR="00432386" w:rsidRDefault="00432386">
      <w:pPr>
        <w:pStyle w:val="Corpsdetexte"/>
        <w:spacing w:before="5"/>
        <w:ind w:start="0"/>
        <w:rPr>
          <w:sz w:val="25"/>
        </w:rPr>
      </w:pPr>
    </w:p>
    <w:p>
      <w:pPr>
        <w:pStyle w:val="Corpsdetexte"/>
        <w:spacing w:before="0" w:line="276" w:lineRule="auto"/>
        <w:ind w:end="934"/>
      </w:pPr>
      <w:r>
        <w:t xml:space="preserve">L'</w:t>
      </w:r>
      <w:r>
        <w:t xml:space="preserve">étude de </w:t>
      </w:r>
      <w:hyperlink r:id="rId56">
        <w:r>
          <w:rPr>
            <w:color w:val="0000FF"/>
            <w:u w:val="single" w:color="0000FF"/>
          </w:rPr>
          <w:t xml:space="preserve">de Vries et al. 2011 </w:t>
        </w:r>
      </w:hyperlink>
      <w:r>
        <w:t xml:space="preserve">chez 70 adolescents souffrant de dysphorie de genre a révélé que l'</w:t>
      </w:r>
      <w:r>
        <w:t xml:space="preserve">impact psychosocial en termes de fonctionnement global (CGAS) et de fonctionnement psychosocial </w:t>
      </w:r>
      <w:r>
        <w:t xml:space="preserve">(CBCL et YSR) peut être différent chez les hommes dont le sexe a été assigné à la naissance par rapport aux </w:t>
      </w:r>
      <w:r>
        <w:t xml:space="preserve">femmes </w:t>
      </w:r>
      <w:r>
        <w:t xml:space="preserve">dont le sexe a été assigné à </w:t>
      </w:r>
      <w:r>
        <w:t xml:space="preserve">la </w:t>
      </w:r>
      <w:r>
        <w:t xml:space="preserve">naissance</w:t>
      </w:r>
      <w:r>
        <w:t xml:space="preserve">, </w:t>
      </w:r>
      <w:r>
        <w:t xml:space="preserve">mais </w:t>
      </w:r>
      <w:r>
        <w:t xml:space="preserve">aucune </w:t>
      </w:r>
      <w:r>
        <w:t xml:space="preserve">conclusion </w:t>
      </w:r>
      <w:r>
        <w:t xml:space="preserve">n'a </w:t>
      </w:r>
      <w:r>
        <w:t xml:space="preserve">pu être </w:t>
      </w:r>
      <w:r>
        <w:t xml:space="preserve">tirée.</w:t>
      </w:r>
    </w:p>
    <w:p w:rsidR="00432386" w:rsidRDefault="00432386">
      <w:pPr>
        <w:pStyle w:val="Corpsdetexte"/>
        <w:spacing w:before="2"/>
        <w:ind w:start="0"/>
        <w:rPr>
          <w:sz w:val="25"/>
        </w:rPr>
      </w:pPr>
    </w:p>
    <w:p>
      <w:pPr>
        <w:pStyle w:val="Paragraphedeliste"/>
        <w:numPr>
          <w:ilvl w:val="0"/>
          <w:numId w:val="187"/>
        </w:numPr>
        <w:tabs>
          <w:tab w:val="left" w:pos="880"/>
          <w:tab w:val="left" w:pos="881"/>
        </w:tabs>
        <w:spacing w:before="1" w:line="271" w:lineRule="auto"/>
        <w:ind w:end="621"/>
      </w:pPr>
      <w:r>
        <w:t xml:space="preserve">Il n'y avait pas de différence statistiquement significative entre les hommes </w:t>
      </w:r>
      <w:r>
        <w:t xml:space="preserve">et les </w:t>
      </w:r>
      <w:r>
        <w:t xml:space="preserve">femmes </w:t>
      </w:r>
      <w:r>
        <w:t xml:space="preserve">assignés à la </w:t>
      </w:r>
      <w:r>
        <w:t xml:space="preserve">naissance</w:t>
      </w:r>
      <w:r>
        <w:t xml:space="preserve"> </w:t>
      </w:r>
      <w:r>
        <w:rPr>
          <w:rFonts w:ascii="Calibri" w:hAnsi="Calibri"/>
        </w:rPr>
        <w:t xml:space="preserve">(au </w:t>
      </w:r>
      <w:r>
        <w:t xml:space="preserve">départ </w:t>
      </w:r>
      <w:r>
        <w:t xml:space="preserve">ou </w:t>
      </w:r>
      <w:r>
        <w:t xml:space="preserve">lors du </w:t>
      </w:r>
      <w:r>
        <w:t xml:space="preserve">suivi</w:t>
      </w:r>
      <w:r>
        <w:t xml:space="preserve">) pour </w:t>
      </w:r>
      <w:r>
        <w:t xml:space="preserve">le </w:t>
      </w:r>
      <w:r>
        <w:t xml:space="preserve">CBCL </w:t>
      </w:r>
      <w:r>
        <w:t xml:space="preserve">Total </w:t>
      </w:r>
      <w:r>
        <w:t xml:space="preserve">T</w:t>
      </w:r>
    </w:p>
    <w:p w:rsidR="00432386" w:rsidRDefault="00432386">
      <w:pPr>
        <w:spacing w:line="271" w:lineRule="auto"/>
        <w:sectPr w:rsidR="00432386">
          <w:pgSz w:w="11910" w:h="16840"/>
          <w:pgMar w:top="1180" w:right="980" w:bottom="1460" w:left="1280" w:header="0" w:footer="1183" w:gutter="0"/>
          <w:cols w:space="720"/>
        </w:sectPr>
      </w:pPr>
    </w:p>
    <w:p>
      <w:pPr>
        <w:pStyle w:val="Corpsdetexte"/>
        <w:spacing w:before="78" w:line="276" w:lineRule="auto"/>
        <w:ind w:start="880" w:end="447"/>
      </w:pPr>
      <w:r>
        <w:lastRenderedPageBreak/>
        <w:t xml:space="preserve">le score T d'internalisation de la CBCL, le </w:t>
      </w:r>
      <w:r>
        <w:t xml:space="preserve">score T total de l'YSR ou le </w:t>
      </w:r>
      <w:r>
        <w:t xml:space="preserve">score T d'</w:t>
      </w:r>
      <w:r>
        <w:t xml:space="preserve">internalisation de l'YSR</w:t>
      </w:r>
      <w:r>
        <w:t xml:space="preserve">.</w:t>
      </w:r>
    </w:p>
    <w:p>
      <w:pPr>
        <w:pStyle w:val="Paragraphedeliste"/>
        <w:numPr>
          <w:ilvl w:val="0"/>
          <w:numId w:val="187"/>
        </w:numPr>
        <w:tabs>
          <w:tab w:val="left" w:pos="880"/>
          <w:tab w:val="left" w:pos="881"/>
        </w:tabs>
        <w:spacing w:before="0" w:line="276" w:lineRule="auto"/>
        <w:ind w:end="552"/>
      </w:pPr>
      <w:r>
        <w:t xml:space="preserve">Les hommes assignés au sexe de naissance avaient des scores CGAS moyens [±SD] statistiquement plus élevés </w:t>
      </w:r>
      <w:r>
        <w:t xml:space="preserve">que les femmes assignées au sexe de naissance au départ (n=54, 73,10 [±8,44] contre </w:t>
      </w:r>
      <w:r>
        <w:t xml:space="preserve">67,25 [±11,06]) et au suivi (n=54, 77,33 </w:t>
      </w:r>
      <w:r>
        <w:t xml:space="preserve">[±8,69] contre 70,30 [±9,44]), </w:t>
      </w:r>
      <w:r>
        <w:t xml:space="preserve">différence </w:t>
      </w:r>
      <w:r>
        <w:t xml:space="preserve">entre les </w:t>
      </w:r>
      <w:r>
        <w:t xml:space="preserve">sexes </w:t>
      </w:r>
      <w:r>
        <w:t xml:space="preserve">p=0,021.</w:t>
      </w:r>
    </w:p>
    <w:p>
      <w:pPr>
        <w:pStyle w:val="Paragraphedeliste"/>
        <w:numPr>
          <w:ilvl w:val="0"/>
          <w:numId w:val="187"/>
        </w:numPr>
        <w:tabs>
          <w:tab w:val="left" w:pos="880"/>
          <w:tab w:val="left" w:pos="881"/>
        </w:tabs>
        <w:spacing w:before="0" w:line="276" w:lineRule="auto"/>
        <w:ind w:end="559"/>
      </w:pPr>
      <w:r>
        <w:t xml:space="preserve">Les hommes assignés à la naissance avaient des </w:t>
      </w:r>
      <w:r>
        <w:t xml:space="preserve">scores </w:t>
      </w:r>
      <w:r>
        <w:t xml:space="preserve">T externalisants CBCL moyens [±SD] statistiquement plus faibles que </w:t>
      </w:r>
      <w:r>
        <w:t xml:space="preserve">les femmes assignées à la naissance au départ (n=54, 54,71 </w:t>
      </w:r>
      <w:r>
        <w:t xml:space="preserve">[±12,91] contre 60,70 [±12,64]) </w:t>
      </w:r>
      <w:r>
        <w:t xml:space="preserve">et au suivi (n=54, 48,75 [±10,22] contre 57,87 </w:t>
      </w:r>
      <w:r>
        <w:t xml:space="preserve">[±11,66]), </w:t>
      </w:r>
      <w:r>
        <w:t xml:space="preserve">différence </w:t>
      </w:r>
      <w:r>
        <w:t xml:space="preserve">entre les </w:t>
      </w:r>
      <w:r>
        <w:t xml:space="preserve">sexes </w:t>
      </w:r>
      <w:r>
        <w:t xml:space="preserve">p=0,015.</w:t>
      </w:r>
    </w:p>
    <w:p>
      <w:pPr>
        <w:pStyle w:val="Paragraphedeliste"/>
        <w:numPr>
          <w:ilvl w:val="0"/>
          <w:numId w:val="187"/>
        </w:numPr>
        <w:tabs>
          <w:tab w:val="left" w:pos="880"/>
          <w:tab w:val="left" w:pos="881"/>
        </w:tabs>
        <w:spacing w:before="0" w:line="276" w:lineRule="auto"/>
        <w:ind w:end="694"/>
      </w:pPr>
      <w:r>
        <w:t xml:space="preserve">Les garçons assignés à la naissance avaient des </w:t>
      </w:r>
      <w:r>
        <w:t xml:space="preserve">scores </w:t>
      </w:r>
      <w:r>
        <w:t xml:space="preserve">T d'externalisation YSR moyens [±SD] statistiquement inférieurs </w:t>
      </w:r>
      <w:r>
        <w:t xml:space="preserve">à ceux des filles assignées à la naissance, tant au départ (n=54, 48,72 </w:t>
      </w:r>
      <w:r>
        <w:t xml:space="preserve">[±11,38] contre 57,24 [±10,59]) qu'au suivi (n=54, 46,52 [±9,23] contre 52,97 </w:t>
      </w:r>
      <w:r>
        <w:t xml:space="preserve">[±8,51]), </w:t>
      </w:r>
      <w:r>
        <w:t xml:space="preserve">différence </w:t>
      </w:r>
      <w:r>
        <w:t xml:space="preserve">entre les </w:t>
      </w:r>
      <w:r>
        <w:t xml:space="preserve">sexes </w:t>
      </w:r>
      <w:r>
        <w:t xml:space="preserve">p=0,004.</w:t>
      </w:r>
    </w:p>
    <w:p w:rsidR="00432386" w:rsidRDefault="00432386">
      <w:pPr>
        <w:pStyle w:val="Corpsdetexte"/>
        <w:spacing w:before="1"/>
        <w:ind w:start="0"/>
        <w:rPr>
          <w:sz w:val="24"/>
        </w:rPr>
      </w:pPr>
    </w:p>
    <w:p>
      <w:pPr>
        <w:spacing w:before="1"/>
        <w:ind w:start="160"/>
        <w:rPr>
          <w:b/>
          <w:i/>
        </w:rPr>
      </w:pPr>
      <w:r>
        <w:rPr>
          <w:b/>
          <w:i/>
        </w:rPr>
        <w:t xml:space="preserve">Densité </w:t>
      </w:r>
      <w:r>
        <w:rPr>
          <w:b/>
          <w:i/>
        </w:rPr>
        <w:t xml:space="preserve">osseuse</w:t>
      </w:r>
    </w:p>
    <w:p>
      <w:pPr>
        <w:pStyle w:val="Corpsdetexte"/>
        <w:spacing w:before="39" w:line="278" w:lineRule="auto"/>
        <w:ind w:end="688"/>
      </w:pPr>
      <w:r>
        <w:t xml:space="preserve">Les </w:t>
      </w:r>
      <w:r>
        <w:t xml:space="preserve">études de </w:t>
      </w:r>
      <w:hyperlink r:id="rId57">
        <w:r>
          <w:rPr>
            <w:color w:val="0000FF"/>
            <w:u w:val="single" w:color="0000FF"/>
          </w:rPr>
          <w:t xml:space="preserve">Joseph et al. 2019</w:t>
        </w:r>
      </w:hyperlink>
      <w:r>
        <w:t xml:space="preserve">, </w:t>
      </w:r>
      <w:hyperlink r:id="rId58">
        <w:r>
          <w:rPr>
            <w:color w:val="0000FF"/>
            <w:u w:val="single" w:color="0000FF"/>
          </w:rPr>
          <w:t xml:space="preserve">Klink et al. 2015 </w:t>
        </w:r>
      </w:hyperlink>
      <w:r>
        <w:t xml:space="preserve">et </w:t>
      </w:r>
      <w:hyperlink r:id="rId59">
        <w:r>
          <w:rPr>
            <w:color w:val="0000FF"/>
            <w:u w:val="single" w:color="0000FF"/>
          </w:rPr>
          <w:t xml:space="preserve">Vlot et al. 2017 </w:t>
        </w:r>
      </w:hyperlink>
      <w:r>
        <w:t xml:space="preserve">ont fourni des preuves de </w:t>
      </w:r>
      <w:r>
        <w:t xml:space="preserve">la </w:t>
      </w:r>
      <w:r>
        <w:t xml:space="preserve">densité </w:t>
      </w:r>
      <w:r>
        <w:t xml:space="preserve">osseuse </w:t>
      </w:r>
      <w:r>
        <w:t xml:space="preserve">chez les </w:t>
      </w:r>
      <w:r>
        <w:t xml:space="preserve">hommes </w:t>
      </w:r>
      <w:r>
        <w:t xml:space="preserve">assignés à un sexe à </w:t>
      </w:r>
      <w:r>
        <w:t xml:space="preserve">la </w:t>
      </w:r>
      <w:r>
        <w:t xml:space="preserve">naissance </w:t>
      </w:r>
      <w:r>
        <w:t xml:space="preserve">(voir </w:t>
      </w:r>
      <w:r>
        <w:t xml:space="preserve">ci-dessus </w:t>
      </w:r>
      <w:r>
        <w:t xml:space="preserve">pour </w:t>
      </w:r>
      <w:r>
        <w:t xml:space="preserve">plus de détails).</w:t>
      </w:r>
    </w:p>
    <w:p>
      <w:pPr>
        <w:spacing w:before="193"/>
        <w:ind w:start="160"/>
        <w:rPr>
          <w:b/>
          <w:i/>
        </w:rPr>
      </w:pPr>
      <w:r>
        <w:rPr>
          <w:b/>
          <w:i/>
        </w:rPr>
        <w:t xml:space="preserve">Développement </w:t>
      </w:r>
      <w:r>
        <w:rPr>
          <w:b/>
          <w:i/>
        </w:rPr>
        <w:t xml:space="preserve">ou </w:t>
      </w:r>
      <w:r>
        <w:rPr>
          <w:b/>
          <w:i/>
        </w:rPr>
        <w:t xml:space="preserve">fonctionnement </w:t>
      </w:r>
      <w:r>
        <w:rPr>
          <w:b/>
          <w:i/>
        </w:rPr>
        <w:t xml:space="preserve">cognitif</w:t>
      </w:r>
    </w:p>
    <w:p>
      <w:pPr>
        <w:pStyle w:val="Corpsdetexte"/>
        <w:spacing w:before="40" w:line="276" w:lineRule="auto"/>
        <w:ind w:end="1239"/>
      </w:pPr>
      <w:r>
        <w:t xml:space="preserve">L'</w:t>
      </w:r>
      <w:r>
        <w:t xml:space="preserve">étude de </w:t>
      </w:r>
      <w:hyperlink r:id="rId60">
        <w:r>
          <w:rPr>
            <w:color w:val="0000FF"/>
            <w:u w:val="single" w:color="0000FF"/>
          </w:rPr>
          <w:t xml:space="preserve">Staphorsius et al. 2015 a </w:t>
        </w:r>
      </w:hyperlink>
      <w:r>
        <w:t xml:space="preserve">fourni des preuves sur le développement ou le </w:t>
      </w:r>
      <w:r>
        <w:t xml:space="preserve">fonctionnement </w:t>
      </w:r>
      <w:r>
        <w:t xml:space="preserve">cognitif </w:t>
      </w:r>
      <w:r>
        <w:t xml:space="preserve">chez les </w:t>
      </w:r>
      <w:r>
        <w:t xml:space="preserve">hommes </w:t>
      </w:r>
      <w:r>
        <w:t xml:space="preserve">assignés à un sexe à la </w:t>
      </w:r>
      <w:r>
        <w:t xml:space="preserve">naissance </w:t>
      </w:r>
      <w:r>
        <w:t xml:space="preserve">(voir </w:t>
      </w:r>
      <w:r>
        <w:t xml:space="preserve">ci-dessus pour plus de détails).</w:t>
      </w:r>
    </w:p>
    <w:p w:rsidR="00432386" w:rsidRDefault="00432386">
      <w:pPr>
        <w:pStyle w:val="Corpsdetexte"/>
        <w:spacing w:before="2"/>
        <w:ind w:start="0"/>
        <w:rPr>
          <w:sz w:val="25"/>
        </w:rPr>
      </w:pPr>
    </w:p>
    <w:p>
      <w:pPr>
        <w:ind w:start="160"/>
        <w:rPr>
          <w:b/>
          <w:i/>
        </w:rPr>
      </w:pPr>
      <w:r>
        <w:rPr>
          <w:b/>
          <w:i/>
        </w:rPr>
        <w:t xml:space="preserve">Autres </w:t>
      </w:r>
      <w:r>
        <w:rPr>
          <w:b/>
          <w:i/>
        </w:rPr>
        <w:t xml:space="preserve">résultats en matière de </w:t>
      </w:r>
      <w:r>
        <w:rPr>
          <w:b/>
          <w:i/>
        </w:rPr>
        <w:t xml:space="preserve">sécurité</w:t>
      </w:r>
    </w:p>
    <w:p>
      <w:pPr>
        <w:pStyle w:val="Corpsdetexte"/>
        <w:spacing w:before="40" w:line="276" w:lineRule="auto"/>
        <w:ind w:end="835"/>
      </w:pPr>
      <w:r>
        <w:t xml:space="preserve">L'étude de </w:t>
      </w:r>
      <w:hyperlink r:id="rId61">
        <w:r>
          <w:rPr>
            <w:color w:val="0000FF"/>
            <w:u w:val="single" w:color="0000FF"/>
          </w:rPr>
          <w:t xml:space="preserve">Schagen</w:t>
        </w:r>
        <w:r>
          <w:rPr>
            <w:color w:val="0000FF"/>
            <w:u w:val="single" w:color="0000FF"/>
          </w:rPr>
          <w:t xml:space="preserve">et al. 2016 a </w:t>
        </w:r>
      </w:hyperlink>
      <w:r>
        <w:t xml:space="preserve">fourni des données sur la fonction rénale chez les </w:t>
      </w:r>
      <w:r>
        <w:t xml:space="preserve">hommes </w:t>
      </w:r>
      <w:r>
        <w:t xml:space="preserve">assignés à un sexe à la </w:t>
      </w:r>
      <w:r>
        <w:t xml:space="preserve">naissance (</w:t>
      </w:r>
      <w:r>
        <w:t xml:space="preserve">voir ci-dessus).</w:t>
      </w:r>
    </w:p>
    <w:p w:rsidR="00432386" w:rsidRDefault="00432386">
      <w:pPr>
        <w:pStyle w:val="Corpsdetexte"/>
        <w:spacing w:before="2"/>
        <w:ind w:start="0"/>
        <w:rPr>
          <w:sz w:val="25"/>
        </w:rPr>
      </w:pPr>
    </w:p>
    <w:p>
      <w:pPr>
        <w:pStyle w:val="Titre2"/>
      </w:pPr>
      <w:r>
        <w:t xml:space="preserve">Sexe </w:t>
      </w:r>
      <w:r>
        <w:t xml:space="preserve">assigné à </w:t>
      </w:r>
      <w:r>
        <w:t xml:space="preserve">la </w:t>
      </w:r>
      <w:r>
        <w:t xml:space="preserve">naissance : </w:t>
      </w:r>
      <w:r>
        <w:t xml:space="preserve">femmes </w:t>
      </w:r>
      <w:r>
        <w:t xml:space="preserve">(transmales)</w:t>
      </w:r>
    </w:p>
    <w:p>
      <w:pPr>
        <w:spacing w:before="38"/>
        <w:ind w:start="160"/>
        <w:rPr>
          <w:b/>
          <w:i/>
        </w:rPr>
      </w:pPr>
      <w:r>
        <w:rPr>
          <w:b/>
          <w:i/>
        </w:rPr>
        <w:t xml:space="preserve">Impact </w:t>
      </w:r>
      <w:r>
        <w:rPr>
          <w:b/>
          <w:i/>
        </w:rPr>
        <w:t xml:space="preserve">sur la </w:t>
      </w:r>
      <w:r>
        <w:rPr>
          <w:b/>
          <w:i/>
        </w:rPr>
        <w:t xml:space="preserve">dysphorie de </w:t>
      </w:r>
      <w:r>
        <w:rPr>
          <w:b/>
          <w:i/>
        </w:rPr>
        <w:t xml:space="preserve">genre</w:t>
      </w:r>
    </w:p>
    <w:p>
      <w:pPr>
        <w:pStyle w:val="Corpsdetexte"/>
        <w:spacing w:before="39" w:line="276" w:lineRule="auto"/>
        <w:ind w:end="592"/>
      </w:pPr>
      <w:r>
        <w:t xml:space="preserve">Les </w:t>
      </w:r>
      <w:r>
        <w:t xml:space="preserve">études de </w:t>
      </w:r>
      <w:hyperlink r:id="rId62">
        <w:r>
          <w:rPr>
            <w:color w:val="0000FF"/>
            <w:u w:val="single" w:color="0000FF"/>
          </w:rPr>
          <w:t xml:space="preserve">de Vries et al. 2011 </w:t>
        </w:r>
      </w:hyperlink>
      <w:r>
        <w:t xml:space="preserve">et de </w:t>
      </w:r>
      <w:hyperlink r:id="rId63">
        <w:r>
          <w:rPr>
            <w:color w:val="0000FF"/>
            <w:u w:val="single" w:color="0000FF"/>
          </w:rPr>
          <w:t xml:space="preserve">Costa et al. 2015 </w:t>
        </w:r>
      </w:hyperlink>
      <w:r>
        <w:t xml:space="preserve">ont révélé que la dysphorie de genre </w:t>
      </w:r>
      <w:r>
        <w:t xml:space="preserve">(mesurée à l'aide de l'UGDS) chez les femmes dont le sexe a été assigné à la naissance est plus élevée que chez les </w:t>
      </w:r>
      <w:r>
        <w:t xml:space="preserve">hommes </w:t>
      </w:r>
      <w:r>
        <w:t xml:space="preserve">dont le sexe a été assigné à la </w:t>
      </w:r>
      <w:r>
        <w:t xml:space="preserve">naissance</w:t>
      </w:r>
      <w:r>
        <w:t xml:space="preserve">, au </w:t>
      </w:r>
      <w:r>
        <w:t xml:space="preserve">départ et lors du </w:t>
      </w:r>
      <w:r>
        <w:t xml:space="preserve">suivi </w:t>
      </w:r>
      <w:r>
        <w:t xml:space="preserve">(voir </w:t>
      </w:r>
      <w:r>
        <w:t xml:space="preserve">ci-dessus </w:t>
      </w:r>
      <w:r>
        <w:t xml:space="preserve">pour </w:t>
      </w:r>
      <w:r>
        <w:t xml:space="preserve">plus de détails).</w:t>
      </w:r>
    </w:p>
    <w:p w:rsidR="00432386" w:rsidRDefault="00432386">
      <w:pPr>
        <w:pStyle w:val="Corpsdetexte"/>
        <w:spacing w:before="4"/>
        <w:ind w:start="0"/>
        <w:rPr>
          <w:sz w:val="25"/>
        </w:rPr>
      </w:pPr>
    </w:p>
    <w:p>
      <w:pPr>
        <w:ind w:start="160"/>
        <w:rPr>
          <w:b/>
          <w:i/>
        </w:rPr>
      </w:pPr>
      <w:r>
        <w:rPr>
          <w:b/>
          <w:i/>
        </w:rPr>
        <w:t xml:space="preserve">Impact </w:t>
      </w:r>
      <w:r>
        <w:rPr>
          <w:b/>
          <w:i/>
        </w:rPr>
        <w:t xml:space="preserve">sur la </w:t>
      </w:r>
      <w:r>
        <w:rPr>
          <w:b/>
          <w:i/>
        </w:rPr>
        <w:t xml:space="preserve">santé </w:t>
      </w:r>
      <w:r>
        <w:rPr>
          <w:b/>
          <w:i/>
        </w:rPr>
        <w:t xml:space="preserve">mentale</w:t>
      </w:r>
    </w:p>
    <w:p>
      <w:pPr>
        <w:pStyle w:val="Corpsdetexte"/>
        <w:spacing w:before="38" w:line="276" w:lineRule="auto"/>
        <w:ind w:end="554"/>
      </w:pPr>
      <w:r>
        <w:t xml:space="preserve">L'</w:t>
      </w:r>
      <w:r>
        <w:t xml:space="preserve">étude de </w:t>
      </w:r>
      <w:hyperlink r:id="rId64">
        <w:r>
          <w:rPr>
            <w:color w:val="0000FF"/>
            <w:u w:val="single" w:color="0000FF"/>
          </w:rPr>
          <w:t xml:space="preserve">de Vries et al. 2011 </w:t>
        </w:r>
      </w:hyperlink>
      <w:r>
        <w:t xml:space="preserve">a révélé que l'impact sur la santé mentale (dépression, colère </w:t>
      </w:r>
      <w:r>
        <w:t xml:space="preserve">et anxiété) peut être différent chez les femmes assignées au sexe de naissance par rapport aux </w:t>
      </w:r>
      <w:r>
        <w:t xml:space="preserve">hommes </w:t>
      </w:r>
      <w:r>
        <w:t xml:space="preserve">assignés au sexe </w:t>
      </w:r>
      <w:r>
        <w:t xml:space="preserve">de naissance. Au fil du temps, il n'y avait pas de </w:t>
      </w:r>
      <w:r>
        <w:t xml:space="preserve">différence statistiquement significative entre les </w:t>
      </w:r>
      <w:r>
        <w:t xml:space="preserve">femmes et les hommes assignés à la naissance pour la dépression, mais </w:t>
      </w:r>
      <w:r>
        <w:t xml:space="preserve">les femmes </w:t>
      </w:r>
      <w:r>
        <w:t xml:space="preserve">assignées à </w:t>
      </w:r>
      <w:r>
        <w:t xml:space="preserve">la naissance présentaient des niveaux de colère et d'anxiété statistiquement plus élevés que les </w:t>
      </w:r>
      <w:r>
        <w:t xml:space="preserve">hommes </w:t>
      </w:r>
      <w:r>
        <w:t xml:space="preserve">assignés à </w:t>
      </w:r>
      <w:r>
        <w:t xml:space="preserve">la </w:t>
      </w:r>
      <w:r>
        <w:t xml:space="preserve">naissance</w:t>
      </w:r>
      <w:r>
        <w:t xml:space="preserve">, </w:t>
      </w:r>
      <w:r>
        <w:t xml:space="preserve">tant </w:t>
      </w:r>
      <w:r>
        <w:t xml:space="preserve">au </w:t>
      </w:r>
      <w:r>
        <w:t xml:space="preserve">départ </w:t>
      </w:r>
      <w:r>
        <w:t xml:space="preserve">qu'au </w:t>
      </w:r>
      <w:r>
        <w:t xml:space="preserve">suivi </w:t>
      </w:r>
      <w:r>
        <w:t xml:space="preserve">(voir </w:t>
      </w:r>
      <w:r>
        <w:t xml:space="preserve">ci-dessus </w:t>
      </w:r>
      <w:r>
        <w:t xml:space="preserve">pour </w:t>
      </w:r>
      <w:r>
        <w:t xml:space="preserve">plus de détails).</w:t>
      </w:r>
    </w:p>
    <w:p w:rsidR="00432386" w:rsidRDefault="00432386">
      <w:pPr>
        <w:pStyle w:val="Corpsdetexte"/>
        <w:spacing w:before="2"/>
        <w:ind w:start="0"/>
        <w:rPr>
          <w:sz w:val="25"/>
        </w:rPr>
      </w:pPr>
    </w:p>
    <w:p>
      <w:pPr>
        <w:ind w:start="160"/>
        <w:rPr>
          <w:b/>
          <w:i/>
        </w:rPr>
      </w:pPr>
      <w:r>
        <w:rPr>
          <w:b/>
          <w:i/>
        </w:rPr>
        <w:t xml:space="preserve">Impact </w:t>
      </w:r>
      <w:r>
        <w:rPr>
          <w:b/>
          <w:i/>
        </w:rPr>
        <w:t xml:space="preserve">sur l'</w:t>
      </w:r>
      <w:r>
        <w:rPr>
          <w:b/>
          <w:i/>
        </w:rPr>
        <w:t xml:space="preserve">image </w:t>
      </w:r>
      <w:r>
        <w:rPr>
          <w:b/>
          <w:i/>
        </w:rPr>
        <w:t xml:space="preserve">corporelle</w:t>
      </w:r>
    </w:p>
    <w:p>
      <w:pPr>
        <w:pStyle w:val="Corpsdetexte"/>
        <w:spacing w:before="40" w:line="276" w:lineRule="auto"/>
        <w:ind w:end="519"/>
      </w:pPr>
      <w:r>
        <w:t xml:space="preserve">L'</w:t>
      </w:r>
      <w:r>
        <w:t xml:space="preserve">étude de </w:t>
      </w:r>
      <w:hyperlink r:id="rId65">
        <w:r>
          <w:rPr>
            <w:color w:val="0000FF"/>
            <w:u w:val="single" w:color="0000FF"/>
          </w:rPr>
          <w:t xml:space="preserve">de Vries et al. 2011 </w:t>
        </w:r>
      </w:hyperlink>
      <w:r>
        <w:t xml:space="preserve">a révélé que l'impact sur l'image corporelle peut être différent chez les </w:t>
      </w:r>
      <w:r>
        <w:t xml:space="preserve">femmes dont le sexe a été assigné à la naissance par rapport aux hommes dont le sexe a été assigné à la naissance. </w:t>
      </w:r>
      <w:r>
        <w:t xml:space="preserve">Les femmes </w:t>
      </w:r>
      <w:r>
        <w:t xml:space="preserve">assignées sexuellement à la </w:t>
      </w:r>
      <w:r>
        <w:t xml:space="preserve">naissance sont plus insatisfaites de leurs caractéristiques sexuelles primaires et secondaires que les </w:t>
      </w:r>
      <w:r>
        <w:t xml:space="preserve">hommes </w:t>
      </w:r>
      <w:r>
        <w:t xml:space="preserve">assignés sexuellement à la </w:t>
      </w:r>
      <w:r>
        <w:t xml:space="preserve">naissance, tant au début de l'étude qu'au cours du suivi, mais la satisfaction des </w:t>
      </w:r>
      <w:r>
        <w:t xml:space="preserve">caractéristiques </w:t>
      </w:r>
      <w:r>
        <w:t xml:space="preserve">corporelles </w:t>
      </w:r>
      <w:r>
        <w:t xml:space="preserve">neutres </w:t>
      </w:r>
      <w:r>
        <w:t xml:space="preserve">n'</w:t>
      </w:r>
      <w:r>
        <w:t xml:space="preserve">est </w:t>
      </w:r>
      <w:r>
        <w:t xml:space="preserve">pas </w:t>
      </w:r>
      <w:r>
        <w:t xml:space="preserve">différente </w:t>
      </w:r>
      <w:r>
        <w:t xml:space="preserve">(voir </w:t>
      </w:r>
      <w:r>
        <w:t xml:space="preserve">ci-dessus </w:t>
      </w:r>
      <w:r>
        <w:t xml:space="preserve">pour plus de détails).</w:t>
      </w:r>
    </w:p>
    <w:p w:rsidR="00432386" w:rsidRDefault="00432386">
      <w:pPr>
        <w:spacing w:line="276" w:lineRule="auto"/>
        <w:sectPr w:rsidR="00432386">
          <w:pgSz w:w="11910" w:h="16840"/>
          <w:pgMar w:top="1180" w:right="980" w:bottom="1460" w:left="1280" w:header="0" w:footer="1183" w:gutter="0"/>
          <w:cols w:space="720"/>
        </w:sectPr>
      </w:pPr>
    </w:p>
    <w:p>
      <w:pPr>
        <w:spacing w:before="78"/>
        <w:ind w:start="160"/>
        <w:jc w:val="both"/>
        <w:rPr>
          <w:b/>
          <w:i/>
        </w:rPr>
      </w:pPr>
      <w:r>
        <w:rPr>
          <w:b/>
          <w:i/>
        </w:rPr>
        <w:t xml:space="preserve">Impact </w:t>
      </w:r>
      <w:r>
        <w:rPr>
          <w:b/>
          <w:i/>
        </w:rPr>
        <w:lastRenderedPageBreak/>
        <w:t xml:space="preserve">psychosocial</w:t>
      </w:r>
    </w:p>
    <w:p>
      <w:pPr>
        <w:pStyle w:val="Corpsdetexte"/>
        <w:spacing w:before="38" w:line="276" w:lineRule="auto"/>
        <w:ind w:end="587"/>
        <w:jc w:val="both"/>
      </w:pPr>
      <w:r>
        <w:t xml:space="preserve">Les </w:t>
      </w:r>
      <w:r>
        <w:t xml:space="preserve">études de </w:t>
      </w:r>
      <w:hyperlink r:id="rId66">
        <w:r>
          <w:rPr>
            <w:color w:val="0000FF"/>
            <w:u w:val="single" w:color="0000FF"/>
          </w:rPr>
          <w:t xml:space="preserve">de Vries et al. 2011 </w:t>
        </w:r>
      </w:hyperlink>
      <w:r>
        <w:t xml:space="preserve">et de </w:t>
      </w:r>
      <w:hyperlink r:id="rId67">
        <w:r>
          <w:rPr>
            <w:color w:val="0000FF"/>
            <w:u w:val="single" w:color="0000FF"/>
          </w:rPr>
          <w:t xml:space="preserve">Costa et al. 2015 </w:t>
        </w:r>
      </w:hyperlink>
      <w:r>
        <w:t xml:space="preserve">ont révélé que l'</w:t>
      </w:r>
      <w:r>
        <w:t xml:space="preserve">impact </w:t>
      </w:r>
      <w:r>
        <w:t xml:space="preserve">psychosocial </w:t>
      </w:r>
      <w:r>
        <w:t xml:space="preserve">en </w:t>
      </w:r>
      <w:r>
        <w:t xml:space="preserve">termes de fonctionnement global (CGAS) et de fonctionnement psychosocial (CBCL et YSR) pouvait être </w:t>
      </w:r>
      <w:r>
        <w:t xml:space="preserve">différent chez les femmes assignées à la naissance par rapport aux hommes assignés à la naissance, mais aucune </w:t>
      </w:r>
      <w:r>
        <w:t xml:space="preserve">conclusion </w:t>
      </w:r>
      <w:r>
        <w:t xml:space="preserve">n'a </w:t>
      </w:r>
      <w:r>
        <w:t xml:space="preserve">pu être tirée </w:t>
      </w:r>
      <w:r>
        <w:t xml:space="preserve">(voir </w:t>
      </w:r>
      <w:r>
        <w:t xml:space="preserve">ci-dessus </w:t>
      </w:r>
      <w:r>
        <w:t xml:space="preserve">pour </w:t>
      </w:r>
      <w:r>
        <w:t xml:space="preserve">plus de détails).</w:t>
      </w:r>
    </w:p>
    <w:p w:rsidR="00432386" w:rsidRDefault="00432386">
      <w:pPr>
        <w:pStyle w:val="Corpsdetexte"/>
        <w:spacing w:before="3"/>
        <w:ind w:start="0"/>
        <w:rPr>
          <w:sz w:val="25"/>
        </w:rPr>
      </w:pPr>
    </w:p>
    <w:p>
      <w:pPr>
        <w:ind w:start="160"/>
        <w:jc w:val="both"/>
        <w:rPr>
          <w:b/>
          <w:i/>
        </w:rPr>
      </w:pPr>
      <w:r>
        <w:rPr>
          <w:b/>
          <w:i/>
        </w:rPr>
        <w:t xml:space="preserve">Densité </w:t>
      </w:r>
      <w:r>
        <w:rPr>
          <w:b/>
          <w:i/>
        </w:rPr>
        <w:t xml:space="preserve">osseuse</w:t>
      </w:r>
    </w:p>
    <w:p>
      <w:pPr>
        <w:pStyle w:val="Corpsdetexte"/>
        <w:spacing w:before="38" w:line="278" w:lineRule="auto"/>
        <w:ind w:end="700"/>
        <w:jc w:val="both"/>
      </w:pPr>
      <w:r>
        <w:t xml:space="preserve">Les </w:t>
      </w:r>
      <w:r>
        <w:t xml:space="preserve">études de </w:t>
      </w:r>
      <w:hyperlink r:id="rId68">
        <w:r>
          <w:rPr>
            <w:color w:val="0000FF"/>
            <w:u w:val="single" w:color="0000FF"/>
          </w:rPr>
          <w:t xml:space="preserve">Joseph et al. 2019</w:t>
        </w:r>
      </w:hyperlink>
      <w:r>
        <w:t xml:space="preserve">, </w:t>
      </w:r>
      <w:hyperlink r:id="rId69">
        <w:r>
          <w:rPr>
            <w:color w:val="0000FF"/>
            <w:u w:val="single" w:color="0000FF"/>
          </w:rPr>
          <w:t xml:space="preserve">Klink et al. 2015 </w:t>
        </w:r>
      </w:hyperlink>
      <w:r>
        <w:t xml:space="preserve">et </w:t>
      </w:r>
      <w:hyperlink r:id="rId70">
        <w:r>
          <w:rPr>
            <w:color w:val="0000FF"/>
            <w:u w:val="single" w:color="0000FF"/>
          </w:rPr>
          <w:t xml:space="preserve">Vlot et al. 2017 </w:t>
        </w:r>
      </w:hyperlink>
      <w:r>
        <w:t xml:space="preserve">ont fourni des données </w:t>
      </w:r>
      <w:r>
        <w:t xml:space="preserve">sur la </w:t>
      </w:r>
      <w:r>
        <w:t xml:space="preserve">densité </w:t>
      </w:r>
      <w:r>
        <w:t xml:space="preserve">osseuse </w:t>
      </w:r>
      <w:r>
        <w:t xml:space="preserve">des </w:t>
      </w:r>
      <w:r>
        <w:t xml:space="preserve">femmes </w:t>
      </w:r>
      <w:r>
        <w:t xml:space="preserve">assignées à un sexe à </w:t>
      </w:r>
      <w:r>
        <w:t xml:space="preserve">la </w:t>
      </w:r>
      <w:r>
        <w:t xml:space="preserve">naissance </w:t>
      </w:r>
      <w:r>
        <w:t xml:space="preserve">(voir ci-dessus </w:t>
      </w:r>
      <w:r>
        <w:t xml:space="preserve">pour </w:t>
      </w:r>
      <w:r>
        <w:t xml:space="preserve">plus de détails).</w:t>
      </w:r>
    </w:p>
    <w:p>
      <w:pPr>
        <w:spacing w:before="195"/>
        <w:ind w:start="160"/>
        <w:rPr>
          <w:b/>
          <w:i/>
        </w:rPr>
      </w:pPr>
      <w:r>
        <w:rPr>
          <w:b/>
          <w:i/>
        </w:rPr>
        <w:t xml:space="preserve">Développement </w:t>
      </w:r>
      <w:r>
        <w:rPr>
          <w:b/>
          <w:i/>
        </w:rPr>
        <w:t xml:space="preserve">ou </w:t>
      </w:r>
      <w:r>
        <w:rPr>
          <w:b/>
          <w:i/>
        </w:rPr>
        <w:t xml:space="preserve">fonctionnement </w:t>
      </w:r>
      <w:r>
        <w:rPr>
          <w:b/>
          <w:i/>
        </w:rPr>
        <w:t xml:space="preserve">cognitif</w:t>
      </w:r>
    </w:p>
    <w:p>
      <w:pPr>
        <w:pStyle w:val="Corpsdetexte"/>
        <w:spacing w:before="38" w:line="276" w:lineRule="auto"/>
        <w:ind w:end="1239"/>
      </w:pPr>
      <w:r>
        <w:t xml:space="preserve">L'</w:t>
      </w:r>
      <w:r>
        <w:t xml:space="preserve">étude de </w:t>
      </w:r>
      <w:hyperlink r:id="rId71">
        <w:r>
          <w:rPr>
            <w:color w:val="0000FF"/>
            <w:u w:val="single" w:color="0000FF"/>
          </w:rPr>
          <w:t xml:space="preserve">Staphorsius et al. 2015 a </w:t>
        </w:r>
      </w:hyperlink>
      <w:r>
        <w:t xml:space="preserve">fourni des preuves sur le développement ou le </w:t>
      </w:r>
      <w:r>
        <w:t xml:space="preserve">fonctionnement </w:t>
      </w:r>
      <w:r>
        <w:t xml:space="preserve">cognitif </w:t>
      </w:r>
      <w:r>
        <w:t xml:space="preserve">chez les </w:t>
      </w:r>
      <w:r>
        <w:t xml:space="preserve">femmes </w:t>
      </w:r>
      <w:r>
        <w:t xml:space="preserve">assignées à un sexe à la </w:t>
      </w:r>
      <w:r>
        <w:t xml:space="preserve">naissance </w:t>
      </w:r>
      <w:r>
        <w:t xml:space="preserve">(voir </w:t>
      </w:r>
      <w:r>
        <w:t xml:space="preserve">ci-dessus </w:t>
      </w:r>
      <w:r>
        <w:t xml:space="preserve">pour plus de détails).</w:t>
      </w:r>
    </w:p>
    <w:p w:rsidR="00432386" w:rsidRDefault="00432386">
      <w:pPr>
        <w:pStyle w:val="Corpsdetexte"/>
        <w:spacing w:before="4"/>
        <w:ind w:start="0"/>
        <w:rPr>
          <w:sz w:val="25"/>
        </w:rPr>
      </w:pPr>
    </w:p>
    <w:p>
      <w:pPr>
        <w:ind w:start="160"/>
        <w:rPr>
          <w:b/>
          <w:i/>
        </w:rPr>
      </w:pPr>
      <w:r>
        <w:rPr>
          <w:b/>
          <w:i/>
        </w:rPr>
        <w:t xml:space="preserve">Autres </w:t>
      </w:r>
      <w:r>
        <w:rPr>
          <w:b/>
          <w:i/>
        </w:rPr>
        <w:t xml:space="preserve">résultats en matière de </w:t>
      </w:r>
      <w:r>
        <w:rPr>
          <w:b/>
          <w:i/>
        </w:rPr>
        <w:t xml:space="preserve">sécurité</w:t>
      </w:r>
    </w:p>
    <w:p>
      <w:pPr>
        <w:pStyle w:val="Corpsdetexte"/>
        <w:spacing w:before="38" w:line="276" w:lineRule="auto"/>
        <w:ind w:end="835"/>
      </w:pPr>
      <w:r>
        <w:t xml:space="preserve">L'étude de </w:t>
      </w:r>
      <w:hyperlink r:id="rId72">
        <w:r>
          <w:rPr>
            <w:color w:val="0000FF"/>
            <w:u w:val="single" w:color="0000FF"/>
          </w:rPr>
          <w:t xml:space="preserve">Schagen et al. 2016 a </w:t>
        </w:r>
      </w:hyperlink>
      <w:r>
        <w:t xml:space="preserve">fourni des données sur la fonction rénale chez les </w:t>
      </w:r>
      <w:r>
        <w:t xml:space="preserve">femmes </w:t>
      </w:r>
      <w:r>
        <w:t xml:space="preserve">assignées à un sexe à la </w:t>
      </w:r>
      <w:r>
        <w:t xml:space="preserve">naissance </w:t>
      </w:r>
      <w:r>
        <w:t xml:space="preserve">(voir </w:t>
      </w:r>
      <w:r>
        <w:t xml:space="preserve">ci-dessus </w:t>
      </w:r>
      <w:r>
        <w:t xml:space="preserve">pour </w:t>
      </w:r>
      <w:r>
        <w:t xml:space="preserve">plus de détails).</w:t>
      </w:r>
    </w:p>
    <w:p w:rsidR="00432386" w:rsidRDefault="00432386">
      <w:pPr>
        <w:pStyle w:val="Corpsdetexte"/>
        <w:spacing w:before="4"/>
        <w:ind w:start="0"/>
        <w:rPr>
          <w:sz w:val="25"/>
        </w:rPr>
      </w:pPr>
    </w:p>
    <w:p>
      <w:pPr>
        <w:ind w:start="160"/>
        <w:rPr>
          <w:b/>
        </w:rPr>
      </w:pPr>
      <w:r>
        <w:rPr>
          <w:b/>
        </w:rPr>
        <w:t xml:space="preserve">A partir </w:t>
      </w:r>
      <w:r>
        <w:rPr>
          <w:b/>
        </w:rPr>
        <w:t xml:space="preserve">des </w:t>
      </w:r>
      <w:r>
        <w:rPr>
          <w:b/>
        </w:rPr>
        <w:t xml:space="preserve">preuves </w:t>
      </w:r>
      <w:r>
        <w:rPr>
          <w:b/>
        </w:rPr>
        <w:t xml:space="preserve">sélectionnées :</w:t>
      </w:r>
    </w:p>
    <w:p>
      <w:pPr>
        <w:pStyle w:val="Paragraphedeliste"/>
        <w:numPr>
          <w:ilvl w:val="0"/>
          <w:numId w:val="186"/>
        </w:numPr>
        <w:tabs>
          <w:tab w:val="left" w:pos="880"/>
          <w:tab w:val="left" w:pos="881"/>
        </w:tabs>
        <w:spacing w:before="38" w:line="276" w:lineRule="auto"/>
        <w:ind w:end="645"/>
        <w:rPr>
          <w:b/>
        </w:rPr>
      </w:pPr>
      <w:r>
        <w:rPr>
          <w:b/>
        </w:rPr>
        <w:t xml:space="preserve">quels sont les critères utilisés par les études de recherche pour définir la dysphorie de genre, le </w:t>
      </w:r>
      <w:r>
        <w:rPr>
          <w:b/>
        </w:rPr>
        <w:t xml:space="preserve">trouble de l'</w:t>
      </w:r>
      <w:r>
        <w:rPr>
          <w:b/>
        </w:rPr>
        <w:t xml:space="preserve">identité de genre </w:t>
      </w:r>
      <w:r>
        <w:rPr>
          <w:b/>
        </w:rPr>
        <w:t xml:space="preserve">et l'</w:t>
      </w:r>
      <w:r>
        <w:rPr>
          <w:b/>
        </w:rPr>
        <w:t xml:space="preserve">incongruence de </w:t>
      </w:r>
      <w:r>
        <w:rPr>
          <w:b/>
        </w:rPr>
        <w:t xml:space="preserve">genre </w:t>
      </w:r>
      <w:r>
        <w:rPr>
          <w:b/>
        </w:rPr>
        <w:t xml:space="preserve">de l'</w:t>
      </w:r>
      <w:r>
        <w:rPr>
          <w:b/>
        </w:rPr>
        <w:t xml:space="preserve">enfance ?</w:t>
      </w:r>
    </w:p>
    <w:p>
      <w:pPr>
        <w:pStyle w:val="Paragraphedeliste"/>
        <w:numPr>
          <w:ilvl w:val="0"/>
          <w:numId w:val="186"/>
        </w:numPr>
        <w:tabs>
          <w:tab w:val="left" w:pos="880"/>
          <w:tab w:val="left" w:pos="881"/>
        </w:tabs>
        <w:spacing w:before="0" w:line="278" w:lineRule="auto"/>
        <w:ind w:end="903"/>
        <w:rPr>
          <w:b/>
        </w:rPr>
      </w:pPr>
      <w:r>
        <w:rPr>
          <w:b/>
        </w:rPr>
        <w:t xml:space="preserve">quels étaient les âges auxquels les participants ont commencé le traitement par les </w:t>
      </w:r>
      <w:r>
        <w:rPr>
          <w:b/>
        </w:rPr>
        <w:t xml:space="preserve">analogues de la </w:t>
      </w:r>
      <w:r>
        <w:rPr>
          <w:b/>
        </w:rPr>
        <w:t xml:space="preserve">GnRH </w:t>
      </w:r>
      <w:r>
        <w:rPr>
          <w:b/>
        </w:rPr>
        <w:t xml:space="preserve">?</w:t>
      </w:r>
    </w:p>
    <w:p>
      <w:pPr>
        <w:pStyle w:val="Paragraphedeliste"/>
        <w:numPr>
          <w:ilvl w:val="0"/>
          <w:numId w:val="186"/>
        </w:numPr>
        <w:tabs>
          <w:tab w:val="left" w:pos="880"/>
          <w:tab w:val="left" w:pos="881"/>
        </w:tabs>
        <w:spacing w:before="0" w:line="249" w:lineRule="exact"/>
        <w:ind w:hanging="721"/>
        <w:rPr>
          <w:b/>
        </w:rPr>
      </w:pPr>
      <w:r>
        <w:rPr>
          <w:b/>
        </w:rPr>
        <w:t xml:space="preserve">quelle </w:t>
      </w:r>
      <w:r>
        <w:rPr>
          <w:b/>
        </w:rPr>
        <w:t xml:space="preserve">a </w:t>
      </w:r>
      <w:r>
        <w:rPr>
          <w:b/>
        </w:rPr>
        <w:t xml:space="preserve">été la </w:t>
      </w:r>
      <w:r>
        <w:rPr>
          <w:b/>
        </w:rPr>
        <w:t xml:space="preserve">durée du </w:t>
      </w:r>
      <w:r>
        <w:rPr>
          <w:b/>
        </w:rPr>
        <w:t xml:space="preserve">traitement </w:t>
      </w:r>
      <w:r>
        <w:rPr>
          <w:b/>
        </w:rPr>
        <w:t xml:space="preserve">par les </w:t>
      </w:r>
      <w:r>
        <w:rPr>
          <w:b/>
        </w:rPr>
        <w:t xml:space="preserve">analogues de la </w:t>
      </w:r>
      <w:r>
        <w:rPr>
          <w:b/>
        </w:rPr>
        <w:t xml:space="preserve">GnRH </w:t>
      </w:r>
      <w:r>
        <w:rPr>
          <w:b/>
        </w:rPr>
        <w:t xml:space="preserve">?</w:t>
      </w:r>
    </w:p>
    <w:p w:rsidR="00432386" w:rsidRDefault="00432386">
      <w:pPr>
        <w:pStyle w:val="Corpsdetexte"/>
        <w:spacing w:before="4"/>
        <w:ind w:start="0"/>
        <w:rPr>
          <w:b/>
          <w:sz w:val="28"/>
        </w:rPr>
      </w:pPr>
    </w:p>
    <w:p>
      <w:pPr>
        <w:pStyle w:val="Corpsdetexte"/>
        <w:spacing w:before="0" w:line="276" w:lineRule="auto"/>
        <w:ind w:end="580"/>
      </w:pPr>
      <w:r>
        <w:t xml:space="preserve">Toutes les études qui ont rapporté des critères diagnostiques pour la dysphorie de genre (6/9 études) ont utilisé la </w:t>
      </w:r>
      <w:r>
        <w:t xml:space="preserve">version des critères du Manuel diagnostique et statistique des troubles mentaux (DSM) qui était </w:t>
      </w:r>
      <w:r>
        <w:t xml:space="preserve">utilisée à l'époque. Dans 5 études (</w:t>
      </w:r>
      <w:hyperlink r:id="rId73">
        <w:r>
          <w:rPr>
            <w:color w:val="0000FF"/>
            <w:u w:val="single" w:color="0000FF"/>
          </w:rPr>
          <w:t xml:space="preserve">Costa et al. 2015</w:t>
        </w:r>
      </w:hyperlink>
      <w:r>
        <w:t xml:space="preserve">, </w:t>
      </w:r>
      <w:hyperlink r:id="rId74">
        <w:r>
          <w:rPr>
            <w:color w:val="0000FF"/>
            <w:u w:val="single" w:color="0000FF"/>
          </w:rPr>
          <w:t xml:space="preserve">Klink et al. 2015</w:t>
        </w:r>
      </w:hyperlink>
      <w:r>
        <w:t xml:space="preserve">, </w:t>
      </w:r>
      <w:hyperlink r:id="rId75">
        <w:r>
          <w:rPr>
            <w:color w:val="0000FF"/>
            <w:u w:val="single" w:color="0000FF"/>
          </w:rPr>
          <w:t xml:space="preserve">Schagen et al. 2016</w:t>
        </w:r>
      </w:hyperlink>
      <w:r>
        <w:t xml:space="preserve">, </w:t>
      </w:r>
      <w:hyperlink r:id="rId76">
        <w:r>
          <w:rPr>
            <w:color w:val="0000FF"/>
            <w:u w:val="single" w:color="0000FF"/>
          </w:rPr>
          <w:t xml:space="preserve">Staphorsius et al. 2015 </w:t>
        </w:r>
      </w:hyperlink>
      <w:r>
        <w:t xml:space="preserve">et </w:t>
      </w:r>
      <w:hyperlink r:id="rId77">
        <w:r>
          <w:rPr>
            <w:color w:val="0000FF"/>
            <w:u w:val="single" w:color="0000FF"/>
          </w:rPr>
          <w:t xml:space="preserve">Vlot et al. 2017</w:t>
        </w:r>
      </w:hyperlink>
      <w:r>
        <w:t xml:space="preserve">), les </w:t>
      </w:r>
      <w:r>
        <w:t xml:space="preserve">critères du </w:t>
      </w:r>
      <w:r>
        <w:t xml:space="preserve">DSM-quatrième édition, révision du texte (IV-TR) </w:t>
      </w:r>
      <w:r>
        <w:t xml:space="preserve">ont été utilisés. L'étude de </w:t>
      </w:r>
      <w:hyperlink r:id="rId78">
        <w:r>
          <w:rPr>
            <w:color w:val="0000FF"/>
            <w:u w:val="single" w:color="0000FF"/>
          </w:rPr>
          <w:t xml:space="preserve">Brik et al. 2020 a utilisé </w:t>
        </w:r>
      </w:hyperlink>
      <w:r>
        <w:t xml:space="preserve">les critères du DSM-V. Il n'a pas été indiqué </w:t>
      </w:r>
      <w:r>
        <w:t xml:space="preserve">comment la </w:t>
      </w:r>
      <w:r>
        <w:t xml:space="preserve">dysphorie de </w:t>
      </w:r>
      <w:r>
        <w:t xml:space="preserve">genre </w:t>
      </w:r>
      <w:r>
        <w:t xml:space="preserve">a été définie </w:t>
      </w:r>
      <w:r>
        <w:t xml:space="preserve">dans </w:t>
      </w:r>
      <w:r>
        <w:t xml:space="preserve">les </w:t>
      </w:r>
      <w:r>
        <w:t xml:space="preserve">3 </w:t>
      </w:r>
      <w:r>
        <w:t xml:space="preserve">autres </w:t>
      </w:r>
      <w:r>
        <w:t xml:space="preserve">études.</w:t>
      </w:r>
    </w:p>
    <w:p w:rsidR="00432386" w:rsidRDefault="00432386">
      <w:pPr>
        <w:pStyle w:val="Corpsdetexte"/>
        <w:spacing w:before="5"/>
        <w:ind w:start="0"/>
        <w:rPr>
          <w:sz w:val="25"/>
        </w:rPr>
      </w:pPr>
    </w:p>
    <w:p>
      <w:pPr>
        <w:pStyle w:val="Corpsdetexte"/>
        <w:spacing w:before="0" w:line="276" w:lineRule="auto"/>
        <w:ind w:end="518"/>
      </w:pPr>
      <w:r>
        <w:t xml:space="preserve">Les études montrent une variation de l'âge (11 à 18 ans) auquel les enfants et les adolescents </w:t>
      </w:r>
      <w:r>
        <w:t xml:space="preserve">atteints de </w:t>
      </w:r>
      <w:r>
        <w:t xml:space="preserve">dysphorie de </w:t>
      </w:r>
      <w:r>
        <w:t xml:space="preserve">genre </w:t>
      </w:r>
      <w:r>
        <w:t xml:space="preserve">ont commencé à prendre des </w:t>
      </w:r>
      <w:r>
        <w:t xml:space="preserve">analogues de la </w:t>
      </w:r>
      <w:r>
        <w:t xml:space="preserve">GnRH</w:t>
      </w:r>
      <w:r>
        <w:t xml:space="preserve">.</w:t>
      </w:r>
    </w:p>
    <w:p w:rsidR="00432386" w:rsidRDefault="00432386">
      <w:pPr>
        <w:pStyle w:val="Corpsdetexte"/>
        <w:spacing w:before="2"/>
        <w:ind w:start="0"/>
        <w:rPr>
          <w:sz w:val="25"/>
        </w:rPr>
      </w:pPr>
    </w:p>
    <w:p>
      <w:pPr>
        <w:pStyle w:val="Corpsdetexte"/>
        <w:spacing w:before="0" w:line="276" w:lineRule="auto"/>
        <w:ind w:end="773"/>
      </w:pPr>
      <w:r>
        <w:t xml:space="preserve">La plupart des études ne rapportaient pas la durée du traitement par les analogues de la GnRH (</w:t>
      </w:r>
      <w:hyperlink r:id="rId79">
        <w:r>
          <w:rPr>
            <w:color w:val="0000FF"/>
            <w:u w:val="single" w:color="0000FF"/>
          </w:rPr>
          <w:t xml:space="preserve">Joseph et al. </w:t>
        </w:r>
      </w:hyperlink>
      <w:hyperlink r:id="rId80">
        <w:r>
          <w:rPr>
            <w:color w:val="0000FF"/>
            <w:u w:val="single" w:color="0000FF"/>
          </w:rPr>
          <w:t xml:space="preserve">2019</w:t>
        </w:r>
      </w:hyperlink>
      <w:r>
        <w:t xml:space="preserve">, </w:t>
      </w:r>
      <w:hyperlink r:id="rId81">
        <w:r>
          <w:rPr>
            <w:color w:val="0000FF"/>
            <w:u w:val="single" w:color="0000FF"/>
          </w:rPr>
          <w:t xml:space="preserve">Khatchadourian et al. 2014</w:t>
        </w:r>
      </w:hyperlink>
      <w:r>
        <w:t xml:space="preserve">, </w:t>
      </w:r>
      <w:hyperlink r:id="rId82">
        <w:r>
          <w:rPr>
            <w:color w:val="0000FF"/>
            <w:u w:val="single" w:color="0000FF"/>
          </w:rPr>
          <w:t xml:space="preserve">Vlot et al. 2017</w:t>
        </w:r>
      </w:hyperlink>
      <w:r>
        <w:t xml:space="preserve">, </w:t>
      </w:r>
      <w:hyperlink r:id="rId83">
        <w:r>
          <w:rPr>
            <w:color w:val="0000FF"/>
            <w:u w:val="single" w:color="0000FF"/>
          </w:rPr>
          <w:t xml:space="preserve">Costa et al. 2015</w:t>
        </w:r>
      </w:hyperlink>
      <w:r>
        <w:t xml:space="preserve">, </w:t>
      </w:r>
      <w:hyperlink r:id="rId84">
        <w:r>
          <w:rPr>
            <w:color w:val="0000FF"/>
            <w:u w:val="single" w:color="0000FF"/>
          </w:rPr>
          <w:t xml:space="preserve">de Vries </w:t>
        </w:r>
        <w:r>
          <w:rPr>
            <w:color w:val="0000FF"/>
            <w:u w:val="single" w:color="0000FF"/>
          </w:rPr>
          <w:t xml:space="preserve">et al. 2011</w:t>
        </w:r>
      </w:hyperlink>
      <w:r>
        <w:t xml:space="preserve">, </w:t>
      </w:r>
      <w:hyperlink r:id="rId85">
        <w:r>
          <w:rPr>
            <w:color w:val="0000FF"/>
            <w:u w:val="single" w:color="0000FF"/>
          </w:rPr>
          <w:t xml:space="preserve">Schagen et al. 2016</w:t>
        </w:r>
      </w:hyperlink>
      <w:r>
        <w:t xml:space="preserve">), mais lorsque celle-ci était rapportée (</w:t>
      </w:r>
      <w:hyperlink r:id="rId86">
        <w:r>
          <w:rPr>
            <w:color w:val="0000FF"/>
            <w:u w:val="single" w:color="0000FF"/>
          </w:rPr>
          <w:t xml:space="preserve">Brik et al. 2020</w:t>
        </w:r>
      </w:hyperlink>
      <w:r>
        <w:t xml:space="preserve">, </w:t>
      </w:r>
      <w:hyperlink r:id="rId87">
        <w:r>
          <w:rPr>
            <w:color w:val="0000FF"/>
            <w:u w:val="single" w:color="0000FF"/>
          </w:rPr>
          <w:t xml:space="preserve">Klink et al. 2015</w:t>
        </w:r>
      </w:hyperlink>
      <w:r>
        <w:t xml:space="preserve">, </w:t>
      </w:r>
      <w:hyperlink r:id="rId88">
        <w:r>
          <w:rPr>
            <w:color w:val="0000FF"/>
            <w:u w:val="single" w:color="0000FF"/>
          </w:rPr>
          <w:t xml:space="preserve">Staphorsius et al. 2015</w:t>
        </w:r>
      </w:hyperlink>
      <w:r>
        <w:t xml:space="preserve">), il y avait une grande </w:t>
      </w:r>
      <w:r>
        <w:t xml:space="preserve">variation allant de quelques mois à environ 5 </w:t>
      </w:r>
      <w:r>
        <w:t xml:space="preserve">ans.</w:t>
      </w:r>
    </w:p>
    <w:p>
      <w:pPr>
        <w:pStyle w:val="Titre1"/>
        <w:spacing w:before="202"/>
      </w:pPr>
      <w:bookmarkStart w:name="_bookmark4" w:id="5"/>
      <w:bookmarkEnd w:id="5"/>
      <w:r>
        <w:rPr>
          <w:color w:val="4F81BC"/>
        </w:rPr>
        <w:t xml:space="preserve">Discussion</w:t>
      </w:r>
    </w:p>
    <w:p w:rsidR="00432386" w:rsidRDefault="00432386">
      <w:pPr>
        <w:pStyle w:val="Corpsdetexte"/>
        <w:spacing w:before="10"/>
        <w:ind w:start="0"/>
        <w:rPr>
          <w:b/>
          <w:sz w:val="20"/>
        </w:rPr>
      </w:pPr>
    </w:p>
    <w:p>
      <w:pPr>
        <w:pStyle w:val="Corpsdetexte"/>
        <w:spacing w:before="0" w:line="276" w:lineRule="auto"/>
        <w:ind w:end="567"/>
      </w:pPr>
      <w:r>
        <w:t xml:space="preserve">L'une des principales limites à l'identification de l'efficacité et de la sécurité des analogues de la GnRH pour les enfants </w:t>
      </w:r>
      <w:r>
        <w:t xml:space="preserve">et les adolescents atteints de dysphorie de genre est le manque d'études comparatives fiables. L'absence de </w:t>
      </w:r>
      <w:r>
        <w:t xml:space="preserve">résultats clairs et attendus du traitement par un analogue de la GnRH (dont le but est </w:t>
      </w:r>
      <w:r>
        <w:t xml:space="preserve">de supprimer les caractéristiques sexuelles secondaires qui peuvent causer de la détresse en raison de </w:t>
      </w:r>
      <w:r>
        <w:t xml:space="preserve">changements </w:t>
      </w:r>
      <w:r>
        <w:t xml:space="preserve">pubertaires </w:t>
      </w:r>
      <w:r>
        <w:t xml:space="preserve">non désirés</w:t>
      </w:r>
      <w:r>
        <w:t xml:space="preserve">) </w:t>
      </w:r>
      <w:r>
        <w:t xml:space="preserve">rend </w:t>
      </w:r>
      <w:r>
        <w:t xml:space="preserve">également </w:t>
      </w:r>
      <w:r>
        <w:t xml:space="preserve">difficile l'</w:t>
      </w:r>
      <w:r>
        <w:t xml:space="preserve">interprétation </w:t>
      </w:r>
      <w:r>
        <w:t xml:space="preserve">des </w:t>
      </w:r>
      <w:r>
        <w:t xml:space="preserve">preuves</w:t>
      </w:r>
      <w:r>
        <w:t xml:space="preserve">.</w:t>
      </w:r>
    </w:p>
    <w:p w:rsidR="00432386" w:rsidRDefault="00432386">
      <w:pPr>
        <w:spacing w:line="276" w:lineRule="auto"/>
        <w:sectPr w:rsidR="00432386">
          <w:pgSz w:w="11910" w:h="16840"/>
          <w:pgMar w:top="1180" w:right="980" w:bottom="1460" w:left="1280" w:header="0" w:footer="1183" w:gutter="0"/>
          <w:cols w:space="720"/>
        </w:sectPr>
      </w:pPr>
    </w:p>
    <w:p>
      <w:pPr>
        <w:pStyle w:val="Corpsdetexte"/>
        <w:spacing w:before="78" w:line="276" w:lineRule="auto"/>
        <w:ind w:end="457"/>
      </w:pPr>
      <w:r>
        <w:lastRenderedPageBreak/>
        <w:t xml:space="preserve">Les </w:t>
      </w:r>
      <w:r>
        <w:t xml:space="preserve">études </w:t>
      </w:r>
      <w:r>
        <w:t xml:space="preserve">incluses </w:t>
      </w:r>
      <w:r>
        <w:t xml:space="preserve">dans </w:t>
      </w:r>
      <w:r>
        <w:t xml:space="preserve">cet </w:t>
      </w:r>
      <w:r>
        <w:t xml:space="preserve">examen des </w:t>
      </w:r>
      <w:r>
        <w:t xml:space="preserve">preuves </w:t>
      </w:r>
      <w:r>
        <w:t xml:space="preserve">sont </w:t>
      </w:r>
      <w:r>
        <w:t xml:space="preserve">toutes de </w:t>
      </w:r>
      <w:r>
        <w:t xml:space="preserve">petites </w:t>
      </w:r>
      <w:r>
        <w:t xml:space="preserve">études </w:t>
      </w:r>
      <w:r>
        <w:t xml:space="preserve">d'observation </w:t>
      </w:r>
      <w:r>
        <w:t xml:space="preserve">non contrôlées</w:t>
      </w:r>
      <w:r>
        <w:t xml:space="preserve">, qui sont sujettes à des biais et à des facteurs de confusion, et tous les résultats sont d'un degré de </w:t>
      </w:r>
      <w:r>
        <w:t xml:space="preserve">certitude </w:t>
      </w:r>
      <w:r>
        <w:t xml:space="preserve">très faible </w:t>
      </w:r>
      <w:r>
        <w:t xml:space="preserve">selon le GRADE modifié. Les comorbidités de santé physique et mentale </w:t>
      </w:r>
      <w:r>
        <w:t xml:space="preserve">et les traitements concomitants y sont </w:t>
      </w:r>
      <w:r>
        <w:t xml:space="preserve">tous </w:t>
      </w:r>
      <w:r>
        <w:t xml:space="preserve">très peu </w:t>
      </w:r>
      <w:r>
        <w:t xml:space="preserve">rapportés</w:t>
      </w:r>
      <w:r>
        <w:t xml:space="preserve">. Toutes les études proviennent d'un nombre limité d'</w:t>
      </w:r>
      <w:r>
        <w:t xml:space="preserve">établissements de soins</w:t>
      </w:r>
      <w:r>
        <w:t xml:space="preserve">, principalement </w:t>
      </w:r>
      <w:r>
        <w:t xml:space="preserve">européens. Elles sont décrites comme des services de référence tertiaire ou des services d'experts, mais </w:t>
      </w:r>
      <w:r>
        <w:t xml:space="preserve">le faible nombre de services fournissant de tels soins et publiant des données probantes peut biaiser les résultats </w:t>
      </w:r>
      <w:r>
        <w:t xml:space="preserve">en faveur </w:t>
      </w:r>
      <w:r>
        <w:t xml:space="preserve">des </w:t>
      </w:r>
      <w:r>
        <w:t xml:space="preserve">résultats obtenus </w:t>
      </w:r>
      <w:r>
        <w:t xml:space="preserve">dans </w:t>
      </w:r>
      <w:r>
        <w:t xml:space="preserve">ces </w:t>
      </w:r>
      <w:r>
        <w:t xml:space="preserve">seuls </w:t>
      </w:r>
      <w:r>
        <w:t xml:space="preserve">services </w:t>
      </w:r>
      <w:r>
        <w:t xml:space="preserve">et </w:t>
      </w:r>
      <w:r>
        <w:t xml:space="preserve">limiter l'</w:t>
      </w:r>
      <w:r>
        <w:t xml:space="preserve">extrapolation.</w:t>
      </w:r>
    </w:p>
    <w:p>
      <w:pPr>
        <w:pStyle w:val="Corpsdetexte"/>
        <w:spacing w:before="201" w:line="276" w:lineRule="auto"/>
        <w:ind w:end="445"/>
      </w:pPr>
      <w:r>
        <w:t xml:space="preserve">De nombreuses études n'ont pas fait état de la signification statistique ou des intervalles de confiance. Les changements dans les </w:t>
      </w:r>
      <w:r>
        <w:t xml:space="preserve">scores de résultats pour l'efficacité clinique et la densité osseuse ont été évalués en ce qui concerne la </w:t>
      </w:r>
      <w:r>
        <w:t xml:space="preserve">signification statistique. Cependant, il y a relativement peu d'interprétation quant à savoir si les changements </w:t>
      </w:r>
      <w:r>
        <w:t xml:space="preserve">dans les </w:t>
      </w:r>
      <w:r>
        <w:t xml:space="preserve">résultats </w:t>
      </w:r>
      <w:r>
        <w:t xml:space="preserve">sont cliniquement </w:t>
      </w:r>
      <w:r>
        <w:t xml:space="preserve">significatifs.</w:t>
      </w:r>
    </w:p>
    <w:p>
      <w:pPr>
        <w:pStyle w:val="Corpsdetexte"/>
        <w:spacing w:before="199" w:line="276" w:lineRule="auto"/>
        <w:ind w:end="578"/>
      </w:pPr>
      <w:r>
        <w:t xml:space="preserve">Dans les </w:t>
      </w:r>
      <w:r>
        <w:t xml:space="preserve">études </w:t>
      </w:r>
      <w:r>
        <w:t xml:space="preserve">observationnelles et rétrospectives </w:t>
      </w:r>
      <w:r>
        <w:t xml:space="preserve">fournissant des preuves de la densité osseuse, les participants ont </w:t>
      </w:r>
      <w:r>
        <w:t xml:space="preserve">joué le rôle de témoins et l'évolution de la densité osseuse a été déterminée entre le début de la prise des </w:t>
      </w:r>
      <w:r>
        <w:t xml:space="preserve">analogues de la GnRH et le suivi. Les études d'observation telles que celles-ci ne peuvent que montrer une </w:t>
      </w:r>
      <w:r>
        <w:t xml:space="preserve">association entre les </w:t>
      </w:r>
      <w:r>
        <w:t xml:space="preserve">analogues de la </w:t>
      </w:r>
      <w:r>
        <w:t xml:space="preserve">GnRH </w:t>
      </w:r>
      <w:r>
        <w:t xml:space="preserve">et la densité osseuse ; elles ne peuvent pas montrer que les </w:t>
      </w:r>
      <w:r>
        <w:t xml:space="preserve">analogues de la </w:t>
      </w:r>
      <w:r>
        <w:t xml:space="preserve">GnRH </w:t>
      </w:r>
      <w:r>
        <w:t xml:space="preserve">ont causé les différences de densité osseuse observées. Comme il n'y avait pas de </w:t>
      </w:r>
      <w:r>
        <w:t xml:space="preserve">groupe de </w:t>
      </w:r>
      <w:r>
        <w:t xml:space="preserve">comparaison </w:t>
      </w:r>
      <w:r>
        <w:t xml:space="preserve">et que les participants ont agi comme leurs propres témoins, on ne sait pas si les résultats sont </w:t>
      </w:r>
      <w:r>
        <w:t xml:space="preserve">associés </w:t>
      </w:r>
      <w:r>
        <w:t xml:space="preserve">aux </w:t>
      </w:r>
      <w:r>
        <w:t xml:space="preserve">analogues de la </w:t>
      </w:r>
      <w:r>
        <w:t xml:space="preserve">GnRH </w:t>
      </w:r>
      <w:r>
        <w:t xml:space="preserve">ou </w:t>
      </w:r>
      <w:r>
        <w:t xml:space="preserve">s'ils sont </w:t>
      </w:r>
      <w:r>
        <w:t xml:space="preserve">dus à </w:t>
      </w:r>
      <w:r>
        <w:t xml:space="preserve">des changements dans le </w:t>
      </w:r>
      <w:r>
        <w:t xml:space="preserve">temps.</w:t>
      </w:r>
    </w:p>
    <w:p>
      <w:pPr>
        <w:pStyle w:val="Titre1"/>
        <w:spacing w:before="202"/>
      </w:pPr>
      <w:bookmarkStart w:name="_bookmark5" w:id="6"/>
      <w:bookmarkEnd w:id="6"/>
      <w:r>
        <w:rPr>
          <w:color w:val="4F81BC"/>
        </w:rPr>
        <w:t xml:space="preserve">Conclusion</w:t>
      </w:r>
    </w:p>
    <w:p w:rsidR="00432386" w:rsidRDefault="00432386">
      <w:pPr>
        <w:pStyle w:val="Corpsdetexte"/>
        <w:spacing w:before="9"/>
        <w:ind w:start="0"/>
        <w:rPr>
          <w:b/>
          <w:sz w:val="20"/>
        </w:rPr>
      </w:pPr>
    </w:p>
    <w:p>
      <w:pPr>
        <w:pStyle w:val="Corpsdetexte"/>
        <w:spacing w:before="0" w:line="276" w:lineRule="auto"/>
        <w:ind w:end="616"/>
      </w:pPr>
      <w:r>
        <w:t xml:space="preserve">Les </w:t>
      </w:r>
      <w:r>
        <w:t xml:space="preserve">résultats des études qui ont rapporté l'impact sur les résultats critiques de la dysphorie de genre </w:t>
      </w:r>
      <w:r>
        <w:t xml:space="preserve">et de la santé mentale (dépression, colère et anxiété), et les résultats importants de l'</w:t>
      </w:r>
      <w:r>
        <w:t xml:space="preserve">image </w:t>
      </w:r>
      <w:r>
        <w:t xml:space="preserve">corporelle </w:t>
      </w:r>
      <w:r>
        <w:t xml:space="preserve">et de l'</w:t>
      </w:r>
      <w:r>
        <w:t xml:space="preserve">impact</w:t>
      </w:r>
      <w:r>
        <w:t xml:space="preserve"> psychosocial </w:t>
      </w:r>
      <w:r>
        <w:t xml:space="preserve">(fonctionnement global et psychosocial), chez les enfants et les </w:t>
      </w:r>
      <w:r>
        <w:t xml:space="preserve">adolescents atteints de dysphorie de genre sont d'un degré de certitude très faible en utilisant le GRADE modifié. Ils </w:t>
      </w:r>
      <w:r>
        <w:t xml:space="preserve">suggèrent un </w:t>
      </w:r>
      <w:r>
        <w:t xml:space="preserve">faible </w:t>
      </w:r>
      <w:r>
        <w:t xml:space="preserve">changement </w:t>
      </w:r>
      <w:r>
        <w:t xml:space="preserve">avec les </w:t>
      </w:r>
      <w:r>
        <w:t xml:space="preserve">analogues de la </w:t>
      </w:r>
      <w:r>
        <w:t xml:space="preserve">GnRH </w:t>
      </w:r>
      <w:r>
        <w:t xml:space="preserve">entre le </w:t>
      </w:r>
      <w:r>
        <w:t xml:space="preserve">début de l'étude et le </w:t>
      </w:r>
      <w:r>
        <w:t xml:space="preserve">suivi.</w:t>
      </w:r>
    </w:p>
    <w:p>
      <w:pPr>
        <w:pStyle w:val="Corpsdetexte"/>
        <w:spacing w:before="202" w:line="276" w:lineRule="auto"/>
        <w:ind w:end="445"/>
      </w:pPr>
      <w:r>
        <w:t xml:space="preserve">Les </w:t>
      </w:r>
      <w:r>
        <w:t xml:space="preserve">études qui ont trouvé des différences dans les résultats pourraient représenter des changements qui sont soit d'une </w:t>
      </w:r>
      <w:r>
        <w:t xml:space="preserve">valeur clinique douteuse, soit les études elles-mêmes ne sont pas fiables et les changements pourraient être </w:t>
      </w:r>
      <w:r>
        <w:t xml:space="preserve">dus à la confusion, au biais ou au hasard. Il est toutefois plausible qu'une absence de </w:t>
      </w:r>
      <w:r>
        <w:t xml:space="preserve">différence dans les </w:t>
      </w:r>
      <w:r>
        <w:t xml:space="preserve">scores entre le début de l'étude et le suivi soit l'effet des analogues de la GnRH chez les enfants et les </w:t>
      </w:r>
      <w:r>
        <w:t xml:space="preserve">adolescents atteints de dysphorie de genre, chez qui </w:t>
      </w:r>
      <w:r>
        <w:t xml:space="preserve">on pourrait s'attendre à ce que le </w:t>
      </w:r>
      <w:r>
        <w:t xml:space="preserve">développement des </w:t>
      </w:r>
      <w:r>
        <w:t xml:space="preserve">caractéristiques </w:t>
      </w:r>
      <w:r>
        <w:t xml:space="preserve">sexuelles secondaires </w:t>
      </w:r>
      <w:r>
        <w:t xml:space="preserve">soit associé à un impact accru sur la </w:t>
      </w:r>
      <w:r>
        <w:t xml:space="preserve">dysphorie de </w:t>
      </w:r>
      <w:r>
        <w:t xml:space="preserve">genre</w:t>
      </w:r>
      <w:r>
        <w:t xml:space="preserve">, la dépression, l'anxiété, la colère et la détresse au fil du temps sans traitement. L'étude de </w:t>
      </w:r>
      <w:hyperlink r:id="rId89">
        <w:r>
          <w:rPr>
            <w:color w:val="0000FF"/>
            <w:u w:val="single" w:color="0000FF"/>
          </w:rPr>
          <w:t xml:space="preserve">de Vries et al. 2011 </w:t>
        </w:r>
      </w:hyperlink>
      <w:r>
        <w:t xml:space="preserve">a fait état de </w:t>
      </w:r>
      <w:r>
        <w:t xml:space="preserve">réductions </w:t>
      </w:r>
      <w:r>
        <w:t xml:space="preserve">statistiquement significatives </w:t>
      </w:r>
      <w:r>
        <w:t xml:space="preserve">des </w:t>
      </w:r>
      <w:r>
        <w:t xml:space="preserve">scores de </w:t>
      </w:r>
      <w:r>
        <w:t xml:space="preserve">la Child Behaviour </w:t>
      </w:r>
      <w:r>
        <w:t xml:space="preserve">Checklist (CBCL) et du Youth Self-Report (YSR) entre le début et la fin de l'étude, qui </w:t>
      </w:r>
      <w:r>
        <w:t xml:space="preserve">comprennent des mesures de la détresse. Comme l'objectif des analogues de la GnRH est de réduire la détresse causée par </w:t>
      </w:r>
      <w:r>
        <w:t xml:space="preserve">le </w:t>
      </w:r>
      <w:r>
        <w:t xml:space="preserve">développement </w:t>
      </w:r>
      <w:r>
        <w:t xml:space="preserve">des </w:t>
      </w:r>
      <w:r>
        <w:t xml:space="preserve">caractéristiques </w:t>
      </w:r>
      <w:r>
        <w:t xml:space="preserve">sexuelles </w:t>
      </w:r>
      <w:r>
        <w:t xml:space="preserve">secondaires</w:t>
      </w:r>
      <w:r>
        <w:t xml:space="preserve">, </w:t>
      </w:r>
      <w:r>
        <w:t xml:space="preserve">cela </w:t>
      </w:r>
      <w:r>
        <w:t xml:space="preserve">peut </w:t>
      </w:r>
      <w:r>
        <w:t xml:space="preserve">être </w:t>
      </w:r>
      <w:r>
        <w:t xml:space="preserve">un </w:t>
      </w:r>
      <w:r>
        <w:t xml:space="preserve">résultat </w:t>
      </w:r>
      <w:r>
        <w:t xml:space="preserve">important</w:t>
      </w:r>
      <w:r>
        <w:t xml:space="preserve">.</w:t>
      </w:r>
    </w:p>
    <w:p>
      <w:pPr>
        <w:pStyle w:val="Corpsdetexte"/>
        <w:spacing w:before="0" w:line="278" w:lineRule="auto"/>
        <w:ind w:end="1399"/>
      </w:pPr>
      <w:r>
        <w:t xml:space="preserve">Cependant, comme les études ne comportent pas de contrôles appropriés ne recevant pas d'</w:t>
      </w:r>
      <w:r>
        <w:t xml:space="preserve">analogues de la </w:t>
      </w:r>
      <w:r>
        <w:t xml:space="preserve">GnRH</w:t>
      </w:r>
      <w:r>
        <w:t xml:space="preserve">, </w:t>
      </w:r>
      <w:r>
        <w:t xml:space="preserve">tout </w:t>
      </w:r>
      <w:r>
        <w:t xml:space="preserve">changement </w:t>
      </w:r>
      <w:r>
        <w:t xml:space="preserve">positif </w:t>
      </w:r>
      <w:r>
        <w:t xml:space="preserve">pourrait </w:t>
      </w:r>
      <w:r>
        <w:t xml:space="preserve">être </w:t>
      </w:r>
      <w:r>
        <w:t xml:space="preserve">une </w:t>
      </w:r>
      <w:r>
        <w:t xml:space="preserve">régression à la </w:t>
      </w:r>
      <w:r>
        <w:t xml:space="preserve">moyenne.</w:t>
      </w:r>
    </w:p>
    <w:p>
      <w:pPr>
        <w:pStyle w:val="Corpsdetexte"/>
        <w:spacing w:before="195" w:line="276" w:lineRule="auto"/>
        <w:ind w:end="799"/>
      </w:pPr>
      <w:r>
        <w:t xml:space="preserve">Les résultats des études qui ont rapporté des résultats sur la densité osseuse </w:t>
      </w:r>
      <w:r>
        <w:t xml:space="preserve">suggèrent que les </w:t>
      </w:r>
      <w:r>
        <w:t xml:space="preserve">analogues de la </w:t>
      </w:r>
      <w:r>
        <w:t xml:space="preserve">GnRH </w:t>
      </w:r>
      <w:r>
        <w:t xml:space="preserve">peuvent réduire l'augmentation attendue de la densité osseuse (qui est attendue pendant la </w:t>
      </w:r>
      <w:r>
        <w:t xml:space="preserve">puberté). Cependant, comme les études elles-mêmes ne sont pas fiables, les résultats pourraient être dus à des </w:t>
      </w:r>
      <w:r>
        <w:t xml:space="preserve">facteurs de confusion, à des biais ou au hasard. Bien que des essais contrôlés ne soient pas </w:t>
      </w:r>
      <w:r>
        <w:t xml:space="preserve">possibles, des </w:t>
      </w:r>
      <w:r>
        <w:t xml:space="preserve">études </w:t>
      </w:r>
      <w:r>
        <w:t xml:space="preserve">comparatives </w:t>
      </w:r>
      <w:r>
        <w:t xml:space="preserve">sont nécessaires pour comprendre cette association et savoir si les effets des </w:t>
      </w:r>
      <w:r>
        <w:t xml:space="preserve">analogues de la </w:t>
      </w:r>
      <w:r>
        <w:t xml:space="preserve">GnRH </w:t>
      </w:r>
      <w:r>
        <w:t xml:space="preserve">sur la densité osseuse se manifestent après leur arrêt. Toutes les études qui ont rapporté des </w:t>
      </w:r>
      <w:r>
        <w:t xml:space="preserve">résultats de </w:t>
      </w:r>
      <w:r>
        <w:t xml:space="preserve">sécurité </w:t>
      </w:r>
      <w:r>
        <w:t xml:space="preserve">ont fourni des </w:t>
      </w:r>
      <w:r>
        <w:t xml:space="preserve">preuves de </w:t>
      </w:r>
      <w:r>
        <w:t xml:space="preserve">certitude </w:t>
      </w:r>
      <w:r>
        <w:t xml:space="preserve">très </w:t>
      </w:r>
      <w:r>
        <w:t xml:space="preserve">faible</w:t>
      </w:r>
      <w:r>
        <w:t xml:space="preserve">.</w:t>
      </w:r>
    </w:p>
    <w:p w:rsidR="00432386" w:rsidRDefault="00432386">
      <w:pPr>
        <w:spacing w:line="276" w:lineRule="auto"/>
        <w:sectPr w:rsidR="00432386">
          <w:pgSz w:w="11910" w:h="16840"/>
          <w:pgMar w:top="1180" w:right="980" w:bottom="1460" w:left="1280" w:header="0" w:footer="1183" w:gutter="0"/>
          <w:cols w:space="720"/>
        </w:sectPr>
      </w:pPr>
    </w:p>
    <w:p>
      <w:pPr>
        <w:pStyle w:val="Corpsdetexte"/>
        <w:spacing w:before="78" w:line="278" w:lineRule="auto"/>
        <w:ind w:end="496"/>
      </w:pPr>
      <w:r>
        <w:lastRenderedPageBreak/>
        <w:t xml:space="preserve">Aucune preuve de rentabilité n'a été trouvée pour déterminer si les analogues de la GnRH sont </w:t>
      </w:r>
      <w:r>
        <w:t xml:space="preserve">rentables </w:t>
      </w:r>
      <w:r>
        <w:lastRenderedPageBreak/>
        <w:t xml:space="preserve">ou non </w:t>
      </w:r>
      <w:r>
        <w:t xml:space="preserve">pour les </w:t>
      </w:r>
      <w:r>
        <w:t xml:space="preserve">enfants </w:t>
      </w:r>
      <w:r>
        <w:t xml:space="preserve">et les </w:t>
      </w:r>
      <w:r>
        <w:t xml:space="preserve">adolescents </w:t>
      </w:r>
      <w:r>
        <w:t xml:space="preserve">atteints de </w:t>
      </w:r>
      <w:r>
        <w:t xml:space="preserve">dysphorie de </w:t>
      </w:r>
      <w:r>
        <w:t xml:space="preserve">genre</w:t>
      </w:r>
      <w:r>
        <w:t xml:space="preserve">.</w:t>
      </w:r>
    </w:p>
    <w:p>
      <w:pPr>
        <w:pStyle w:val="Corpsdetexte"/>
        <w:spacing w:before="194" w:line="278" w:lineRule="auto"/>
        <w:ind w:end="542"/>
      </w:pPr>
      <w:r>
        <w:t xml:space="preserve">Les </w:t>
      </w:r>
      <w:r>
        <w:t xml:space="preserve">résultats des études qui ont rapporté des résultats pour des sous-groupes d'enfants et d'</w:t>
      </w:r>
      <w:r>
        <w:t xml:space="preserve">adolescents </w:t>
      </w:r>
      <w:r>
        <w:t xml:space="preserve">souffrant de dysphorie de genre, suggèrent qu'il peut y avoir des différences entre le sexe assigné à la naissance des </w:t>
      </w:r>
      <w:r>
        <w:t xml:space="preserve">garçons </w:t>
      </w:r>
      <w:r>
        <w:t xml:space="preserve">(transfemmes) </w:t>
      </w:r>
      <w:r>
        <w:t xml:space="preserve">et le </w:t>
      </w:r>
      <w:r>
        <w:t xml:space="preserve">sexe assigné à </w:t>
      </w:r>
      <w:r>
        <w:t xml:space="preserve">la </w:t>
      </w:r>
      <w:r>
        <w:t xml:space="preserve">naissance des </w:t>
      </w:r>
      <w:r>
        <w:t xml:space="preserve">filles </w:t>
      </w:r>
      <w:r>
        <w:t xml:space="preserve">(transmales).</w:t>
      </w:r>
    </w:p>
    <w:p w:rsidR="00432386" w:rsidRDefault="00432386">
      <w:pPr>
        <w:pStyle w:val="Corpsdetexte"/>
        <w:spacing w:before="0"/>
        <w:ind w:start="0"/>
        <w:rPr>
          <w:sz w:val="24"/>
        </w:rPr>
      </w:pPr>
    </w:p>
    <w:p>
      <w:pPr>
        <w:pStyle w:val="Titre1"/>
        <w:numPr>
          <w:ilvl w:val="0"/>
          <w:numId w:val="188"/>
        </w:numPr>
        <w:tabs>
          <w:tab w:val="left" w:pos="430"/>
        </w:tabs>
        <w:spacing w:before="197" w:line="451" w:lineRule="auto"/>
        <w:ind w:start="160" w:end="7454" w:firstLine="0"/>
      </w:pPr>
      <w:bookmarkStart w:name="_bookmark6" w:id="7"/>
      <w:bookmarkEnd w:id="7"/>
      <w:r>
        <w:rPr>
          <w:color w:val="365F91"/>
        </w:rPr>
        <w:t xml:space="preserve">Méthodologie</w:t>
      </w:r>
      <w:bookmarkStart w:name="_bookmark7" w:id="8"/>
      <w:bookmarkEnd w:id="8"/>
      <w:r>
        <w:rPr>
          <w:color w:val="4F81BC"/>
        </w:rPr>
        <w:t xml:space="preserve"> Questions d'</w:t>
      </w:r>
      <w:r>
        <w:rPr>
          <w:color w:val="4F81BC"/>
        </w:rPr>
        <w:t xml:space="preserve">examen</w:t>
      </w:r>
    </w:p>
    <w:p>
      <w:pPr>
        <w:pStyle w:val="Corpsdetexte"/>
        <w:spacing w:before="0" w:line="249" w:lineRule="exact"/>
      </w:pPr>
      <w:r>
        <w:t xml:space="preserve">La </w:t>
      </w:r>
      <w:r>
        <w:t xml:space="preserve">ou les questions de </w:t>
      </w:r>
      <w:r>
        <w:t xml:space="preserve">cette </w:t>
      </w:r>
      <w:r>
        <w:t xml:space="preserve">revue des </w:t>
      </w:r>
      <w:r>
        <w:t xml:space="preserve">preuves </w:t>
      </w:r>
      <w:r>
        <w:t xml:space="preserve">sont les suivantes :</w:t>
      </w:r>
    </w:p>
    <w:p>
      <w:pPr>
        <w:pStyle w:val="Paragraphedeliste"/>
        <w:numPr>
          <w:ilvl w:val="1"/>
          <w:numId w:val="188"/>
        </w:numPr>
        <w:tabs>
          <w:tab w:val="left" w:pos="1238"/>
        </w:tabs>
        <w:spacing w:before="38" w:line="276" w:lineRule="auto"/>
        <w:ind w:end="468"/>
      </w:pPr>
      <w:r>
        <w:t xml:space="preserve">Pour les enfants et les adolescents souffrant de dysphorie de genre, quelle est l'</w:t>
      </w:r>
      <w:r>
        <w:t xml:space="preserve">efficacité </w:t>
      </w:r>
      <w:r>
        <w:t xml:space="preserve">clinique </w:t>
      </w:r>
      <w:r>
        <w:t xml:space="preserve">du traitement par analogues de la GnRH par rapport à une ou une </w:t>
      </w:r>
      <w:r>
        <w:t xml:space="preserve">combinaison de soutien psychologique, de transition sociale vers le genre désiré ou d'</w:t>
      </w:r>
      <w:r>
        <w:t xml:space="preserve">aucune </w:t>
      </w:r>
      <w:r>
        <w:t xml:space="preserve">intervention ?</w:t>
      </w:r>
    </w:p>
    <w:p>
      <w:pPr>
        <w:pStyle w:val="Paragraphedeliste"/>
        <w:numPr>
          <w:ilvl w:val="1"/>
          <w:numId w:val="188"/>
        </w:numPr>
        <w:tabs>
          <w:tab w:val="left" w:pos="1241"/>
        </w:tabs>
        <w:spacing w:before="1" w:line="276" w:lineRule="auto"/>
        <w:ind w:start="1240" w:end="693" w:hanging="360"/>
      </w:pPr>
      <w:r>
        <w:t xml:space="preserve">Chez les enfants et les adolescents souffrant de dysphorie de genre, quelle est la </w:t>
      </w:r>
      <w:r>
        <w:t xml:space="preserve">sécurité à </w:t>
      </w:r>
      <w:r>
        <w:t xml:space="preserve">court et </w:t>
      </w:r>
      <w:r>
        <w:t xml:space="preserve">à long terme des analogues de la GnRH par rapport à une ou une combinaison de </w:t>
      </w:r>
      <w:r>
        <w:t xml:space="preserve">soutien psychologique, de transition sociale vers le genre désiré ou d'aucune </w:t>
      </w:r>
      <w:r>
        <w:t xml:space="preserve">intervention ?</w:t>
      </w:r>
    </w:p>
    <w:p>
      <w:pPr>
        <w:pStyle w:val="Paragraphedeliste"/>
        <w:numPr>
          <w:ilvl w:val="1"/>
          <w:numId w:val="188"/>
        </w:numPr>
        <w:tabs>
          <w:tab w:val="left" w:pos="1241"/>
        </w:tabs>
        <w:spacing w:before="0" w:line="276" w:lineRule="auto"/>
        <w:ind w:start="1240" w:end="1479" w:hanging="360"/>
      </w:pPr>
      <w:r>
        <w:t xml:space="preserve">Pour les enfants et les </w:t>
      </w:r>
      <w:r>
        <w:t xml:space="preserve">adolescents souffrant de dysphorie de genre, quel est le rapport </w:t>
      </w:r>
      <w:r>
        <w:t xml:space="preserve">coût-efficacité des analogues de la GnRH par rapport à une ou une combinaison de </w:t>
      </w:r>
      <w:r>
        <w:t xml:space="preserve">soutien psychologique, de transition sociale vers le genre désiré ou d'aucune </w:t>
      </w:r>
      <w:r>
        <w:t xml:space="preserve">intervention ?</w:t>
      </w:r>
    </w:p>
    <w:p>
      <w:pPr>
        <w:pStyle w:val="Paragraphedeliste"/>
        <w:numPr>
          <w:ilvl w:val="1"/>
          <w:numId w:val="188"/>
        </w:numPr>
        <w:tabs>
          <w:tab w:val="left" w:pos="1241"/>
        </w:tabs>
        <w:spacing w:before="0" w:line="276" w:lineRule="auto"/>
        <w:ind w:start="1240" w:end="742" w:hanging="360"/>
      </w:pPr>
      <w:r>
        <w:t xml:space="preserve">D'après les preuves sélectionnées, existe-t-il des sous-groupes d'</w:t>
      </w:r>
      <w:r>
        <w:t xml:space="preserve">enfants et d'</w:t>
      </w:r>
      <w:r>
        <w:t xml:space="preserve">adolescents atteints de dysphorie de genre qui pourraient tirer plus (ou moins) d'avantages </w:t>
      </w:r>
      <w:r>
        <w:t xml:space="preserve">du traitement par les analogues de la GnRH que la population plus large d'enfants et d'</w:t>
      </w:r>
      <w:r>
        <w:t xml:space="preserve">adolescents atteints de </w:t>
      </w:r>
      <w:r>
        <w:t xml:space="preserve">dysphorie de </w:t>
      </w:r>
      <w:r>
        <w:t xml:space="preserve">genre </w:t>
      </w:r>
      <w:r>
        <w:t xml:space="preserve">?</w:t>
      </w:r>
    </w:p>
    <w:p>
      <w:pPr>
        <w:pStyle w:val="Paragraphedeliste"/>
        <w:numPr>
          <w:ilvl w:val="1"/>
          <w:numId w:val="188"/>
        </w:numPr>
        <w:tabs>
          <w:tab w:val="left" w:pos="1241"/>
        </w:tabs>
        <w:spacing w:before="1"/>
        <w:ind w:start="1240" w:hanging="361"/>
      </w:pPr>
      <w:r>
        <w:t xml:space="preserve">A partir </w:t>
      </w:r>
      <w:r>
        <w:t xml:space="preserve">des </w:t>
      </w:r>
      <w:r>
        <w:t xml:space="preserve">preuves </w:t>
      </w:r>
      <w:r>
        <w:t xml:space="preserve">sélectionnées,</w:t>
      </w:r>
    </w:p>
    <w:p>
      <w:pPr>
        <w:pStyle w:val="Paragraphedeliste"/>
        <w:numPr>
          <w:ilvl w:val="2"/>
          <w:numId w:val="188"/>
        </w:numPr>
        <w:tabs>
          <w:tab w:val="left" w:pos="1601"/>
        </w:tabs>
        <w:spacing w:line="276" w:lineRule="auto"/>
        <w:ind w:start="1600" w:end="514"/>
      </w:pPr>
      <w:r>
        <w:t xml:space="preserve">quels sont les critères </w:t>
      </w:r>
      <w:r>
        <w:t xml:space="preserve">utilisés par les études de recherche pour définir la dysphorie de genre, le </w:t>
      </w:r>
      <w:r>
        <w:t xml:space="preserve">trouble de l'identité de </w:t>
      </w:r>
      <w:r>
        <w:t xml:space="preserve">genre </w:t>
      </w:r>
      <w:r>
        <w:t xml:space="preserve">et l'</w:t>
      </w:r>
      <w:r>
        <w:t xml:space="preserve">incongruence de </w:t>
      </w:r>
      <w:r>
        <w:t xml:space="preserve">genre </w:t>
      </w:r>
      <w:r>
        <w:t xml:space="preserve">de l'</w:t>
      </w:r>
      <w:r>
        <w:t xml:space="preserve">enfance ?</w:t>
      </w:r>
    </w:p>
    <w:p>
      <w:pPr>
        <w:pStyle w:val="Paragraphedeliste"/>
        <w:numPr>
          <w:ilvl w:val="2"/>
          <w:numId w:val="188"/>
        </w:numPr>
        <w:tabs>
          <w:tab w:val="left" w:pos="1601"/>
        </w:tabs>
        <w:spacing w:before="2" w:line="276" w:lineRule="auto"/>
        <w:ind w:start="1600" w:end="708"/>
      </w:pPr>
      <w:r>
        <w:t xml:space="preserve">quels étaient les âges auxquels les participants ont commencé le traitement par les </w:t>
      </w:r>
      <w:r>
        <w:t xml:space="preserve">analogues de la </w:t>
      </w:r>
      <w:r>
        <w:t xml:space="preserve">GnRH </w:t>
      </w:r>
      <w:r>
        <w:t xml:space="preserve">?</w:t>
      </w:r>
    </w:p>
    <w:p>
      <w:pPr>
        <w:pStyle w:val="Paragraphedeliste"/>
        <w:numPr>
          <w:ilvl w:val="2"/>
          <w:numId w:val="188"/>
        </w:numPr>
        <w:tabs>
          <w:tab w:val="left" w:pos="1601"/>
        </w:tabs>
        <w:spacing w:before="0" w:line="252" w:lineRule="exact"/>
        <w:ind w:start="1600" w:hanging="361"/>
      </w:pPr>
      <w:r>
        <w:t xml:space="preserve">quelle </w:t>
      </w:r>
      <w:r>
        <w:t xml:space="preserve">a </w:t>
      </w:r>
      <w:r>
        <w:t xml:space="preserve">été la </w:t>
      </w:r>
      <w:r>
        <w:t xml:space="preserve">durée </w:t>
      </w:r>
      <w:r>
        <w:t xml:space="preserve">du </w:t>
      </w:r>
      <w:r>
        <w:t xml:space="preserve">traitement </w:t>
      </w:r>
      <w:r>
        <w:t xml:space="preserve">par les </w:t>
      </w:r>
      <w:r>
        <w:t xml:space="preserve">analogues de la GnRH ?</w:t>
      </w:r>
    </w:p>
    <w:p w:rsidR="00432386" w:rsidRDefault="00432386">
      <w:pPr>
        <w:pStyle w:val="Corpsdetexte"/>
        <w:spacing w:before="4"/>
        <w:ind w:start="0"/>
        <w:rPr>
          <w:sz w:val="30"/>
        </w:rPr>
      </w:pPr>
    </w:p>
    <w:p>
      <w:pPr>
        <w:pStyle w:val="Corpsdetexte"/>
        <w:spacing w:before="0"/>
      </w:pPr>
      <w:r>
        <w:t xml:space="preserve">Voir l'</w:t>
      </w:r>
      <w:hyperlink w:history="1" w:anchor="_bookmark13">
        <w:r>
          <w:rPr>
            <w:color w:val="0000FF"/>
            <w:u w:val="single" w:color="0000FF"/>
          </w:rPr>
          <w:t xml:space="preserve">annexe</w:t>
        </w:r>
        <w:r>
          <w:rPr>
            <w:color w:val="0000FF"/>
            <w:u w:val="single" w:color="0000FF"/>
          </w:rPr>
          <w:t xml:space="preserve">A </w:t>
        </w:r>
      </w:hyperlink>
      <w:r>
        <w:t xml:space="preserve">pour le </w:t>
      </w:r>
      <w:r>
        <w:t xml:space="preserve">protocole </w:t>
      </w:r>
      <w:r>
        <w:t xml:space="preserve">complet </w:t>
      </w:r>
      <w:r>
        <w:t xml:space="preserve">de </w:t>
      </w:r>
      <w:r>
        <w:t xml:space="preserve">l'</w:t>
      </w:r>
      <w:r>
        <w:t xml:space="preserve">examen</w:t>
      </w:r>
      <w:r>
        <w:t xml:space="preserve">.</w:t>
      </w:r>
    </w:p>
    <w:p w:rsidR="00432386" w:rsidRDefault="00432386">
      <w:pPr>
        <w:pStyle w:val="Corpsdetexte"/>
        <w:spacing w:before="7"/>
        <w:ind w:start="0"/>
        <w:rPr>
          <w:sz w:val="20"/>
        </w:rPr>
      </w:pPr>
    </w:p>
    <w:p>
      <w:pPr>
        <w:pStyle w:val="Titre1"/>
      </w:pPr>
      <w:bookmarkStart w:name="_bookmark8" w:id="9"/>
      <w:bookmarkEnd w:id="9"/>
      <w:r>
        <w:rPr>
          <w:color w:val="4F81BC"/>
        </w:rPr>
        <w:t xml:space="preserve">Processus de </w:t>
      </w:r>
      <w:r>
        <w:rPr>
          <w:color w:val="4F81BC"/>
        </w:rPr>
        <w:t xml:space="preserve">révision</w:t>
      </w:r>
    </w:p>
    <w:p w:rsidR="00432386" w:rsidRDefault="00432386">
      <w:pPr>
        <w:pStyle w:val="Corpsdetexte"/>
        <w:spacing w:before="10"/>
        <w:ind w:start="0"/>
        <w:rPr>
          <w:b/>
          <w:sz w:val="20"/>
        </w:rPr>
      </w:pPr>
    </w:p>
    <w:p>
      <w:pPr>
        <w:pStyle w:val="Corpsdetexte"/>
        <w:spacing w:before="0" w:line="276" w:lineRule="auto"/>
      </w:pPr>
      <w:r>
        <w:t xml:space="preserve">La méthodologie pour entreprendre cette revue est spécifiée par NHS England dans leur 'Guidance on </w:t>
      </w:r>
      <w:r>
        <w:t xml:space="preserve">conducting </w:t>
      </w:r>
      <w:r>
        <w:t xml:space="preserve">evidence </w:t>
      </w:r>
      <w:r>
        <w:t xml:space="preserve">reviews </w:t>
      </w:r>
      <w:r>
        <w:t xml:space="preserve">for </w:t>
      </w:r>
      <w:r>
        <w:t xml:space="preserve">Specialised </w:t>
      </w:r>
      <w:r>
        <w:t xml:space="preserve">Services </w:t>
      </w:r>
      <w:r>
        <w:t xml:space="preserve">Commissioning </w:t>
      </w:r>
      <w:r>
        <w:t xml:space="preserve">Products' </w:t>
      </w:r>
      <w:r>
        <w:t xml:space="preserve">(2020).</w:t>
      </w:r>
    </w:p>
    <w:p w:rsidR="00432386" w:rsidRDefault="00432386">
      <w:pPr>
        <w:pStyle w:val="Corpsdetexte"/>
        <w:spacing w:before="5"/>
        <w:ind w:start="0"/>
        <w:rPr>
          <w:sz w:val="25"/>
        </w:rPr>
      </w:pPr>
    </w:p>
    <w:p>
      <w:pPr>
        <w:pStyle w:val="Corpsdetexte"/>
        <w:spacing w:before="0" w:line="276" w:lineRule="auto"/>
        <w:ind w:end="787"/>
      </w:pPr>
      <w:r>
        <w:t xml:space="preserve">Les recherches de preuves ont été guidées par le document PICO et ont été menées le </w:t>
      </w:r>
      <w:r>
        <w:t xml:space="preserve">23 </w:t>
      </w:r>
      <w:r>
        <w:t xml:space="preserve">juillet </w:t>
      </w:r>
      <w:r>
        <w:t xml:space="preserve">2020</w:t>
      </w:r>
      <w:r>
        <w:rPr>
          <w:color w:val="A6A6A6"/>
        </w:rPr>
        <w:t xml:space="preserve">.</w:t>
      </w:r>
    </w:p>
    <w:p w:rsidR="00432386" w:rsidRDefault="00432386">
      <w:pPr>
        <w:pStyle w:val="Corpsdetexte"/>
        <w:spacing w:before="1"/>
        <w:ind w:start="0"/>
        <w:rPr>
          <w:sz w:val="25"/>
        </w:rPr>
      </w:pPr>
    </w:p>
    <w:p>
      <w:pPr>
        <w:pStyle w:val="Corpsdetexte"/>
        <w:spacing w:before="1"/>
      </w:pPr>
      <w:r>
        <w:t xml:space="preserve">Voir l'</w:t>
      </w:r>
      <w:hyperlink w:history="1" w:anchor="_bookmark14">
        <w:r>
          <w:rPr>
            <w:color w:val="0000FF"/>
            <w:u w:val="single" w:color="0000FF"/>
          </w:rPr>
          <w:t xml:space="preserve">annexe</w:t>
        </w:r>
        <w:r>
          <w:rPr>
            <w:color w:val="0000FF"/>
            <w:u w:val="single" w:color="0000FF"/>
          </w:rPr>
          <w:t xml:space="preserve">B </w:t>
        </w:r>
      </w:hyperlink>
      <w:r>
        <w:t xml:space="preserve">pour les </w:t>
      </w:r>
      <w:r>
        <w:t xml:space="preserve">détails </w:t>
      </w:r>
      <w:r>
        <w:t xml:space="preserve">de </w:t>
      </w:r>
      <w:r>
        <w:t xml:space="preserve">la </w:t>
      </w:r>
      <w:r>
        <w:t xml:space="preserve">stratégie de </w:t>
      </w:r>
      <w:r>
        <w:t xml:space="preserve">recherche</w:t>
      </w:r>
      <w:r>
        <w:t xml:space="preserve">.</w:t>
      </w:r>
    </w:p>
    <w:p w:rsidR="00432386" w:rsidRDefault="00432386">
      <w:pPr>
        <w:pStyle w:val="Corpsdetexte"/>
        <w:spacing w:before="6"/>
        <w:ind w:start="0"/>
        <w:rPr>
          <w:sz w:val="20"/>
        </w:rPr>
      </w:pPr>
    </w:p>
    <w:p>
      <w:pPr>
        <w:pStyle w:val="Corpsdetexte"/>
        <w:spacing w:before="94" w:line="276" w:lineRule="auto"/>
        <w:ind w:end="545"/>
      </w:pPr>
      <w:r>
        <w:t xml:space="preserve">Les résultats des recherches documentaires ont été examinés à partir de leurs titres et de leurs résumés afin de vérifier leur </w:t>
      </w:r>
      <w:r>
        <w:t xml:space="preserve">pertinence </w:t>
      </w:r>
      <w:r>
        <w:t xml:space="preserve">par rapport </w:t>
      </w:r>
      <w:r>
        <w:t xml:space="preserve">aux </w:t>
      </w:r>
      <w:r>
        <w:t xml:space="preserve">critères </w:t>
      </w:r>
      <w:r>
        <w:t xml:space="preserve">du </w:t>
      </w:r>
      <w:r>
        <w:t xml:space="preserve">cadre </w:t>
      </w:r>
      <w:r>
        <w:t xml:space="preserve">PICO</w:t>
      </w:r>
      <w:r>
        <w:t xml:space="preserve">. Les </w:t>
      </w:r>
      <w:r>
        <w:t xml:space="preserve">références en </w:t>
      </w:r>
      <w:r>
        <w:t xml:space="preserve">texte </w:t>
      </w:r>
      <w:r>
        <w:t xml:space="preserve">intégral </w:t>
      </w:r>
      <w:r>
        <w:t xml:space="preserve">des articles potentiellement</w:t>
      </w:r>
    </w:p>
    <w:p w:rsidR="00432386" w:rsidRDefault="00432386">
      <w:pPr>
        <w:spacing w:line="276" w:lineRule="auto"/>
        <w:sectPr w:rsidR="00432386">
          <w:pgSz w:w="11910" w:h="16840"/>
          <w:pgMar w:top="1180" w:right="980" w:bottom="1420" w:left="1280" w:header="0" w:footer="1183" w:gutter="0"/>
          <w:cols w:space="720"/>
        </w:sectPr>
      </w:pPr>
    </w:p>
    <w:p>
      <w:pPr>
        <w:pStyle w:val="Corpsdetexte"/>
        <w:spacing w:before="78" w:line="276" w:lineRule="auto"/>
        <w:ind w:end="615"/>
      </w:pPr>
      <w:r>
        <w:lastRenderedPageBreak/>
        <w:t xml:space="preserve">ont été obtenues et examinées afin de déterminer si elles répondaient aux </w:t>
      </w:r>
      <w:r>
        <w:t xml:space="preserve">critères d'</w:t>
      </w:r>
      <w:r>
        <w:lastRenderedPageBreak/>
        <w:t xml:space="preserve">inclusion </w:t>
      </w:r>
      <w:r>
        <w:t xml:space="preserve">de </w:t>
      </w:r>
      <w:r>
        <w:t xml:space="preserve">cette </w:t>
      </w:r>
      <w:r>
        <w:t xml:space="preserve">revue des </w:t>
      </w:r>
      <w:r>
        <w:t xml:space="preserve">preuves</w:t>
      </w:r>
      <w:r>
        <w:t xml:space="preserve">.</w:t>
      </w:r>
    </w:p>
    <w:p w:rsidR="00432386" w:rsidRDefault="00432386">
      <w:pPr>
        <w:pStyle w:val="Corpsdetexte"/>
        <w:spacing w:before="2"/>
        <w:ind w:start="0"/>
        <w:rPr>
          <w:sz w:val="25"/>
        </w:rPr>
      </w:pPr>
    </w:p>
    <w:p>
      <w:pPr>
        <w:pStyle w:val="Corpsdetexte"/>
        <w:spacing w:before="0" w:line="278" w:lineRule="auto"/>
        <w:ind w:end="456"/>
      </w:pPr>
      <w:r>
        <w:t xml:space="preserve">Voir l'</w:t>
      </w:r>
      <w:hyperlink w:history="1" w:anchor="_bookmark15">
        <w:r>
          <w:rPr>
            <w:color w:val="0000FF"/>
            <w:u w:val="single" w:color="0000FF"/>
          </w:rPr>
          <w:t xml:space="preserve">annexe C </w:t>
        </w:r>
      </w:hyperlink>
      <w:r>
        <w:t xml:space="preserve">pour les détails de la sélection des preuves et l'</w:t>
      </w:r>
      <w:hyperlink w:history="1" w:anchor="_bookmark16">
        <w:r>
          <w:rPr>
            <w:color w:val="0000FF"/>
            <w:u w:val="single" w:color="0000FF"/>
          </w:rPr>
          <w:t xml:space="preserve">annexe D </w:t>
        </w:r>
      </w:hyperlink>
      <w:r>
        <w:t xml:space="preserve">pour la liste des études exclues </w:t>
      </w:r>
      <w:r>
        <w:t xml:space="preserve">de </w:t>
      </w:r>
      <w:r>
        <w:t xml:space="preserve">la </w:t>
      </w:r>
      <w:r>
        <w:t xml:space="preserve">revue </w:t>
      </w:r>
      <w:r>
        <w:t xml:space="preserve">et </w:t>
      </w:r>
      <w:r>
        <w:t xml:space="preserve">les </w:t>
      </w:r>
      <w:r>
        <w:t xml:space="preserve">raisons </w:t>
      </w:r>
      <w:r>
        <w:t xml:space="preserve">de </w:t>
      </w:r>
      <w:r>
        <w:t xml:space="preserve">leur </w:t>
      </w:r>
      <w:r>
        <w:t xml:space="preserve">exclusion.</w:t>
      </w:r>
    </w:p>
    <w:p w:rsidR="00432386" w:rsidRDefault="00432386">
      <w:pPr>
        <w:pStyle w:val="Corpsdetexte"/>
        <w:spacing w:before="11"/>
        <w:ind w:start="0"/>
        <w:rPr>
          <w:sz w:val="24"/>
        </w:rPr>
      </w:pPr>
    </w:p>
    <w:p>
      <w:pPr>
        <w:pStyle w:val="Corpsdetexte"/>
        <w:spacing w:before="0" w:line="276" w:lineRule="auto"/>
        <w:ind w:end="641"/>
      </w:pPr>
      <w:r>
        <w:t xml:space="preserve">Les détails et résultats pertinents ont été extraits des études incluses et ont fait l'objet d'une </w:t>
      </w:r>
      <w:r>
        <w:t xml:space="preserve">évaluation </w:t>
      </w:r>
      <w:r>
        <w:t xml:space="preserve">critique à l'</w:t>
      </w:r>
      <w:r>
        <w:t xml:space="preserve">aide d'une liste de contrôle adaptée à la conception de l'étude. Voir les annexes </w:t>
      </w:r>
      <w:hyperlink w:history="1" w:anchor="_bookmark17">
        <w:r>
          <w:rPr>
            <w:color w:val="0000FF"/>
            <w:u w:val="single" w:color="0000FF"/>
          </w:rPr>
          <w:t xml:space="preserve">E </w:t>
        </w:r>
      </w:hyperlink>
      <w:r>
        <w:t xml:space="preserve">et </w:t>
      </w:r>
      <w:hyperlink w:history="1" w:anchor="_bookmark18">
        <w:r>
          <w:rPr>
            <w:color w:val="0000FF"/>
            <w:u w:val="single" w:color="0000FF"/>
          </w:rPr>
          <w:t xml:space="preserve">F </w:t>
        </w:r>
      </w:hyperlink>
      <w:r>
        <w:t xml:space="preserve">pour les </w:t>
      </w:r>
      <w:r>
        <w:t xml:space="preserve">détails des </w:t>
      </w:r>
      <w:r>
        <w:t xml:space="preserve">études </w:t>
      </w:r>
      <w:r>
        <w:t xml:space="preserve">individuelles </w:t>
      </w:r>
      <w:r>
        <w:t xml:space="preserve">et de la liste de contrôle</w:t>
      </w:r>
      <w:r>
        <w:t xml:space="preserve">.</w:t>
      </w:r>
    </w:p>
    <w:p w:rsidR="00432386" w:rsidRDefault="00432386">
      <w:pPr>
        <w:pStyle w:val="Corpsdetexte"/>
        <w:spacing w:before="4"/>
        <w:ind w:start="0"/>
        <w:rPr>
          <w:sz w:val="25"/>
        </w:rPr>
      </w:pPr>
    </w:p>
    <w:p>
      <w:pPr>
        <w:pStyle w:val="Corpsdetexte"/>
        <w:spacing w:before="0" w:line="276" w:lineRule="auto"/>
        <w:ind w:end="531"/>
      </w:pPr>
      <w:r>
        <w:t xml:space="preserve">Les preuves disponibles ont été évaluées par résultat pour la certitude en utilisant le GRADE modifié. Voir l'</w:t>
      </w:r>
      <w:hyperlink w:history="1" w:anchor="_bookmark19">
        <w:r>
          <w:rPr>
            <w:color w:val="0000FF"/>
            <w:u w:val="single" w:color="0000FF"/>
          </w:rPr>
          <w:t xml:space="preserve">annexe G </w:t>
        </w:r>
      </w:hyperlink>
      <w:r>
        <w:t xml:space="preserve">pour les </w:t>
      </w:r>
      <w:r>
        <w:t xml:space="preserve">profils </w:t>
      </w:r>
      <w:r>
        <w:t xml:space="preserve">GRADE</w:t>
      </w:r>
      <w:r>
        <w:t xml:space="preserve">.</w:t>
      </w:r>
    </w:p>
    <w:p w:rsidR="00432386" w:rsidRDefault="00432386">
      <w:pPr>
        <w:pStyle w:val="Corpsdetexte"/>
        <w:spacing w:before="0"/>
        <w:ind w:start="0"/>
        <w:rPr>
          <w:sz w:val="20"/>
        </w:rPr>
      </w:pPr>
    </w:p>
    <w:p w:rsidR="00432386" w:rsidRDefault="00432386">
      <w:pPr>
        <w:pStyle w:val="Corpsdetexte"/>
        <w:spacing w:before="8"/>
        <w:ind w:start="0"/>
        <w:rPr>
          <w:sz w:val="21"/>
        </w:rPr>
      </w:pPr>
    </w:p>
    <w:p>
      <w:pPr>
        <w:pStyle w:val="Titre1"/>
        <w:numPr>
          <w:ilvl w:val="0"/>
          <w:numId w:val="188"/>
        </w:numPr>
        <w:tabs>
          <w:tab w:val="left" w:pos="430"/>
        </w:tabs>
        <w:ind w:hanging="270"/>
      </w:pPr>
      <w:bookmarkStart w:name="_bookmark9" w:id="10"/>
      <w:bookmarkEnd w:id="10"/>
      <w:r>
        <w:rPr>
          <w:color w:val="365F91"/>
        </w:rPr>
        <w:t xml:space="preserve">Résumé </w:t>
      </w:r>
      <w:r>
        <w:rPr>
          <w:color w:val="365F91"/>
        </w:rPr>
        <w:t xml:space="preserve">des </w:t>
      </w:r>
      <w:r>
        <w:rPr>
          <w:color w:val="365F91"/>
        </w:rPr>
        <w:t xml:space="preserve">études </w:t>
      </w:r>
      <w:r>
        <w:rPr>
          <w:color w:val="365F91"/>
        </w:rPr>
        <w:t xml:space="preserve">incluses</w:t>
      </w:r>
    </w:p>
    <w:p w:rsidR="00432386" w:rsidRDefault="00432386">
      <w:pPr>
        <w:pStyle w:val="Corpsdetexte"/>
        <w:spacing w:before="1"/>
        <w:ind w:start="0"/>
        <w:rPr>
          <w:b/>
          <w:sz w:val="21"/>
        </w:rPr>
      </w:pPr>
    </w:p>
    <w:p>
      <w:pPr>
        <w:pStyle w:val="Corpsdetexte"/>
        <w:spacing w:before="0" w:line="276" w:lineRule="auto"/>
        <w:ind w:end="529"/>
      </w:pPr>
      <w:r>
        <w:t xml:space="preserve">Neuf études observationnelles ont été identifiées pour être incluses. Cinq études étaient des </w:t>
      </w:r>
      <w:r>
        <w:t xml:space="preserve">études observationnelles </w:t>
      </w:r>
      <w:r>
        <w:t xml:space="preserve">rétrospectives </w:t>
      </w:r>
      <w:r>
        <w:t xml:space="preserve">(</w:t>
      </w:r>
      <w:hyperlink r:id="rId90">
        <w:r>
          <w:rPr>
            <w:color w:val="0000FF"/>
            <w:u w:val="single" w:color="0000FF"/>
          </w:rPr>
          <w:t xml:space="preserve">Brik et al. 2020</w:t>
        </w:r>
      </w:hyperlink>
      <w:r>
        <w:t xml:space="preserve">, </w:t>
      </w:r>
      <w:hyperlink r:id="rId91">
        <w:r>
          <w:rPr>
            <w:color w:val="0000FF"/>
            <w:u w:val="single" w:color="0000FF"/>
          </w:rPr>
          <w:t xml:space="preserve">Joseph et al. 2019</w:t>
        </w:r>
      </w:hyperlink>
      <w:r>
        <w:t xml:space="preserve">, </w:t>
      </w:r>
      <w:hyperlink r:id="rId92">
        <w:r>
          <w:rPr>
            <w:color w:val="0000FF"/>
            <w:u w:val="single" w:color="0000FF"/>
          </w:rPr>
          <w:t xml:space="preserve">Khatchadourian et al. 2014</w:t>
        </w:r>
      </w:hyperlink>
      <w:r>
        <w:t xml:space="preserve">, </w:t>
      </w:r>
      <w:hyperlink r:id="rId93">
        <w:r>
          <w:rPr>
            <w:color w:val="0000FF"/>
            <w:u w:val="single" w:color="0000FF"/>
          </w:rPr>
          <w:t xml:space="preserve">Klink </w:t>
        </w:r>
      </w:hyperlink>
      <w:hyperlink r:id="rId94">
        <w:r>
          <w:rPr>
            <w:color w:val="0000FF"/>
            <w:u w:val="single" w:color="0000FF"/>
          </w:rPr>
          <w:t xml:space="preserve">et al. 2015</w:t>
        </w:r>
      </w:hyperlink>
      <w:r>
        <w:t xml:space="preserve">, </w:t>
      </w:r>
      <w:hyperlink r:id="rId95">
        <w:r>
          <w:rPr>
            <w:color w:val="0000FF"/>
            <w:u w:val="single" w:color="0000FF"/>
          </w:rPr>
          <w:t xml:space="preserve">Vlot</w:t>
        </w:r>
        <w:r>
          <w:rPr>
            <w:color w:val="0000FF"/>
            <w:u w:val="single" w:color="0000FF"/>
          </w:rPr>
          <w:t xml:space="preserve">et al. 2017</w:t>
        </w:r>
      </w:hyperlink>
      <w:r>
        <w:t xml:space="preserve">), 3 études étaient des études observationnelles longitudinales prospectives </w:t>
      </w:r>
      <w:r>
        <w:t xml:space="preserve">(</w:t>
      </w:r>
      <w:hyperlink r:id="rId96">
        <w:r>
          <w:rPr>
            <w:color w:val="0000FF"/>
            <w:u w:val="single" w:color="0000FF"/>
          </w:rPr>
          <w:t xml:space="preserve">Costa et al. 2015</w:t>
        </w:r>
      </w:hyperlink>
      <w:r>
        <w:t xml:space="preserve">, </w:t>
      </w:r>
      <w:hyperlink r:id="rId97">
        <w:r>
          <w:rPr>
            <w:color w:val="0000FF"/>
            <w:u w:val="single" w:color="0000FF"/>
          </w:rPr>
          <w:t xml:space="preserve">de Vries et al. 2011</w:t>
        </w:r>
      </w:hyperlink>
      <w:r>
        <w:t xml:space="preserve">, </w:t>
      </w:r>
      <w:hyperlink r:id="rId98">
        <w:r>
          <w:rPr>
            <w:color w:val="0000FF"/>
            <w:u w:val="single" w:color="0000FF"/>
          </w:rPr>
          <w:t xml:space="preserve">Schagen et al. 2016</w:t>
        </w:r>
      </w:hyperlink>
      <w:r>
        <w:t xml:space="preserve">) et 1 étude était une </w:t>
      </w:r>
      <w:r>
        <w:t xml:space="preserve">étude</w:t>
      </w:r>
      <w:r>
        <w:t xml:space="preserve"> </w:t>
      </w:r>
      <w:r>
        <w:t xml:space="preserve">transversale </w:t>
      </w:r>
      <w:r>
        <w:t xml:space="preserve">(</w:t>
      </w:r>
      <w:hyperlink r:id="rId99">
        <w:r>
          <w:rPr>
            <w:color w:val="0000FF"/>
            <w:u w:val="single" w:color="0000FF"/>
          </w:rPr>
          <w:t xml:space="preserve">Staphorsius et al.</w:t>
        </w:r>
        <w:r>
          <w:rPr>
            <w:color w:val="0000FF"/>
            <w:u w:val="single" w:color="0000FF"/>
          </w:rPr>
          <w:t xml:space="preserve">2015</w:t>
        </w:r>
      </w:hyperlink>
      <w:r>
        <w:t xml:space="preserve">).</w:t>
      </w:r>
    </w:p>
    <w:p w:rsidR="00432386" w:rsidRDefault="00432386">
      <w:pPr>
        <w:pStyle w:val="Corpsdetexte"/>
        <w:spacing w:before="1"/>
        <w:ind w:start="0"/>
        <w:rPr>
          <w:sz w:val="17"/>
        </w:rPr>
      </w:pPr>
    </w:p>
    <w:p>
      <w:pPr>
        <w:pStyle w:val="Corpsdetexte"/>
        <w:spacing w:before="94" w:line="276" w:lineRule="auto"/>
        <w:ind w:end="481"/>
      </w:pPr>
      <w:r>
        <w:t xml:space="preserve">La terminologie utilisée dans ce domaine est en constante évolution et varie en fonction des </w:t>
      </w:r>
      <w:r>
        <w:t xml:space="preserve">perspectives des parties prenantes. Dans cet examen des preuves, nous avons utilisé l'expression "</w:t>
      </w:r>
      <w:r>
        <w:t xml:space="preserve">sexe assigné à la </w:t>
      </w:r>
      <w:r>
        <w:t xml:space="preserve">personne à </w:t>
      </w:r>
      <w:r>
        <w:t xml:space="preserve">la naissance" plutôt que sexe natal ou biologique, </w:t>
      </w:r>
      <w:r>
        <w:t xml:space="preserve">analogues de l'</w:t>
      </w:r>
      <w:r>
        <w:t xml:space="preserve">hormone de libération de la gonadotrophine </w:t>
      </w:r>
      <w:r>
        <w:t xml:space="preserve">(GnRH) plutôt que "bloqueurs de puberté" et hormones d'affirmation du genre </w:t>
      </w:r>
      <w:r>
        <w:t xml:space="preserve">plutôt que </w:t>
      </w:r>
      <w:r>
        <w:t xml:space="preserve">"hormones transsexuelles". Les études de recherche incluses dans cet examen des preuves peuvent utiliser des </w:t>
      </w:r>
      <w:r>
        <w:t xml:space="preserve">termes </w:t>
      </w:r>
      <w:r>
        <w:t xml:space="preserve">historiques </w:t>
      </w:r>
      <w:r>
        <w:t xml:space="preserve">qui </w:t>
      </w:r>
      <w:r>
        <w:t xml:space="preserve">ne sont plus </w:t>
      </w:r>
      <w:r>
        <w:t xml:space="preserve">considérés comme </w:t>
      </w:r>
      <w:r>
        <w:t xml:space="preserve">appropriés.</w:t>
      </w:r>
    </w:p>
    <w:p w:rsidR="00432386" w:rsidRDefault="00432386">
      <w:pPr>
        <w:pStyle w:val="Corpsdetexte"/>
        <w:spacing w:before="4"/>
        <w:ind w:start="0"/>
        <w:rPr>
          <w:sz w:val="25"/>
        </w:rPr>
      </w:pPr>
    </w:p>
    <w:p>
      <w:pPr>
        <w:pStyle w:val="Corpsdetexte"/>
        <w:spacing w:before="1" w:line="276" w:lineRule="auto"/>
        <w:ind w:end="1545"/>
      </w:pPr>
      <w:r>
        <w:t xml:space="preserve">Le tableau 1 fournit un résumé de ces études incluses et les détails complets sont donnés dans l'</w:t>
      </w:r>
      <w:hyperlink w:history="1" w:anchor="_bookmark17">
        <w:r>
          <w:rPr>
            <w:color w:val="0000FF"/>
            <w:u w:val="single" w:color="0000FF"/>
          </w:rPr>
          <w:t xml:space="preserve">annexe E</w:t>
        </w:r>
      </w:hyperlink>
      <w:r>
        <w:t xml:space="preserve">.</w:t>
      </w:r>
    </w:p>
    <w:p w:rsidR="00432386" w:rsidRDefault="00432386">
      <w:pPr>
        <w:pStyle w:val="Corpsdetexte"/>
        <w:spacing w:before="2"/>
        <w:ind w:start="0"/>
        <w:rPr>
          <w:sz w:val="17"/>
        </w:rPr>
      </w:pPr>
    </w:p>
    <w:p>
      <w:pPr>
        <w:spacing w:before="94"/>
        <w:ind w:start="160"/>
        <w:rPr>
          <w:b/>
        </w:rPr>
      </w:pPr>
      <w:r>
        <w:rPr>
          <w:b/>
        </w:rPr>
        <w:t xml:space="preserve">Tableau </w:t>
      </w:r>
      <w:r>
        <w:rPr>
          <w:b/>
        </w:rPr>
        <w:t xml:space="preserve">1 </w:t>
      </w:r>
      <w:r>
        <w:rPr>
          <w:b/>
        </w:rPr>
        <w:t xml:space="preserve">Résumé </w:t>
      </w:r>
      <w:r>
        <w:rPr>
          <w:b/>
        </w:rPr>
        <w:t xml:space="preserve">des </w:t>
      </w:r>
      <w:r>
        <w:rPr>
          <w:b/>
        </w:rPr>
        <w:t xml:space="preserve">études </w:t>
      </w:r>
      <w:r>
        <w:rPr>
          <w:b/>
        </w:rPr>
        <w:t xml:space="preserve">incluses</w:t>
      </w:r>
    </w:p>
    <w:p w:rsidR="00432386" w:rsidRDefault="00432386">
      <w:pPr>
        <w:pStyle w:val="Corpsdetexte"/>
        <w:spacing w:before="6"/>
        <w:ind w:start="0"/>
        <w:rPr>
          <w:b/>
          <w:sz w:val="20"/>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697"/>
        <w:gridCol w:w="3440"/>
        <w:gridCol w:w="2225"/>
        <w:gridCol w:w="1848"/>
      </w:tblGrid>
      <w:tr w:rsidR="00432386">
        <w:trPr>
          <w:trHeight w:val="520"/>
        </w:trPr>
        <w:tc>
          <w:tcPr>
            <w:tcW w:w="1697" w:type="dxa"/>
            <w:shd w:val="clear" w:color="auto" w:fill="C2D59B"/>
          </w:tcPr>
          <w:p>
            <w:pPr>
              <w:pStyle w:val="TableParagraph"/>
              <w:spacing w:line="229" w:lineRule="exact"/>
              <w:ind w:start="107"/>
              <w:rPr>
                <w:b/>
                <w:sz w:val="20"/>
              </w:rPr>
            </w:pPr>
            <w:r>
              <w:rPr>
                <w:b/>
                <w:sz w:val="20"/>
              </w:rPr>
              <w:t xml:space="preserve">Étude</w:t>
            </w:r>
          </w:p>
        </w:tc>
        <w:tc>
          <w:tcPr>
            <w:tcW w:w="3440" w:type="dxa"/>
            <w:shd w:val="clear" w:color="auto" w:fill="C2D59B"/>
          </w:tcPr>
          <w:p>
            <w:pPr>
              <w:pStyle w:val="TableParagraph"/>
              <w:spacing w:line="229" w:lineRule="exact"/>
              <w:ind w:start="107"/>
              <w:rPr>
                <w:b/>
                <w:sz w:val="20"/>
              </w:rPr>
            </w:pPr>
            <w:r>
              <w:rPr>
                <w:b/>
                <w:sz w:val="20"/>
              </w:rPr>
              <w:t xml:space="preserve">Population</w:t>
            </w:r>
          </w:p>
        </w:tc>
        <w:tc>
          <w:tcPr>
            <w:tcW w:w="2225" w:type="dxa"/>
            <w:shd w:val="clear" w:color="auto" w:fill="C2D59B"/>
          </w:tcPr>
          <w:p>
            <w:pPr>
              <w:pStyle w:val="TableParagraph"/>
              <w:ind w:start="107" w:end="543"/>
              <w:rPr>
                <w:b/>
                <w:sz w:val="20"/>
              </w:rPr>
            </w:pPr>
            <w:r>
              <w:rPr>
                <w:b/>
                <w:sz w:val="20"/>
              </w:rPr>
              <w:t xml:space="preserve">Intervention </w:t>
            </w:r>
            <w:r>
              <w:rPr>
                <w:b/>
                <w:sz w:val="20"/>
              </w:rPr>
              <w:t xml:space="preserve">et </w:t>
            </w:r>
            <w:r>
              <w:rPr>
                <w:b/>
                <w:sz w:val="20"/>
              </w:rPr>
              <w:t xml:space="preserve">comparaison</w:t>
            </w:r>
          </w:p>
        </w:tc>
        <w:tc>
          <w:tcPr>
            <w:tcW w:w="1848" w:type="dxa"/>
            <w:shd w:val="clear" w:color="auto" w:fill="C2D59B"/>
          </w:tcPr>
          <w:p>
            <w:pPr>
              <w:pStyle w:val="TableParagraph"/>
              <w:ind w:start="107" w:end="740"/>
              <w:rPr>
                <w:b/>
                <w:sz w:val="20"/>
              </w:rPr>
            </w:pPr>
            <w:r>
              <w:rPr>
                <w:b/>
                <w:spacing w:val="-1"/>
                <w:sz w:val="20"/>
              </w:rPr>
              <w:t xml:space="preserve">Résultats </w:t>
            </w:r>
            <w:r>
              <w:rPr>
                <w:b/>
                <w:sz w:val="20"/>
              </w:rPr>
              <w:t xml:space="preserve">rapportés</w:t>
            </w:r>
          </w:p>
        </w:tc>
      </w:tr>
      <w:tr w:rsidR="00432386">
        <w:trPr>
          <w:trHeight w:val="3568"/>
        </w:trPr>
        <w:tc>
          <w:tcPr>
            <w:tcW w:w="1697" w:type="dxa"/>
          </w:tcPr>
          <w:p>
            <w:pPr>
              <w:pStyle w:val="TableParagraph"/>
              <w:spacing w:line="229" w:lineRule="exact"/>
              <w:ind w:start="107"/>
              <w:rPr>
                <w:sz w:val="20"/>
              </w:rPr>
            </w:pPr>
            <w:hyperlink r:id="rId100">
              <w:r>
                <w:rPr>
                  <w:color w:val="0000FF"/>
                  <w:sz w:val="20"/>
                  <w:u w:val="single" w:color="0000FF"/>
                </w:rPr>
                <w:t xml:space="preserve">Brik </w:t>
              </w:r>
              <w:r>
                <w:rPr>
                  <w:color w:val="0000FF"/>
                  <w:sz w:val="20"/>
                  <w:u w:val="single" w:color="0000FF"/>
                </w:rPr>
                <w:t xml:space="preserve">et </w:t>
              </w:r>
              <w:r>
                <w:rPr>
                  <w:color w:val="0000FF"/>
                  <w:sz w:val="20"/>
                  <w:u w:val="single" w:color="0000FF"/>
                </w:rPr>
                <w:t xml:space="preserve">al. </w:t>
              </w:r>
              <w:r>
                <w:rPr>
                  <w:color w:val="0000FF"/>
                  <w:sz w:val="20"/>
                  <w:u w:val="single" w:color="0000FF"/>
                </w:rPr>
                <w:t xml:space="preserve">2020</w:t>
              </w:r>
            </w:hyperlink>
          </w:p>
          <w:p w:rsidR="00432386" w:rsidRDefault="00432386">
            <w:pPr>
              <w:pStyle w:val="TableParagraph"/>
              <w:spacing w:before="3"/>
              <w:rPr>
                <w:b/>
                <w:sz w:val="30"/>
              </w:rPr>
            </w:pPr>
          </w:p>
          <w:p>
            <w:pPr>
              <w:pStyle w:val="TableParagraph"/>
              <w:ind w:start="107" w:end="356"/>
              <w:rPr>
                <w:sz w:val="20"/>
              </w:rPr>
            </w:pPr>
            <w:r>
              <w:rPr>
                <w:sz w:val="20"/>
              </w:rPr>
              <w:t xml:space="preserve">Étude </w:t>
            </w:r>
            <w:r>
              <w:rPr>
                <w:spacing w:val="-1"/>
                <w:sz w:val="20"/>
              </w:rPr>
              <w:t xml:space="preserve">rétrospective </w:t>
            </w:r>
            <w:r>
              <w:rPr>
                <w:sz w:val="20"/>
              </w:rPr>
              <w:t xml:space="preserve">observationnelle </w:t>
            </w:r>
            <w:r>
              <w:rPr>
                <w:sz w:val="20"/>
              </w:rPr>
              <w:t xml:space="preserve">monocentrique</w:t>
            </w:r>
          </w:p>
          <w:p w:rsidR="00432386" w:rsidRDefault="00432386">
            <w:pPr>
              <w:pStyle w:val="TableParagraph"/>
              <w:spacing w:before="8"/>
              <w:rPr>
                <w:b/>
                <w:sz w:val="30"/>
              </w:rPr>
            </w:pPr>
          </w:p>
          <w:p>
            <w:pPr>
              <w:pStyle w:val="TableParagraph"/>
              <w:ind w:start="107"/>
              <w:rPr>
                <w:sz w:val="20"/>
              </w:rPr>
            </w:pPr>
            <w:r>
              <w:rPr>
                <w:sz w:val="20"/>
              </w:rPr>
              <w:t xml:space="preserve">Pays-Bas</w:t>
            </w:r>
          </w:p>
        </w:tc>
        <w:tc>
          <w:tcPr>
            <w:tcW w:w="3440" w:type="dxa"/>
          </w:tcPr>
          <w:p>
            <w:pPr>
              <w:pStyle w:val="TableParagraph"/>
              <w:ind w:start="107" w:end="187"/>
              <w:rPr>
                <w:sz w:val="20"/>
              </w:rPr>
            </w:pPr>
            <w:r>
              <w:rPr>
                <w:sz w:val="20"/>
              </w:rPr>
              <w:t xml:space="preserve">L'</w:t>
            </w:r>
            <w:r>
              <w:rPr>
                <w:sz w:val="20"/>
              </w:rPr>
              <w:t xml:space="preserve">étude a été menée à la </w:t>
            </w:r>
            <w:r>
              <w:rPr>
                <w:sz w:val="20"/>
              </w:rPr>
              <w:t xml:space="preserve">clinique du genre du centre </w:t>
            </w:r>
            <w:r>
              <w:rPr>
                <w:sz w:val="20"/>
              </w:rPr>
              <w:t xml:space="preserve">médical universitaire Curium-Leiden </w:t>
            </w:r>
            <w:r>
              <w:rPr>
                <w:sz w:val="20"/>
              </w:rPr>
              <w:t xml:space="preserve">à Leiden, aux </w:t>
            </w:r>
            <w:r>
              <w:rPr>
                <w:sz w:val="20"/>
              </w:rPr>
              <w:t xml:space="preserve">Pays-Bas, et a porté sur des </w:t>
            </w:r>
            <w:r>
              <w:rPr>
                <w:sz w:val="20"/>
              </w:rPr>
              <w:t xml:space="preserve">adolescents </w:t>
            </w:r>
            <w:r>
              <w:rPr>
                <w:sz w:val="20"/>
              </w:rPr>
              <w:t xml:space="preserve">souffrant de </w:t>
            </w:r>
            <w:r>
              <w:rPr>
                <w:sz w:val="20"/>
              </w:rPr>
              <w:t xml:space="preserve">dysphorie de </w:t>
            </w:r>
            <w:r>
              <w:rPr>
                <w:sz w:val="20"/>
              </w:rPr>
              <w:t xml:space="preserve">genre</w:t>
            </w:r>
            <w:r>
              <w:rPr>
                <w:sz w:val="20"/>
              </w:rPr>
              <w:t xml:space="preserve">.</w:t>
            </w:r>
          </w:p>
          <w:p>
            <w:pPr>
              <w:pStyle w:val="TableParagraph"/>
              <w:spacing w:before="59"/>
              <w:ind w:start="107" w:end="198"/>
              <w:rPr>
                <w:sz w:val="20"/>
              </w:rPr>
            </w:pPr>
            <w:r>
              <w:rPr>
                <w:sz w:val="20"/>
              </w:rPr>
              <w:t xml:space="preserve">La taille de l'échantillon était de 143 </w:t>
            </w:r>
            <w:r>
              <w:rPr>
                <w:sz w:val="20"/>
              </w:rPr>
              <w:t xml:space="preserve">adolescents </w:t>
            </w:r>
            <w:r>
              <w:rPr>
                <w:sz w:val="20"/>
              </w:rPr>
              <w:t xml:space="preserve">(l'</w:t>
            </w:r>
            <w:r>
              <w:rPr>
                <w:sz w:val="20"/>
              </w:rPr>
              <w:t xml:space="preserve">âge </w:t>
            </w:r>
            <w:r>
              <w:rPr>
                <w:sz w:val="20"/>
              </w:rPr>
              <w:t xml:space="preserve">médian </w:t>
            </w:r>
            <w:r>
              <w:rPr>
                <w:sz w:val="20"/>
              </w:rPr>
              <w:t xml:space="preserve">au </w:t>
            </w:r>
            <w:r>
              <w:rPr>
                <w:sz w:val="20"/>
              </w:rPr>
              <w:t xml:space="preserve">début </w:t>
            </w:r>
            <w:r>
              <w:rPr>
                <w:sz w:val="20"/>
              </w:rPr>
              <w:t xml:space="preserve">du </w:t>
            </w:r>
            <w:r>
              <w:rPr>
                <w:sz w:val="20"/>
              </w:rPr>
              <w:t xml:space="preserve">traitement </w:t>
            </w:r>
            <w:r>
              <w:rPr>
                <w:sz w:val="20"/>
              </w:rPr>
              <w:t xml:space="preserve">était de </w:t>
            </w:r>
            <w:r>
              <w:rPr>
                <w:sz w:val="20"/>
              </w:rPr>
              <w:t xml:space="preserve">15,0 </w:t>
            </w:r>
            <w:r>
              <w:rPr>
                <w:sz w:val="20"/>
              </w:rPr>
              <w:t xml:space="preserve">ans, </w:t>
            </w:r>
            <w:r>
              <w:rPr>
                <w:sz w:val="20"/>
              </w:rPr>
              <w:t xml:space="preserve">intervalle</w:t>
            </w:r>
          </w:p>
          <w:p>
            <w:pPr>
              <w:pStyle w:val="TableParagraph"/>
              <w:spacing w:line="229" w:lineRule="exact"/>
              <w:ind w:start="107"/>
              <w:rPr>
                <w:sz w:val="20"/>
              </w:rPr>
            </w:pPr>
            <w:r>
              <w:rPr>
                <w:sz w:val="20"/>
              </w:rPr>
              <w:t xml:space="preserve">11,1 </w:t>
            </w:r>
            <w:r>
              <w:rPr>
                <w:sz w:val="20"/>
              </w:rPr>
              <w:t xml:space="preserve">à </w:t>
            </w:r>
            <w:r>
              <w:rPr>
                <w:sz w:val="20"/>
              </w:rPr>
              <w:t xml:space="preserve">18,6 </w:t>
            </w:r>
            <w:r>
              <w:rPr>
                <w:sz w:val="20"/>
              </w:rPr>
              <w:t xml:space="preserve">ans </w:t>
            </w:r>
            <w:r>
              <w:rPr>
                <w:sz w:val="20"/>
              </w:rPr>
              <w:t xml:space="preserve">chez les </w:t>
            </w:r>
            <w:r>
              <w:rPr>
                <w:sz w:val="20"/>
              </w:rPr>
              <w:t xml:space="preserve">transfemmes ;</w:t>
            </w:r>
          </w:p>
          <w:p>
            <w:pPr>
              <w:pStyle w:val="TableParagraph"/>
              <w:ind w:start="107" w:end="106"/>
              <w:rPr>
                <w:sz w:val="20"/>
              </w:rPr>
            </w:pPr>
            <w:r>
              <w:rPr>
                <w:sz w:val="20"/>
              </w:rPr>
              <w:t xml:space="preserve">16,1 </w:t>
            </w:r>
            <w:r>
              <w:rPr>
                <w:sz w:val="20"/>
              </w:rPr>
              <w:t xml:space="preserve">ans, </w:t>
            </w:r>
            <w:r>
              <w:rPr>
                <w:sz w:val="20"/>
              </w:rPr>
              <w:t xml:space="preserve">intervalle de </w:t>
            </w:r>
            <w:r>
              <w:rPr>
                <w:sz w:val="20"/>
              </w:rPr>
              <w:t xml:space="preserve">10,1 </w:t>
            </w:r>
            <w:r>
              <w:rPr>
                <w:sz w:val="20"/>
              </w:rPr>
              <w:t xml:space="preserve">à </w:t>
            </w:r>
            <w:r>
              <w:rPr>
                <w:sz w:val="20"/>
              </w:rPr>
              <w:t xml:space="preserve">17,9 </w:t>
            </w:r>
            <w:r>
              <w:rPr>
                <w:sz w:val="20"/>
              </w:rPr>
              <w:t xml:space="preserve">ans </w:t>
            </w:r>
            <w:r>
              <w:rPr>
                <w:sz w:val="20"/>
              </w:rPr>
              <w:t xml:space="preserve">chez les transmales) à partir d'une </w:t>
            </w:r>
            <w:r>
              <w:rPr>
                <w:sz w:val="20"/>
              </w:rPr>
              <w:t xml:space="preserve">base de </w:t>
            </w:r>
            <w:r>
              <w:rPr>
                <w:sz w:val="20"/>
              </w:rPr>
              <w:t xml:space="preserve">sondage </w:t>
            </w:r>
            <w:r>
              <w:rPr>
                <w:sz w:val="20"/>
              </w:rPr>
              <w:t xml:space="preserve">de 269 enfants et </w:t>
            </w:r>
            <w:r>
              <w:rPr>
                <w:sz w:val="20"/>
              </w:rPr>
              <w:t xml:space="preserve">adolescents enregistrés à la clinique </w:t>
            </w:r>
            <w:r>
              <w:rPr>
                <w:sz w:val="20"/>
              </w:rPr>
              <w:t xml:space="preserve">entre novembre 2010 et </w:t>
            </w:r>
            <w:r>
              <w:rPr>
                <w:sz w:val="20"/>
              </w:rPr>
              <w:t xml:space="preserve">janvier </w:t>
            </w:r>
            <w:r>
              <w:rPr>
                <w:sz w:val="20"/>
              </w:rPr>
              <w:t xml:space="preserve">2018.</w:t>
            </w:r>
          </w:p>
        </w:tc>
        <w:tc>
          <w:tcPr>
            <w:tcW w:w="2225" w:type="dxa"/>
          </w:tcPr>
          <w:p>
            <w:pPr>
              <w:pStyle w:val="TableParagraph"/>
              <w:spacing w:line="229" w:lineRule="exact"/>
              <w:ind w:start="107"/>
              <w:rPr>
                <w:b/>
                <w:sz w:val="20"/>
              </w:rPr>
            </w:pPr>
            <w:r>
              <w:rPr>
                <w:b/>
                <w:sz w:val="20"/>
              </w:rPr>
              <w:t xml:space="preserve">Intervention</w:t>
            </w:r>
          </w:p>
          <w:p>
            <w:pPr>
              <w:pStyle w:val="TableParagraph"/>
              <w:spacing w:before="60"/>
              <w:ind w:start="107" w:end="122"/>
              <w:rPr>
                <w:sz w:val="20"/>
              </w:rPr>
            </w:pPr>
            <w:r>
              <w:rPr>
                <w:sz w:val="20"/>
              </w:rPr>
              <w:t xml:space="preserve">143 enfants et </w:t>
            </w:r>
            <w:r>
              <w:rPr>
                <w:sz w:val="20"/>
              </w:rPr>
              <w:t xml:space="preserve">adolescents recevant des </w:t>
            </w:r>
            <w:r>
              <w:rPr>
                <w:sz w:val="20"/>
              </w:rPr>
              <w:t xml:space="preserve">analogues de la GnRH (aucun </w:t>
            </w:r>
            <w:r>
              <w:rPr>
                <w:sz w:val="20"/>
              </w:rPr>
              <w:t xml:space="preserve">traitement spécifique, </w:t>
            </w:r>
            <w:r>
              <w:rPr>
                <w:sz w:val="20"/>
              </w:rPr>
              <w:t xml:space="preserve">dose, voie ou </w:t>
            </w:r>
            <w:r>
              <w:rPr>
                <w:sz w:val="20"/>
              </w:rPr>
              <w:t xml:space="preserve">fréquence d'</w:t>
            </w:r>
            <w:r>
              <w:rPr>
                <w:sz w:val="20"/>
              </w:rPr>
              <w:t xml:space="preserve">administration </w:t>
            </w:r>
            <w:r>
              <w:rPr>
                <w:sz w:val="20"/>
              </w:rPr>
              <w:t xml:space="preserve">n'</w:t>
            </w:r>
            <w:r>
              <w:rPr>
                <w:sz w:val="20"/>
              </w:rPr>
              <w:t xml:space="preserve">a été signalé). </w:t>
            </w:r>
            <w:r>
              <w:rPr>
                <w:sz w:val="20"/>
              </w:rPr>
              <w:t xml:space="preserve">La </w:t>
            </w:r>
            <w:r>
              <w:rPr>
                <w:sz w:val="20"/>
              </w:rPr>
              <w:t xml:space="preserve">durée </w:t>
            </w:r>
            <w:r>
              <w:rPr>
                <w:sz w:val="20"/>
              </w:rPr>
              <w:t xml:space="preserve">médiane </w:t>
            </w:r>
            <w:r>
              <w:rPr>
                <w:sz w:val="20"/>
              </w:rPr>
              <w:t xml:space="preserve">était de 2,1</w:t>
            </w:r>
          </w:p>
          <w:p>
            <w:pPr>
              <w:pStyle w:val="TableParagraph"/>
              <w:spacing w:line="230" w:lineRule="exact"/>
              <w:ind w:start="107"/>
              <w:rPr>
                <w:sz w:val="20"/>
              </w:rPr>
            </w:pPr>
            <w:r>
              <w:rPr>
                <w:sz w:val="20"/>
              </w:rPr>
              <w:t xml:space="preserve">ans </w:t>
            </w:r>
            <w:r>
              <w:rPr>
                <w:sz w:val="20"/>
              </w:rPr>
              <w:t xml:space="preserve">(fourchette </w:t>
            </w:r>
            <w:r>
              <w:rPr>
                <w:sz w:val="20"/>
              </w:rPr>
              <w:t xml:space="preserve">: 1,6-</w:t>
            </w:r>
          </w:p>
          <w:p>
            <w:pPr>
              <w:pStyle w:val="TableParagraph"/>
              <w:spacing w:before="1" w:line="302" w:lineRule="auto"/>
              <w:ind w:start="107" w:end="720"/>
              <w:rPr>
                <w:sz w:val="20"/>
              </w:rPr>
            </w:pPr>
            <w:r>
              <w:rPr>
                <w:sz w:val="20"/>
              </w:rPr>
              <w:t xml:space="preserve">2,8 ans). </w:t>
            </w:r>
            <w:r>
              <w:rPr>
                <w:b/>
                <w:sz w:val="20"/>
              </w:rPr>
              <w:t xml:space="preserve">Comparaison </w:t>
            </w:r>
            <w:r>
              <w:rPr>
                <w:sz w:val="20"/>
              </w:rPr>
              <w:t xml:space="preserve">Aucun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5"/>
              </w:numPr>
              <w:tabs>
                <w:tab w:val="left" w:pos="437"/>
              </w:tabs>
              <w:spacing w:before="63" w:line="237" w:lineRule="auto"/>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60"/>
              <w:ind w:start="107" w:end="774"/>
              <w:rPr>
                <w:b/>
                <w:sz w:val="20"/>
              </w:rPr>
            </w:pPr>
            <w:r>
              <w:rPr>
                <w:b/>
                <w:spacing w:val="-1"/>
                <w:sz w:val="20"/>
              </w:rPr>
              <w:t xml:space="preserve">Résultats </w:t>
            </w:r>
            <w:r>
              <w:rPr>
                <w:b/>
                <w:sz w:val="20"/>
              </w:rPr>
              <w:t xml:space="preserve">importants</w:t>
            </w:r>
          </w:p>
          <w:p>
            <w:pPr>
              <w:pStyle w:val="TableParagraph"/>
              <w:numPr>
                <w:ilvl w:val="0"/>
                <w:numId w:val="185"/>
              </w:numPr>
              <w:tabs>
                <w:tab w:val="left" w:pos="437"/>
              </w:tabs>
              <w:spacing w:before="62"/>
              <w:ind w:end="557"/>
              <w:rPr>
                <w:sz w:val="20"/>
              </w:rPr>
            </w:pPr>
            <w:r>
              <w:rPr>
                <w:sz w:val="20"/>
              </w:rPr>
              <w:t xml:space="preserve">Arrêt du </w:t>
            </w:r>
            <w:r>
              <w:rPr>
                <w:spacing w:val="-1"/>
                <w:sz w:val="20"/>
              </w:rPr>
              <w:t xml:space="preserve">traitement</w:t>
            </w:r>
          </w:p>
        </w:tc>
      </w:tr>
    </w:tbl>
    <w:p w:rsidR="00432386" w:rsidRDefault="00432386">
      <w:pPr>
        <w:rPr>
          <w:sz w:val="20"/>
        </w:rPr>
        <w:sectPr w:rsidR="00432386">
          <w:pgSz w:w="11910" w:h="16840"/>
          <w:pgMar w:top="1180" w:right="980" w:bottom="146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697"/>
        <w:gridCol w:w="3440"/>
        <w:gridCol w:w="2225"/>
        <w:gridCol w:w="1848"/>
      </w:tblGrid>
      <w:tr w:rsidR="00432386">
        <w:trPr>
          <w:trHeight w:val="517"/>
        </w:trPr>
        <w:tc>
          <w:tcPr>
            <w:tcW w:w="1697" w:type="dxa"/>
            <w:shd w:val="clear" w:color="auto" w:fill="C2D59B"/>
          </w:tcPr>
          <w:p>
            <w:pPr>
              <w:pStyle w:val="TableParagraph"/>
              <w:spacing w:line="229" w:lineRule="exact"/>
              <w:ind w:start="107"/>
              <w:rPr>
                <w:b/>
                <w:sz w:val="20"/>
              </w:rPr>
            </w:pPr>
            <w:r>
              <w:rPr>
                <w:b/>
                <w:sz w:val="20"/>
              </w:rPr>
              <w:lastRenderedPageBreak/>
              <w:t xml:space="preserve">Étude</w:t>
            </w:r>
          </w:p>
        </w:tc>
        <w:tc>
          <w:tcPr>
            <w:tcW w:w="3440" w:type="dxa"/>
            <w:shd w:val="clear" w:color="auto" w:fill="C2D59B"/>
          </w:tcPr>
          <w:p>
            <w:pPr>
              <w:pStyle w:val="TableParagraph"/>
              <w:spacing w:line="229" w:lineRule="exact"/>
              <w:ind w:start="107"/>
              <w:rPr>
                <w:b/>
                <w:sz w:val="20"/>
              </w:rPr>
            </w:pPr>
            <w:r>
              <w:rPr>
                <w:b/>
                <w:sz w:val="20"/>
              </w:rPr>
              <w:t xml:space="preserve">Population</w:t>
            </w:r>
          </w:p>
        </w:tc>
        <w:tc>
          <w:tcPr>
            <w:tcW w:w="2225" w:type="dxa"/>
            <w:shd w:val="clear" w:color="auto" w:fill="C2D59B"/>
          </w:tcPr>
          <w:p>
            <w:pPr>
              <w:pStyle w:val="TableParagraph"/>
              <w:ind w:start="107" w:end="543"/>
              <w:rPr>
                <w:b/>
                <w:sz w:val="20"/>
              </w:rPr>
            </w:pPr>
            <w:r>
              <w:rPr>
                <w:b/>
                <w:sz w:val="20"/>
              </w:rPr>
              <w:t xml:space="preserve">Intervention </w:t>
            </w:r>
            <w:r>
              <w:rPr>
                <w:b/>
                <w:sz w:val="20"/>
              </w:rPr>
              <w:t xml:space="preserve">et </w:t>
            </w:r>
            <w:r>
              <w:rPr>
                <w:b/>
                <w:sz w:val="20"/>
              </w:rPr>
              <w:t xml:space="preserve">comparaison</w:t>
            </w:r>
          </w:p>
        </w:tc>
        <w:tc>
          <w:tcPr>
            <w:tcW w:w="1848" w:type="dxa"/>
            <w:shd w:val="clear" w:color="auto" w:fill="C2D59B"/>
          </w:tcPr>
          <w:p>
            <w:pPr>
              <w:pStyle w:val="TableParagraph"/>
              <w:ind w:start="107" w:end="740"/>
              <w:rPr>
                <w:b/>
                <w:sz w:val="20"/>
              </w:rPr>
            </w:pPr>
            <w:r>
              <w:rPr>
                <w:b/>
                <w:spacing w:val="-1"/>
                <w:sz w:val="20"/>
              </w:rPr>
              <w:t xml:space="preserve">Résultats </w:t>
            </w:r>
            <w:r>
              <w:rPr>
                <w:b/>
                <w:sz w:val="20"/>
              </w:rPr>
              <w:t xml:space="preserve">rapportés</w:t>
            </w:r>
          </w:p>
        </w:tc>
      </w:tr>
      <w:tr w:rsidR="00432386">
        <w:trPr>
          <w:trHeight w:val="2131"/>
        </w:trPr>
        <w:tc>
          <w:tcPr>
            <w:tcW w:w="1697" w:type="dxa"/>
          </w:tcPr>
          <w:p w:rsidR="00432386" w:rsidRDefault="00432386">
            <w:pPr>
              <w:pStyle w:val="TableParagraph"/>
              <w:rPr>
                <w:rFonts w:ascii="Times New Roman"/>
                <w:sz w:val="18"/>
              </w:rPr>
            </w:pPr>
          </w:p>
        </w:tc>
        <w:tc>
          <w:tcPr>
            <w:tcW w:w="3440" w:type="dxa"/>
          </w:tcPr>
          <w:p>
            <w:pPr>
              <w:pStyle w:val="TableParagraph"/>
              <w:ind w:start="107" w:end="187"/>
              <w:rPr>
                <w:sz w:val="20"/>
              </w:rPr>
            </w:pPr>
            <w:r>
              <w:rPr>
                <w:sz w:val="20"/>
              </w:rPr>
              <w:t xml:space="preserve">Les participants ont été inclus dans l'</w:t>
            </w:r>
            <w:r>
              <w:rPr>
                <w:sz w:val="20"/>
              </w:rPr>
              <w:t xml:space="preserve">étude s'ils avaient reçu un diagnostic de </w:t>
            </w:r>
            <w:r>
              <w:rPr>
                <w:sz w:val="20"/>
              </w:rPr>
              <w:t xml:space="preserve">dysphorie de genre selon les </w:t>
            </w:r>
            <w:r>
              <w:rPr>
                <w:sz w:val="20"/>
              </w:rPr>
              <w:t xml:space="preserve">critères du DSM-5, s'ils étaient inscrits à la </w:t>
            </w:r>
            <w:r>
              <w:rPr>
                <w:sz w:val="20"/>
              </w:rPr>
              <w:t xml:space="preserve">clinique, s'ils étaient prépubères et dans </w:t>
            </w:r>
            <w:r>
              <w:rPr>
                <w:sz w:val="20"/>
              </w:rPr>
              <w:t xml:space="preserve">la </w:t>
            </w:r>
            <w:r>
              <w:rPr>
                <w:sz w:val="20"/>
              </w:rPr>
              <w:t xml:space="preserve">tranche d'</w:t>
            </w:r>
            <w:r>
              <w:rPr>
                <w:sz w:val="20"/>
              </w:rPr>
              <w:t xml:space="preserve">âge </w:t>
            </w:r>
            <w:r>
              <w:rPr>
                <w:sz w:val="20"/>
              </w:rPr>
              <w:t xml:space="preserve">appropriée, </w:t>
            </w:r>
            <w:r>
              <w:rPr>
                <w:sz w:val="20"/>
              </w:rPr>
              <w:t xml:space="preserve">et s'ils </w:t>
            </w:r>
            <w:r>
              <w:rPr>
                <w:sz w:val="20"/>
              </w:rPr>
              <w:t xml:space="preserve">avaient </w:t>
            </w:r>
            <w:r>
              <w:rPr>
                <w:sz w:val="20"/>
              </w:rPr>
              <w:t xml:space="preserve">commencé à prendre des analogues de la GnRH. Aucun </w:t>
            </w:r>
            <w:r>
              <w:rPr>
                <w:sz w:val="20"/>
              </w:rPr>
              <w:t xml:space="preserve">traitement concomitant </w:t>
            </w:r>
            <w:r>
              <w:rPr>
                <w:sz w:val="20"/>
              </w:rPr>
              <w:t xml:space="preserve">n'a été </w:t>
            </w:r>
            <w:r>
              <w:rPr>
                <w:sz w:val="20"/>
              </w:rPr>
              <w:t xml:space="preserve">signalé.</w:t>
            </w:r>
          </w:p>
        </w:tc>
        <w:tc>
          <w:tcPr>
            <w:tcW w:w="2225" w:type="dxa"/>
          </w:tcPr>
          <w:p w:rsidR="00432386" w:rsidRDefault="00432386">
            <w:pPr>
              <w:pStyle w:val="TableParagraph"/>
              <w:rPr>
                <w:rFonts w:ascii="Times New Roman"/>
                <w:sz w:val="18"/>
              </w:rPr>
            </w:pPr>
          </w:p>
        </w:tc>
        <w:tc>
          <w:tcPr>
            <w:tcW w:w="1848" w:type="dxa"/>
          </w:tcPr>
          <w:p w:rsidR="00432386" w:rsidRDefault="00432386">
            <w:pPr>
              <w:pStyle w:val="TableParagraph"/>
              <w:rPr>
                <w:rFonts w:ascii="Times New Roman"/>
                <w:sz w:val="18"/>
              </w:rPr>
            </w:pPr>
          </w:p>
        </w:tc>
      </w:tr>
      <w:tr w:rsidR="00432386">
        <w:trPr>
          <w:trHeight w:val="6679"/>
        </w:trPr>
        <w:tc>
          <w:tcPr>
            <w:tcW w:w="1697" w:type="dxa"/>
          </w:tcPr>
          <w:p>
            <w:pPr>
              <w:pStyle w:val="TableParagraph"/>
              <w:ind w:start="107" w:end="564"/>
              <w:rPr>
                <w:sz w:val="20"/>
              </w:rPr>
            </w:pPr>
            <w:hyperlink r:id="rId101">
              <w:r>
                <w:rPr>
                  <w:color w:val="0000FF"/>
                  <w:sz w:val="20"/>
                  <w:u w:val="single" w:color="0000FF"/>
                </w:rPr>
                <w:t xml:space="preserve">Costa</w:t>
              </w:r>
              <w:r>
                <w:rPr>
                  <w:color w:val="0000FF"/>
                  <w:sz w:val="20"/>
                  <w:u w:val="single" w:color="0000FF"/>
                </w:rPr>
                <w:t xml:space="preserve">et</w:t>
              </w:r>
              <w:r>
                <w:rPr>
                  <w:color w:val="0000FF"/>
                  <w:sz w:val="20"/>
                  <w:u w:val="single" w:color="0000FF"/>
                </w:rPr>
                <w:t xml:space="preserve">al. </w:t>
              </w:r>
            </w:hyperlink>
            <w:hyperlink r:id="rId102">
              <w:r>
                <w:rPr>
                  <w:color w:val="0000FF"/>
                  <w:sz w:val="20"/>
                  <w:u w:val="single" w:color="0000FF"/>
                </w:rPr>
                <w:t xml:space="preserve">2015</w:t>
              </w:r>
            </w:hyperlink>
          </w:p>
          <w:p w:rsidR="00432386" w:rsidRDefault="00432386">
            <w:pPr>
              <w:pStyle w:val="TableParagraph"/>
              <w:spacing w:before="5"/>
              <w:rPr>
                <w:b/>
                <w:sz w:val="30"/>
              </w:rPr>
            </w:pPr>
          </w:p>
          <w:p>
            <w:pPr>
              <w:pStyle w:val="TableParagraph"/>
              <w:ind w:start="107" w:end="383"/>
              <w:rPr>
                <w:sz w:val="20"/>
              </w:rPr>
            </w:pPr>
            <w:r>
              <w:rPr>
                <w:sz w:val="20"/>
              </w:rPr>
              <w:t xml:space="preserve">Étude de </w:t>
            </w:r>
            <w:r>
              <w:rPr>
                <w:sz w:val="20"/>
              </w:rPr>
              <w:t xml:space="preserve">cohorte </w:t>
            </w:r>
            <w:r>
              <w:rPr>
                <w:sz w:val="20"/>
              </w:rPr>
              <w:t xml:space="preserve">prospective </w:t>
            </w:r>
            <w:r>
              <w:rPr>
                <w:sz w:val="20"/>
              </w:rPr>
              <w:t xml:space="preserve">longitudinale d</w:t>
            </w:r>
            <w:r>
              <w:rPr>
                <w:spacing w:val="-1"/>
                <w:sz w:val="20"/>
              </w:rPr>
              <w:t xml:space="preserve">'observation </w:t>
            </w:r>
            <w:r>
              <w:rPr>
                <w:sz w:val="20"/>
              </w:rPr>
              <w:t xml:space="preserve">dans un seul centre</w:t>
            </w:r>
          </w:p>
          <w:p w:rsidR="00432386" w:rsidRDefault="00432386">
            <w:pPr>
              <w:pStyle w:val="TableParagraph"/>
              <w:spacing w:before="6"/>
              <w:rPr>
                <w:b/>
                <w:sz w:val="30"/>
              </w:rPr>
            </w:pPr>
          </w:p>
          <w:p>
            <w:pPr>
              <w:pStyle w:val="TableParagraph"/>
              <w:ind w:start="107"/>
              <w:rPr>
                <w:sz w:val="20"/>
              </w:rPr>
            </w:pPr>
            <w:r>
              <w:rPr>
                <w:sz w:val="20"/>
              </w:rPr>
              <w:t xml:space="preserve">Royaume-Uni</w:t>
            </w:r>
          </w:p>
        </w:tc>
        <w:tc>
          <w:tcPr>
            <w:tcW w:w="3440" w:type="dxa"/>
          </w:tcPr>
          <w:p>
            <w:pPr>
              <w:pStyle w:val="TableParagraph"/>
              <w:ind w:start="107" w:end="186"/>
              <w:rPr>
                <w:sz w:val="20"/>
              </w:rPr>
            </w:pPr>
            <w:r>
              <w:rPr>
                <w:sz w:val="20"/>
              </w:rPr>
              <w:t xml:space="preserve">L'</w:t>
            </w:r>
            <w:r>
              <w:rPr>
                <w:sz w:val="20"/>
              </w:rPr>
              <w:t xml:space="preserve">étude a été menée au </w:t>
            </w:r>
            <w:r>
              <w:rPr>
                <w:sz w:val="20"/>
              </w:rPr>
              <w:t xml:space="preserve">Gender Identity Development </w:t>
            </w:r>
            <w:r>
              <w:rPr>
                <w:sz w:val="20"/>
              </w:rPr>
              <w:t xml:space="preserve">Service de Londres et portait sur des </w:t>
            </w:r>
            <w:r>
              <w:rPr>
                <w:sz w:val="20"/>
              </w:rPr>
              <w:t xml:space="preserve">adolescents </w:t>
            </w:r>
            <w:r>
              <w:rPr>
                <w:sz w:val="20"/>
              </w:rPr>
              <w:t xml:space="preserve">souffrant de </w:t>
            </w:r>
            <w:r>
              <w:rPr>
                <w:sz w:val="20"/>
              </w:rPr>
              <w:t xml:space="preserve">dysphorie de </w:t>
            </w:r>
            <w:r>
              <w:rPr>
                <w:sz w:val="20"/>
              </w:rPr>
              <w:t xml:space="preserve">genre</w:t>
            </w:r>
            <w:r>
              <w:rPr>
                <w:sz w:val="20"/>
              </w:rPr>
              <w:t xml:space="preserve">.</w:t>
            </w:r>
          </w:p>
          <w:p>
            <w:pPr>
              <w:pStyle w:val="TableParagraph"/>
              <w:spacing w:before="58"/>
              <w:ind w:start="107" w:end="648"/>
              <w:rPr>
                <w:sz w:val="20"/>
              </w:rPr>
            </w:pPr>
            <w:r>
              <w:rPr>
                <w:sz w:val="20"/>
              </w:rPr>
              <w:t xml:space="preserve">La taille de l'échantillon était de 201 </w:t>
            </w:r>
            <w:r>
              <w:rPr>
                <w:sz w:val="20"/>
              </w:rPr>
              <w:t xml:space="preserve">adolescents (âge moyen [±SD] de </w:t>
            </w:r>
            <w:r>
              <w:rPr>
                <w:sz w:val="20"/>
              </w:rPr>
              <w:t xml:space="preserve">15,52±1,41 </w:t>
            </w:r>
            <w:r>
              <w:rPr>
                <w:sz w:val="20"/>
              </w:rPr>
              <w:t xml:space="preserve">ans, </w:t>
            </w:r>
            <w:r>
              <w:rPr>
                <w:sz w:val="20"/>
              </w:rPr>
              <w:t xml:space="preserve">de </w:t>
            </w:r>
            <w:r>
              <w:rPr>
                <w:sz w:val="20"/>
              </w:rPr>
              <w:t xml:space="preserve">12 </w:t>
            </w:r>
            <w:r>
              <w:rPr>
                <w:sz w:val="20"/>
              </w:rPr>
              <w:t xml:space="preserve">à</w:t>
            </w:r>
          </w:p>
          <w:p>
            <w:pPr>
              <w:pStyle w:val="TableParagraph"/>
              <w:spacing w:before="2"/>
              <w:ind w:start="107" w:end="175"/>
              <w:rPr>
                <w:sz w:val="20"/>
              </w:rPr>
            </w:pPr>
            <w:r>
              <w:rPr>
                <w:sz w:val="20"/>
              </w:rPr>
              <w:t xml:space="preserve">17 ans) à partir d'une base de sondage de </w:t>
            </w:r>
            <w:r>
              <w:rPr>
                <w:sz w:val="20"/>
              </w:rPr>
              <w:t xml:space="preserve">436 adolescents consécutifs </w:t>
            </w:r>
            <w:r>
              <w:rPr>
                <w:sz w:val="20"/>
              </w:rPr>
              <w:t xml:space="preserve">adressés au service entre </w:t>
            </w:r>
            <w:r>
              <w:rPr>
                <w:sz w:val="20"/>
              </w:rPr>
              <w:t xml:space="preserve">2010 et 2014. L'</w:t>
            </w:r>
            <w:r>
              <w:rPr>
                <w:sz w:val="20"/>
              </w:rPr>
              <w:t xml:space="preserve">âge </w:t>
            </w:r>
            <w:r>
              <w:rPr>
                <w:sz w:val="20"/>
              </w:rPr>
              <w:t xml:space="preserve">moyen [±SD] </w:t>
            </w:r>
            <w:r>
              <w:rPr>
                <w:sz w:val="20"/>
              </w:rPr>
              <w:t xml:space="preserve">au </w:t>
            </w:r>
            <w:r>
              <w:rPr>
                <w:sz w:val="20"/>
              </w:rPr>
              <w:t xml:space="preserve">début du </w:t>
            </w:r>
            <w:r>
              <w:rPr>
                <w:sz w:val="20"/>
              </w:rPr>
              <w:t xml:space="preserve">traitement par </w:t>
            </w:r>
            <w:r>
              <w:rPr>
                <w:sz w:val="20"/>
              </w:rPr>
              <w:t xml:space="preserve">analogues de la GnRH </w:t>
            </w:r>
            <w:r>
              <w:rPr>
                <w:sz w:val="20"/>
              </w:rPr>
              <w:t xml:space="preserve">était de </w:t>
            </w:r>
            <w:r>
              <w:rPr>
                <w:sz w:val="20"/>
              </w:rPr>
              <w:t xml:space="preserve">16,48 </w:t>
            </w:r>
            <w:r>
              <w:rPr>
                <w:sz w:val="20"/>
              </w:rPr>
              <w:t xml:space="preserve">[±1,26] </w:t>
            </w:r>
            <w:r>
              <w:rPr>
                <w:sz w:val="20"/>
              </w:rPr>
              <w:t xml:space="preserve">ans, avec une </w:t>
            </w:r>
            <w:r>
              <w:rPr>
                <w:sz w:val="20"/>
              </w:rPr>
              <w:t xml:space="preserve">fourchette de </w:t>
            </w:r>
            <w:r>
              <w:rPr>
                <w:sz w:val="20"/>
              </w:rPr>
              <w:t xml:space="preserve">13 à 17 ans.</w:t>
            </w:r>
          </w:p>
          <w:p>
            <w:pPr>
              <w:pStyle w:val="TableParagraph"/>
              <w:ind w:start="107"/>
              <w:rPr>
                <w:sz w:val="20"/>
              </w:rPr>
            </w:pPr>
            <w:r>
              <w:rPr>
                <w:sz w:val="20"/>
              </w:rPr>
              <w:t xml:space="preserve">à </w:t>
            </w:r>
            <w:r>
              <w:rPr>
                <w:sz w:val="20"/>
              </w:rPr>
              <w:t xml:space="preserve">17 ans</w:t>
            </w:r>
            <w:r>
              <w:rPr>
                <w:sz w:val="20"/>
              </w:rPr>
              <w:t xml:space="preserve">.</w:t>
            </w:r>
          </w:p>
          <w:p>
            <w:pPr>
              <w:pStyle w:val="TableParagraph"/>
              <w:spacing w:before="61"/>
              <w:ind w:start="107" w:end="290"/>
              <w:rPr>
                <w:sz w:val="20"/>
              </w:rPr>
            </w:pPr>
            <w:r>
              <w:rPr>
                <w:sz w:val="20"/>
              </w:rPr>
              <w:t xml:space="preserve">Les participants ont été invités à </w:t>
            </w:r>
            <w:r>
              <w:rPr>
                <w:sz w:val="20"/>
              </w:rPr>
              <w:t xml:space="preserve">participer </w:t>
            </w:r>
            <w:r>
              <w:rPr>
                <w:sz w:val="20"/>
              </w:rPr>
              <w:t xml:space="preserve">après un </w:t>
            </w:r>
            <w:r>
              <w:rPr>
                <w:sz w:val="20"/>
              </w:rPr>
              <w:t xml:space="preserve">processus de diagnostic de </w:t>
            </w:r>
            <w:r>
              <w:rPr>
                <w:sz w:val="20"/>
              </w:rPr>
              <w:t xml:space="preserve">6 mois </w:t>
            </w:r>
            <w:r>
              <w:rPr>
                <w:sz w:val="20"/>
              </w:rPr>
              <w:t xml:space="preserve">selon les </w:t>
            </w:r>
            <w:r>
              <w:rPr>
                <w:sz w:val="20"/>
              </w:rPr>
              <w:t xml:space="preserve">critères du DSM-IV-TR. Aucun </w:t>
            </w:r>
            <w:r>
              <w:rPr>
                <w:sz w:val="20"/>
              </w:rPr>
              <w:t xml:space="preserve">traitement </w:t>
            </w:r>
            <w:r>
              <w:rPr>
                <w:sz w:val="20"/>
              </w:rPr>
              <w:t xml:space="preserve">concomitant n'a </w:t>
            </w:r>
            <w:r>
              <w:rPr>
                <w:sz w:val="20"/>
              </w:rPr>
              <w:t xml:space="preserve">été </w:t>
            </w:r>
            <w:r>
              <w:rPr>
                <w:sz w:val="20"/>
              </w:rPr>
              <w:t xml:space="preserve">signalé.</w:t>
            </w:r>
          </w:p>
        </w:tc>
        <w:tc>
          <w:tcPr>
            <w:tcW w:w="2225" w:type="dxa"/>
          </w:tcPr>
          <w:p>
            <w:pPr>
              <w:pStyle w:val="TableParagraph"/>
              <w:spacing w:line="229" w:lineRule="exact"/>
              <w:ind w:start="107"/>
              <w:rPr>
                <w:b/>
                <w:sz w:val="20"/>
              </w:rPr>
            </w:pPr>
            <w:r>
              <w:rPr>
                <w:b/>
                <w:sz w:val="20"/>
              </w:rPr>
              <w:t xml:space="preserve">Intervention</w:t>
            </w:r>
          </w:p>
          <w:p>
            <w:pPr>
              <w:pStyle w:val="TableParagraph"/>
              <w:spacing w:before="60"/>
              <w:ind w:start="107" w:end="127"/>
              <w:rPr>
                <w:sz w:val="20"/>
              </w:rPr>
            </w:pPr>
            <w:r>
              <w:rPr>
                <w:sz w:val="20"/>
              </w:rPr>
              <w:t xml:space="preserve">101 adolescents </w:t>
            </w:r>
            <w:r>
              <w:rPr>
                <w:sz w:val="20"/>
              </w:rPr>
              <w:t xml:space="preserve">ont été évalués comme étant </w:t>
            </w:r>
            <w:r>
              <w:rPr>
                <w:sz w:val="20"/>
              </w:rPr>
              <w:t xml:space="preserve">immédiatement </w:t>
            </w:r>
            <w:r>
              <w:rPr>
                <w:sz w:val="20"/>
              </w:rPr>
              <w:t xml:space="preserve">éligibles </w:t>
            </w:r>
            <w:r>
              <w:rPr>
                <w:sz w:val="20"/>
              </w:rPr>
              <w:t xml:space="preserve">pour recevoir des analogues de la GnRH </w:t>
            </w:r>
            <w:r>
              <w:rPr>
                <w:sz w:val="20"/>
              </w:rPr>
              <w:t xml:space="preserve">(aucun traitement spécifique, </w:t>
            </w:r>
            <w:r>
              <w:rPr>
                <w:sz w:val="20"/>
              </w:rPr>
              <w:t xml:space="preserve">dose ou voie d'</w:t>
            </w:r>
            <w:r>
              <w:rPr>
                <w:sz w:val="20"/>
              </w:rPr>
              <w:t xml:space="preserve">administration </w:t>
            </w:r>
            <w:r>
              <w:rPr>
                <w:sz w:val="20"/>
              </w:rPr>
              <w:t xml:space="preserve">n'</w:t>
            </w:r>
            <w:r>
              <w:rPr>
                <w:sz w:val="20"/>
              </w:rPr>
              <w:t xml:space="preserve">a été signalé) </w:t>
            </w:r>
            <w:r>
              <w:rPr>
                <w:sz w:val="20"/>
              </w:rPr>
              <w:t xml:space="preserve">ainsi qu'un </w:t>
            </w:r>
            <w:r>
              <w:rPr>
                <w:sz w:val="20"/>
              </w:rPr>
              <w:t xml:space="preserve">soutien psychologique. </w:t>
            </w:r>
            <w:r>
              <w:rPr>
                <w:sz w:val="20"/>
              </w:rPr>
              <w:t xml:space="preserve">La durée moyenne </w:t>
            </w:r>
            <w:r>
              <w:rPr>
                <w:sz w:val="20"/>
              </w:rPr>
              <w:t xml:space="preserve">du traitement était d'</w:t>
            </w:r>
            <w:r>
              <w:rPr>
                <w:sz w:val="20"/>
              </w:rPr>
              <w:t xml:space="preserve">environ 12 </w:t>
            </w:r>
            <w:r>
              <w:rPr>
                <w:sz w:val="20"/>
              </w:rPr>
              <w:t xml:space="preserve">mois (aucun </w:t>
            </w:r>
            <w:r>
              <w:rPr>
                <w:sz w:val="20"/>
              </w:rPr>
              <w:t xml:space="preserve">chiffre </w:t>
            </w:r>
            <w:r>
              <w:rPr>
                <w:sz w:val="20"/>
              </w:rPr>
              <w:t xml:space="preserve">exact n'</w:t>
            </w:r>
            <w:r>
              <w:rPr>
                <w:sz w:val="20"/>
              </w:rPr>
              <w:t xml:space="preserve">est donné).</w:t>
            </w:r>
          </w:p>
          <w:p>
            <w:pPr>
              <w:pStyle w:val="TableParagraph"/>
              <w:spacing w:before="62"/>
              <w:ind w:start="107"/>
              <w:rPr>
                <w:b/>
                <w:sz w:val="20"/>
              </w:rPr>
            </w:pPr>
            <w:r>
              <w:rPr>
                <w:b/>
                <w:sz w:val="20"/>
              </w:rPr>
              <w:t xml:space="preserve">Comparaison</w:t>
            </w:r>
          </w:p>
          <w:p>
            <w:pPr>
              <w:pStyle w:val="TableParagraph"/>
              <w:spacing w:before="58"/>
              <w:ind w:start="107" w:end="178"/>
              <w:rPr>
                <w:sz w:val="20"/>
              </w:rPr>
            </w:pPr>
            <w:r>
              <w:rPr>
                <w:sz w:val="20"/>
              </w:rPr>
              <w:t xml:space="preserve">100 adolescents </w:t>
            </w:r>
            <w:r>
              <w:rPr>
                <w:sz w:val="20"/>
              </w:rPr>
              <w:t xml:space="preserve">évalués comme n'étant pas </w:t>
            </w:r>
            <w:r>
              <w:rPr>
                <w:sz w:val="20"/>
              </w:rPr>
              <w:t xml:space="preserve">immédiatement éligibles </w:t>
            </w:r>
            <w:r>
              <w:rPr>
                <w:sz w:val="20"/>
              </w:rPr>
              <w:t xml:space="preserve">aux analogues de la GnRH </w:t>
            </w:r>
            <w:r>
              <w:rPr>
                <w:sz w:val="20"/>
              </w:rPr>
              <w:t xml:space="preserve">(plus de temps nécessaire pour </w:t>
            </w:r>
            <w:r>
              <w:rPr>
                <w:sz w:val="20"/>
              </w:rPr>
              <w:t xml:space="preserve">prendre la décision de </w:t>
            </w:r>
            <w:r>
              <w:rPr>
                <w:sz w:val="20"/>
              </w:rPr>
              <w:t xml:space="preserve">commencer les </w:t>
            </w:r>
            <w:r>
              <w:rPr>
                <w:sz w:val="20"/>
              </w:rPr>
              <w:t xml:space="preserve">analogues de la </w:t>
            </w:r>
            <w:r>
              <w:rPr>
                <w:sz w:val="20"/>
              </w:rPr>
              <w:t xml:space="preserve">GnRH</w:t>
            </w:r>
            <w:r>
              <w:rPr>
                <w:sz w:val="20"/>
              </w:rPr>
              <w:t xml:space="preserve">) qui </w:t>
            </w:r>
            <w:r>
              <w:rPr>
                <w:sz w:val="20"/>
              </w:rPr>
              <w:t xml:space="preserve">n'</w:t>
            </w:r>
            <w:r>
              <w:rPr>
                <w:sz w:val="20"/>
              </w:rPr>
              <w:t xml:space="preserve">ont reçu </w:t>
            </w:r>
            <w:r>
              <w:rPr>
                <w:sz w:val="20"/>
              </w:rPr>
              <w:t xml:space="preserve">qu'un </w:t>
            </w:r>
            <w:r>
              <w:rPr>
                <w:sz w:val="20"/>
              </w:rPr>
              <w:t xml:space="preserve">soutien </w:t>
            </w:r>
            <w:r>
              <w:rPr>
                <w:sz w:val="20"/>
              </w:rPr>
              <w:t xml:space="preserve">psychologique</w:t>
            </w:r>
            <w:r>
              <w:rPr>
                <w:sz w:val="20"/>
              </w:rPr>
              <w:t xml:space="preserve">. Aucun n'a reçu d'</w:t>
            </w:r>
            <w:r>
              <w:rPr>
                <w:sz w:val="20"/>
              </w:rPr>
              <w:t xml:space="preserve">analogues de la GnRH </w:t>
            </w:r>
            <w:r>
              <w:rPr>
                <w:sz w:val="20"/>
              </w:rPr>
              <w:t xml:space="preserve">pendant toute la durée de </w:t>
            </w:r>
            <w:r>
              <w:rPr>
                <w:sz w:val="20"/>
              </w:rPr>
              <w:t xml:space="preserve">l'</w:t>
            </w:r>
            <w:r>
              <w:rPr>
                <w:sz w:val="20"/>
              </w:rPr>
              <w:t xml:space="preserve">étude.</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4"/>
              </w:numPr>
              <w:tabs>
                <w:tab w:val="left" w:pos="437"/>
              </w:tabs>
              <w:spacing w:before="63" w:line="237" w:lineRule="auto"/>
              <w:ind w:end="522"/>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62"/>
              <w:ind w:start="107" w:end="774"/>
              <w:rPr>
                <w:b/>
                <w:sz w:val="20"/>
              </w:rPr>
            </w:pPr>
            <w:r>
              <w:rPr>
                <w:b/>
                <w:spacing w:val="-1"/>
                <w:sz w:val="20"/>
              </w:rPr>
              <w:t xml:space="preserve">Résultats </w:t>
            </w:r>
            <w:r>
              <w:rPr>
                <w:b/>
                <w:sz w:val="20"/>
              </w:rPr>
              <w:t xml:space="preserve">importants</w:t>
            </w:r>
          </w:p>
          <w:p>
            <w:pPr>
              <w:pStyle w:val="TableParagraph"/>
              <w:numPr>
                <w:ilvl w:val="0"/>
                <w:numId w:val="184"/>
              </w:numPr>
              <w:tabs>
                <w:tab w:val="left" w:pos="437"/>
              </w:tabs>
              <w:spacing w:before="67" w:line="235" w:lineRule="auto"/>
              <w:ind w:end="235"/>
              <w:rPr>
                <w:sz w:val="20"/>
              </w:rPr>
            </w:pPr>
            <w:r>
              <w:rPr>
                <w:sz w:val="20"/>
              </w:rPr>
              <w:t xml:space="preserve">Impact </w:t>
            </w:r>
            <w:r>
              <w:rPr>
                <w:spacing w:val="-1"/>
                <w:sz w:val="20"/>
              </w:rPr>
              <w:t xml:space="preserve">psychosocial</w:t>
            </w:r>
          </w:p>
        </w:tc>
      </w:tr>
      <w:tr w:rsidR="00432386">
        <w:trPr>
          <w:trHeight w:val="4322"/>
        </w:trPr>
        <w:tc>
          <w:tcPr>
            <w:tcW w:w="1697" w:type="dxa"/>
          </w:tcPr>
          <w:p>
            <w:pPr>
              <w:pStyle w:val="TableParagraph"/>
              <w:ind w:start="107" w:end="347"/>
              <w:rPr>
                <w:sz w:val="20"/>
              </w:rPr>
            </w:pPr>
            <w:hyperlink r:id="rId103">
              <w:r>
                <w:rPr>
                  <w:color w:val="0000FF"/>
                  <w:sz w:val="20"/>
                  <w:u w:val="single" w:color="0000FF"/>
                </w:rPr>
                <w:t xml:space="preserve">de</w:t>
              </w:r>
              <w:r>
                <w:rPr>
                  <w:color w:val="0000FF"/>
                  <w:sz w:val="20"/>
                  <w:u w:val="single" w:color="0000FF"/>
                </w:rPr>
                <w:t xml:space="preserve">Vries</w:t>
              </w:r>
              <w:r>
                <w:rPr>
                  <w:color w:val="0000FF"/>
                  <w:sz w:val="20"/>
                  <w:u w:val="single" w:color="0000FF"/>
                </w:rPr>
                <w:t xml:space="preserve">et</w:t>
              </w:r>
              <w:r>
                <w:rPr>
                  <w:color w:val="0000FF"/>
                  <w:sz w:val="20"/>
                  <w:u w:val="single" w:color="0000FF"/>
                </w:rPr>
                <w:t xml:space="preserve">al. </w:t>
              </w:r>
            </w:hyperlink>
            <w:hyperlink r:id="rId104">
              <w:r>
                <w:rPr>
                  <w:color w:val="0000FF"/>
                  <w:sz w:val="20"/>
                  <w:u w:val="single" w:color="0000FF"/>
                </w:rPr>
                <w:t xml:space="preserve">2011</w:t>
              </w:r>
            </w:hyperlink>
          </w:p>
          <w:p w:rsidR="00432386" w:rsidRDefault="00432386">
            <w:pPr>
              <w:pStyle w:val="TableParagraph"/>
              <w:spacing w:before="5"/>
              <w:rPr>
                <w:b/>
                <w:sz w:val="30"/>
              </w:rPr>
            </w:pPr>
          </w:p>
          <w:p>
            <w:pPr>
              <w:pStyle w:val="TableParagraph"/>
              <w:ind w:start="107" w:end="156"/>
              <w:rPr>
                <w:sz w:val="20"/>
              </w:rPr>
            </w:pPr>
            <w:r>
              <w:rPr>
                <w:sz w:val="20"/>
              </w:rPr>
              <w:t xml:space="preserve">Étude </w:t>
            </w:r>
            <w:r>
              <w:rPr>
                <w:sz w:val="20"/>
              </w:rPr>
              <w:t xml:space="preserve">prospective </w:t>
            </w:r>
            <w:r>
              <w:rPr>
                <w:sz w:val="20"/>
              </w:rPr>
              <w:t xml:space="preserve">longitudinale </w:t>
            </w:r>
            <w:r>
              <w:rPr>
                <w:sz w:val="20"/>
              </w:rPr>
              <w:t xml:space="preserve">d'observation </w:t>
            </w:r>
            <w:r>
              <w:rPr>
                <w:sz w:val="20"/>
              </w:rPr>
              <w:t xml:space="preserve">dans un seul centre </w:t>
            </w:r>
            <w:r>
              <w:rPr>
                <w:sz w:val="20"/>
              </w:rPr>
              <w:t xml:space="preserve">avant </w:t>
            </w:r>
            <w:r>
              <w:rPr>
                <w:sz w:val="20"/>
              </w:rPr>
              <w:t xml:space="preserve">et </w:t>
            </w:r>
            <w:r>
              <w:rPr>
                <w:sz w:val="20"/>
              </w:rPr>
              <w:t xml:space="preserve">après le </w:t>
            </w:r>
            <w:r>
              <w:rPr>
                <w:sz w:val="20"/>
              </w:rPr>
              <w:t xml:space="preserve">traitement</w:t>
            </w:r>
          </w:p>
          <w:p w:rsidR="00432386" w:rsidRDefault="00432386">
            <w:pPr>
              <w:pStyle w:val="TableParagraph"/>
              <w:spacing w:before="6"/>
              <w:rPr>
                <w:b/>
                <w:sz w:val="30"/>
              </w:rPr>
            </w:pPr>
          </w:p>
          <w:p>
            <w:pPr>
              <w:pStyle w:val="TableParagraph"/>
              <w:spacing w:before="1"/>
              <w:ind w:start="107"/>
              <w:rPr>
                <w:sz w:val="20"/>
              </w:rPr>
            </w:pPr>
            <w:r>
              <w:rPr>
                <w:sz w:val="20"/>
              </w:rPr>
              <w:t xml:space="preserve">Pays-Bas</w:t>
            </w:r>
          </w:p>
        </w:tc>
        <w:tc>
          <w:tcPr>
            <w:tcW w:w="3440" w:type="dxa"/>
          </w:tcPr>
          <w:p>
            <w:pPr>
              <w:pStyle w:val="TableParagraph"/>
              <w:ind w:start="107" w:end="106"/>
              <w:rPr>
                <w:sz w:val="20"/>
              </w:rPr>
            </w:pPr>
            <w:r>
              <w:rPr>
                <w:sz w:val="20"/>
              </w:rPr>
              <w:t xml:space="preserve">L'</w:t>
            </w:r>
            <w:r>
              <w:rPr>
                <w:sz w:val="20"/>
              </w:rPr>
              <w:t xml:space="preserve">étude a été menée à la </w:t>
            </w:r>
            <w:r>
              <w:rPr>
                <w:sz w:val="20"/>
              </w:rPr>
              <w:t xml:space="preserve">clinique d'identité sexuelle d'Amsterdam du </w:t>
            </w:r>
            <w:r>
              <w:rPr>
                <w:sz w:val="20"/>
              </w:rPr>
              <w:t xml:space="preserve">centre médical universitaire VU </w:t>
            </w:r>
            <w:r>
              <w:rPr>
                <w:sz w:val="20"/>
              </w:rPr>
              <w:t xml:space="preserve">et a </w:t>
            </w:r>
            <w:r>
              <w:rPr>
                <w:sz w:val="20"/>
              </w:rPr>
              <w:t xml:space="preserve">porté sur </w:t>
            </w:r>
            <w:r>
              <w:rPr>
                <w:sz w:val="20"/>
              </w:rPr>
              <w:t xml:space="preserve">des </w:t>
            </w:r>
            <w:r>
              <w:rPr>
                <w:sz w:val="20"/>
              </w:rPr>
              <w:t xml:space="preserve">adolescents </w:t>
            </w:r>
            <w:r>
              <w:rPr>
                <w:sz w:val="20"/>
              </w:rPr>
              <w:t xml:space="preserve">définis comme "transsexuels".</w:t>
            </w:r>
          </w:p>
          <w:p>
            <w:pPr>
              <w:pStyle w:val="TableParagraph"/>
              <w:spacing w:before="59"/>
              <w:ind w:start="107" w:end="184"/>
              <w:rPr>
                <w:sz w:val="20"/>
              </w:rPr>
            </w:pPr>
            <w:r>
              <w:rPr>
                <w:sz w:val="20"/>
              </w:rPr>
              <w:t xml:space="preserve">La </w:t>
            </w:r>
            <w:r>
              <w:rPr>
                <w:sz w:val="20"/>
              </w:rPr>
              <w:t xml:space="preserve">taille de l'échantillon était de 70 </w:t>
            </w:r>
            <w:r>
              <w:rPr>
                <w:sz w:val="20"/>
              </w:rPr>
              <w:t xml:space="preserve">adolescents recevant des </w:t>
            </w:r>
            <w:r>
              <w:rPr>
                <w:sz w:val="20"/>
              </w:rPr>
              <w:t xml:space="preserve">analogues de la </w:t>
            </w:r>
            <w:r>
              <w:rPr>
                <w:sz w:val="20"/>
              </w:rPr>
              <w:t xml:space="preserve">GnRH </w:t>
            </w:r>
            <w:r>
              <w:rPr>
                <w:sz w:val="20"/>
              </w:rPr>
              <w:t xml:space="preserve">(âge moyen [±SD] lors de l'</w:t>
            </w:r>
            <w:r>
              <w:rPr>
                <w:sz w:val="20"/>
              </w:rPr>
              <w:t xml:space="preserve">évaluation </w:t>
            </w:r>
            <w:r>
              <w:rPr>
                <w:sz w:val="20"/>
              </w:rPr>
              <w:t xml:space="preserve">13,6±1,8 </w:t>
            </w:r>
            <w:r>
              <w:rPr>
                <w:sz w:val="20"/>
              </w:rPr>
              <w:t xml:space="preserve">ans) </w:t>
            </w:r>
            <w:r>
              <w:rPr>
                <w:sz w:val="20"/>
              </w:rPr>
              <w:t xml:space="preserve">à partir d'</w:t>
            </w:r>
            <w:r>
              <w:rPr>
                <w:sz w:val="20"/>
              </w:rPr>
              <w:t xml:space="preserve">une </w:t>
            </w:r>
            <w:r>
              <w:rPr>
                <w:sz w:val="20"/>
              </w:rPr>
              <w:t xml:space="preserve">base de sondage de 196 </w:t>
            </w:r>
            <w:r>
              <w:rPr>
                <w:sz w:val="20"/>
              </w:rPr>
              <w:t xml:space="preserve">adolescents </w:t>
            </w:r>
            <w:r>
              <w:rPr>
                <w:sz w:val="20"/>
              </w:rPr>
              <w:t xml:space="preserve">consécutifs </w:t>
            </w:r>
            <w:r>
              <w:rPr>
                <w:sz w:val="20"/>
              </w:rPr>
              <w:t xml:space="preserve">adressés au service </w:t>
            </w:r>
            <w:r>
              <w:rPr>
                <w:sz w:val="20"/>
              </w:rPr>
              <w:t xml:space="preserve">entre </w:t>
            </w:r>
            <w:r>
              <w:rPr>
                <w:sz w:val="20"/>
              </w:rPr>
              <w:t xml:space="preserve">2000 </w:t>
            </w:r>
            <w:r>
              <w:rPr>
                <w:sz w:val="20"/>
              </w:rPr>
              <w:t xml:space="preserve">et </w:t>
            </w:r>
            <w:r>
              <w:rPr>
                <w:sz w:val="20"/>
              </w:rPr>
              <w:t xml:space="preserve">2008.</w:t>
            </w:r>
          </w:p>
          <w:p>
            <w:pPr>
              <w:pStyle w:val="TableParagraph"/>
              <w:spacing w:before="61"/>
              <w:ind w:start="107" w:end="251"/>
              <w:rPr>
                <w:sz w:val="20"/>
              </w:rPr>
            </w:pPr>
            <w:r>
              <w:rPr>
                <w:sz w:val="20"/>
              </w:rPr>
              <w:t xml:space="preserve">Les participants ont été invités à </w:t>
            </w:r>
            <w:r>
              <w:rPr>
                <w:sz w:val="20"/>
              </w:rPr>
              <w:t xml:space="preserve">participer s'ils avaient </w:t>
            </w:r>
            <w:r>
              <w:rPr>
                <w:sz w:val="20"/>
              </w:rPr>
              <w:t xml:space="preserve">commencé à prendre des </w:t>
            </w:r>
            <w:r>
              <w:rPr>
                <w:sz w:val="20"/>
              </w:rPr>
              <w:t xml:space="preserve">hormones </w:t>
            </w:r>
            <w:r>
              <w:rPr>
                <w:sz w:val="20"/>
              </w:rPr>
              <w:t xml:space="preserve">d'affirmation du genre </w:t>
            </w:r>
            <w:r>
              <w:rPr>
                <w:sz w:val="20"/>
              </w:rPr>
              <w:t xml:space="preserve">entre 2003 et 2009. Aucun </w:t>
            </w:r>
            <w:r>
              <w:rPr>
                <w:sz w:val="20"/>
              </w:rPr>
              <w:t xml:space="preserve">critère de diagnostic ou </w:t>
            </w:r>
            <w:r>
              <w:rPr>
                <w:sz w:val="20"/>
              </w:rPr>
              <w:t xml:space="preserve">traitement </w:t>
            </w:r>
            <w:r>
              <w:rPr>
                <w:sz w:val="20"/>
              </w:rPr>
              <w:t xml:space="preserve">concomitant </w:t>
            </w:r>
            <w:r>
              <w:rPr>
                <w:sz w:val="20"/>
              </w:rPr>
              <w:t xml:space="preserve">n'</w:t>
            </w:r>
            <w:r>
              <w:rPr>
                <w:sz w:val="20"/>
              </w:rPr>
              <w:t xml:space="preserve">a été </w:t>
            </w:r>
            <w:r>
              <w:rPr>
                <w:sz w:val="20"/>
              </w:rPr>
              <w:t xml:space="preserve">signalé.</w:t>
            </w:r>
          </w:p>
        </w:tc>
        <w:tc>
          <w:tcPr>
            <w:tcW w:w="2225" w:type="dxa"/>
          </w:tcPr>
          <w:p>
            <w:pPr>
              <w:pStyle w:val="TableParagraph"/>
              <w:spacing w:before="2"/>
              <w:ind w:start="107"/>
              <w:rPr>
                <w:b/>
                <w:sz w:val="20"/>
              </w:rPr>
            </w:pPr>
            <w:r>
              <w:rPr>
                <w:b/>
                <w:sz w:val="20"/>
              </w:rPr>
              <w:t xml:space="preserve">Intervention</w:t>
            </w:r>
          </w:p>
          <w:p>
            <w:pPr>
              <w:pStyle w:val="TableParagraph"/>
              <w:spacing w:before="58"/>
              <w:ind w:start="107" w:end="115"/>
              <w:rPr>
                <w:sz w:val="20"/>
              </w:rPr>
            </w:pPr>
            <w:r>
              <w:rPr>
                <w:sz w:val="20"/>
              </w:rPr>
              <w:t xml:space="preserve">70 personnes </w:t>
            </w:r>
            <w:r>
              <w:rPr>
                <w:sz w:val="20"/>
              </w:rPr>
              <w:t xml:space="preserve">évaluées au départ </w:t>
            </w:r>
            <w:r>
              <w:rPr>
                <w:sz w:val="20"/>
              </w:rPr>
              <w:t xml:space="preserve">(T0) </w:t>
            </w:r>
            <w:r>
              <w:rPr>
                <w:sz w:val="20"/>
              </w:rPr>
              <w:t xml:space="preserve">avant le </w:t>
            </w:r>
            <w:r>
              <w:rPr>
                <w:sz w:val="20"/>
              </w:rPr>
              <w:t xml:space="preserve">début de </w:t>
            </w:r>
            <w:r>
              <w:rPr>
                <w:sz w:val="20"/>
              </w:rPr>
              <w:t xml:space="preserve">la prise d'</w:t>
            </w:r>
            <w:r>
              <w:rPr>
                <w:sz w:val="20"/>
              </w:rPr>
              <w:t xml:space="preserve">analogues de la GnRH (aucun </w:t>
            </w:r>
            <w:r>
              <w:rPr>
                <w:sz w:val="20"/>
              </w:rPr>
              <w:t xml:space="preserve">traitement spécifique, </w:t>
            </w:r>
            <w:r>
              <w:rPr>
                <w:sz w:val="20"/>
              </w:rPr>
              <w:t xml:space="preserve">dose ou voie d'</w:t>
            </w:r>
            <w:r>
              <w:rPr>
                <w:sz w:val="20"/>
              </w:rPr>
              <w:t xml:space="preserve">administration </w:t>
            </w:r>
            <w:r>
              <w:rPr>
                <w:sz w:val="20"/>
              </w:rPr>
              <w:t xml:space="preserve">n'</w:t>
            </w:r>
            <w:r>
              <w:rPr>
                <w:sz w:val="20"/>
              </w:rPr>
              <w:t xml:space="preserve">a été signalé).</w:t>
            </w:r>
          </w:p>
          <w:p>
            <w:pPr>
              <w:pStyle w:val="TableParagraph"/>
              <w:spacing w:before="60"/>
              <w:ind w:start="107"/>
              <w:rPr>
                <w:b/>
                <w:sz w:val="20"/>
              </w:rPr>
            </w:pPr>
            <w:r>
              <w:rPr>
                <w:b/>
                <w:sz w:val="20"/>
              </w:rPr>
              <w:t xml:space="preserve">Comparaison</w:t>
            </w:r>
          </w:p>
          <w:p>
            <w:pPr>
              <w:pStyle w:val="TableParagraph"/>
              <w:spacing w:before="61"/>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3"/>
              </w:numPr>
              <w:tabs>
                <w:tab w:val="left" w:pos="437"/>
              </w:tabs>
              <w:spacing w:before="61"/>
              <w:ind w:end="535"/>
              <w:rPr>
                <w:sz w:val="20"/>
              </w:rPr>
            </w:pPr>
            <w:r>
              <w:rPr>
                <w:spacing w:val="-1"/>
                <w:sz w:val="20"/>
              </w:rPr>
              <w:t xml:space="preserve">Dysphorie de </w:t>
            </w:r>
            <w:r>
              <w:rPr>
                <w:sz w:val="20"/>
              </w:rPr>
              <w:t xml:space="preserve">genre</w:t>
            </w:r>
          </w:p>
          <w:p>
            <w:pPr>
              <w:pStyle w:val="TableParagraph"/>
              <w:numPr>
                <w:ilvl w:val="0"/>
                <w:numId w:val="183"/>
              </w:numPr>
              <w:tabs>
                <w:tab w:val="left" w:pos="437"/>
              </w:tabs>
              <w:spacing w:before="58"/>
              <w:ind w:end="202"/>
              <w:rPr>
                <w:sz w:val="20"/>
              </w:rPr>
            </w:pPr>
            <w:r>
              <w:rPr>
                <w:sz w:val="20"/>
              </w:rPr>
              <w:t xml:space="preserve">Santé </w:t>
            </w:r>
            <w:r>
              <w:rPr>
                <w:sz w:val="20"/>
              </w:rPr>
              <w:t xml:space="preserve">mentale </w:t>
            </w:r>
            <w:r>
              <w:rPr>
                <w:sz w:val="20"/>
              </w:rPr>
              <w:t xml:space="preserve">(dépression, </w:t>
            </w:r>
            <w:r>
              <w:rPr>
                <w:sz w:val="20"/>
              </w:rPr>
              <w:t xml:space="preserve">colère et </w:t>
            </w:r>
            <w:r>
              <w:rPr>
                <w:sz w:val="20"/>
              </w:rPr>
              <w:t xml:space="preserve">anxiété)</w:t>
            </w:r>
          </w:p>
          <w:p>
            <w:pPr>
              <w:pStyle w:val="TableParagraph"/>
              <w:spacing w:before="57"/>
              <w:ind w:start="107" w:end="774"/>
              <w:rPr>
                <w:b/>
                <w:sz w:val="20"/>
              </w:rPr>
            </w:pPr>
            <w:r>
              <w:rPr>
                <w:b/>
                <w:spacing w:val="-1"/>
                <w:sz w:val="20"/>
              </w:rPr>
              <w:t xml:space="preserve">Résultats </w:t>
            </w:r>
            <w:r>
              <w:rPr>
                <w:b/>
                <w:sz w:val="20"/>
              </w:rPr>
              <w:t xml:space="preserve">importants</w:t>
            </w:r>
          </w:p>
          <w:p>
            <w:pPr>
              <w:pStyle w:val="TableParagraph"/>
              <w:numPr>
                <w:ilvl w:val="0"/>
                <w:numId w:val="183"/>
              </w:numPr>
              <w:tabs>
                <w:tab w:val="left" w:pos="437"/>
              </w:tabs>
              <w:spacing w:before="63"/>
              <w:ind w:hanging="287"/>
              <w:rPr>
                <w:sz w:val="20"/>
              </w:rPr>
            </w:pPr>
            <w:r>
              <w:rPr>
                <w:sz w:val="20"/>
              </w:rPr>
              <w:t xml:space="preserve">Image </w:t>
            </w:r>
            <w:r>
              <w:rPr>
                <w:sz w:val="20"/>
              </w:rPr>
              <w:t xml:space="preserve">corporelle</w:t>
            </w:r>
          </w:p>
          <w:p>
            <w:pPr>
              <w:pStyle w:val="TableParagraph"/>
              <w:numPr>
                <w:ilvl w:val="0"/>
                <w:numId w:val="183"/>
              </w:numPr>
              <w:tabs>
                <w:tab w:val="left" w:pos="437"/>
              </w:tabs>
              <w:spacing w:before="57"/>
              <w:ind w:end="235"/>
              <w:rPr>
                <w:sz w:val="20"/>
              </w:rPr>
            </w:pPr>
            <w:r>
              <w:rPr>
                <w:sz w:val="20"/>
              </w:rPr>
              <w:t xml:space="preserve">Impact </w:t>
            </w:r>
            <w:r>
              <w:rPr>
                <w:spacing w:val="-1"/>
                <w:sz w:val="20"/>
              </w:rPr>
              <w:t xml:space="preserve">psychosocial</w:t>
            </w:r>
          </w:p>
        </w:tc>
      </w:tr>
    </w:tbl>
    <w:p w:rsidR="00432386" w:rsidRDefault="00432386">
      <w:pPr>
        <w:rPr>
          <w:sz w:val="20"/>
        </w:rPr>
        <w:sectPr w:rsidR="00432386">
          <w:type w:val="continuous"/>
          <w:pgSz w:w="11910" w:h="16840"/>
          <w:pgMar w:top="1260" w:right="980" w:bottom="1622"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697"/>
        <w:gridCol w:w="3440"/>
        <w:gridCol w:w="2225"/>
        <w:gridCol w:w="1848"/>
      </w:tblGrid>
      <w:tr w:rsidR="00432386">
        <w:trPr>
          <w:trHeight w:val="517"/>
        </w:trPr>
        <w:tc>
          <w:tcPr>
            <w:tcW w:w="1697" w:type="dxa"/>
            <w:shd w:val="clear" w:color="auto" w:fill="C2D59B"/>
          </w:tcPr>
          <w:p>
            <w:pPr>
              <w:pStyle w:val="TableParagraph"/>
              <w:spacing w:line="229" w:lineRule="exact"/>
              <w:ind w:start="107"/>
              <w:rPr>
                <w:b/>
                <w:sz w:val="20"/>
              </w:rPr>
            </w:pPr>
            <w:r>
              <w:rPr>
                <w:b/>
                <w:sz w:val="20"/>
              </w:rPr>
              <w:lastRenderedPageBreak/>
              <w:t xml:space="preserve">Étude</w:t>
            </w:r>
          </w:p>
        </w:tc>
        <w:tc>
          <w:tcPr>
            <w:tcW w:w="3440" w:type="dxa"/>
            <w:shd w:val="clear" w:color="auto" w:fill="C2D59B"/>
          </w:tcPr>
          <w:p>
            <w:pPr>
              <w:pStyle w:val="TableParagraph"/>
              <w:spacing w:line="229" w:lineRule="exact"/>
              <w:ind w:start="107"/>
              <w:rPr>
                <w:b/>
                <w:sz w:val="20"/>
              </w:rPr>
            </w:pPr>
            <w:r>
              <w:rPr>
                <w:b/>
                <w:sz w:val="20"/>
              </w:rPr>
              <w:t xml:space="preserve">Population</w:t>
            </w:r>
          </w:p>
        </w:tc>
        <w:tc>
          <w:tcPr>
            <w:tcW w:w="2225" w:type="dxa"/>
            <w:shd w:val="clear" w:color="auto" w:fill="C2D59B"/>
          </w:tcPr>
          <w:p>
            <w:pPr>
              <w:pStyle w:val="TableParagraph"/>
              <w:ind w:start="107" w:end="543"/>
              <w:rPr>
                <w:b/>
                <w:sz w:val="20"/>
              </w:rPr>
            </w:pPr>
            <w:r>
              <w:rPr>
                <w:b/>
                <w:sz w:val="20"/>
              </w:rPr>
              <w:t xml:space="preserve">Intervention </w:t>
            </w:r>
            <w:r>
              <w:rPr>
                <w:b/>
                <w:sz w:val="20"/>
              </w:rPr>
              <w:t xml:space="preserve">et </w:t>
            </w:r>
            <w:r>
              <w:rPr>
                <w:b/>
                <w:sz w:val="20"/>
              </w:rPr>
              <w:t xml:space="preserve">comparaison</w:t>
            </w:r>
          </w:p>
        </w:tc>
        <w:tc>
          <w:tcPr>
            <w:tcW w:w="1848" w:type="dxa"/>
            <w:shd w:val="clear" w:color="auto" w:fill="C2D59B"/>
          </w:tcPr>
          <w:p>
            <w:pPr>
              <w:pStyle w:val="TableParagraph"/>
              <w:ind w:start="107" w:end="740"/>
              <w:rPr>
                <w:b/>
                <w:sz w:val="20"/>
              </w:rPr>
            </w:pPr>
            <w:r>
              <w:rPr>
                <w:b/>
                <w:spacing w:val="-1"/>
                <w:sz w:val="20"/>
              </w:rPr>
              <w:t xml:space="preserve">Résultats </w:t>
            </w:r>
            <w:r>
              <w:rPr>
                <w:b/>
                <w:sz w:val="20"/>
              </w:rPr>
              <w:t xml:space="preserve">rapportés</w:t>
            </w:r>
          </w:p>
        </w:tc>
      </w:tr>
      <w:tr w:rsidR="00432386">
        <w:trPr>
          <w:trHeight w:val="4781"/>
        </w:trPr>
        <w:tc>
          <w:tcPr>
            <w:tcW w:w="1697" w:type="dxa"/>
          </w:tcPr>
          <w:p>
            <w:pPr>
              <w:pStyle w:val="TableParagraph"/>
              <w:ind w:start="107" w:end="442"/>
              <w:rPr>
                <w:sz w:val="20"/>
              </w:rPr>
            </w:pPr>
            <w:hyperlink r:id="rId105">
              <w:r>
                <w:rPr>
                  <w:color w:val="0000FF"/>
                  <w:sz w:val="20"/>
                  <w:u w:val="single" w:color="0000FF"/>
                </w:rPr>
                <w:t xml:space="preserve">Joseph</w:t>
              </w:r>
              <w:r>
                <w:rPr>
                  <w:color w:val="0000FF"/>
                  <w:sz w:val="20"/>
                  <w:u w:val="single" w:color="0000FF"/>
                </w:rPr>
                <w:t xml:space="preserve">et</w:t>
              </w:r>
              <w:r>
                <w:rPr>
                  <w:color w:val="0000FF"/>
                  <w:sz w:val="20"/>
                  <w:u w:val="single" w:color="0000FF"/>
                </w:rPr>
                <w:t xml:space="preserve">al. </w:t>
              </w:r>
            </w:hyperlink>
            <w:hyperlink r:id="rId106">
              <w:r>
                <w:rPr>
                  <w:color w:val="0000FF"/>
                  <w:sz w:val="20"/>
                  <w:u w:val="single" w:color="0000FF"/>
                </w:rPr>
                <w:t xml:space="preserve">2019</w:t>
              </w:r>
            </w:hyperlink>
          </w:p>
          <w:p w:rsidR="00432386" w:rsidRDefault="00432386">
            <w:pPr>
              <w:pStyle w:val="TableParagraph"/>
              <w:spacing w:before="6"/>
              <w:rPr>
                <w:b/>
                <w:sz w:val="30"/>
              </w:rPr>
            </w:pPr>
          </w:p>
          <w:p>
            <w:pPr>
              <w:pStyle w:val="TableParagraph"/>
              <w:ind w:start="107" w:end="350"/>
              <w:rPr>
                <w:sz w:val="20"/>
              </w:rPr>
            </w:pPr>
            <w:r>
              <w:rPr>
                <w:sz w:val="20"/>
              </w:rPr>
              <w:t xml:space="preserve">Étude </w:t>
            </w:r>
            <w:r>
              <w:rPr>
                <w:spacing w:val="-1"/>
                <w:sz w:val="20"/>
              </w:rPr>
              <w:t xml:space="preserve">rétrospective </w:t>
            </w:r>
            <w:r>
              <w:rPr>
                <w:sz w:val="20"/>
              </w:rPr>
              <w:t xml:space="preserve">longitudinale </w:t>
            </w:r>
            <w:r>
              <w:rPr>
                <w:sz w:val="20"/>
              </w:rPr>
              <w:t xml:space="preserve">d'observation dans </w:t>
            </w:r>
            <w:r>
              <w:rPr>
                <w:sz w:val="20"/>
              </w:rPr>
              <w:t xml:space="preserve">un seul centre</w:t>
            </w:r>
          </w:p>
          <w:p w:rsidR="00432386" w:rsidRDefault="00432386">
            <w:pPr>
              <w:pStyle w:val="TableParagraph"/>
              <w:spacing w:before="5"/>
              <w:rPr>
                <w:b/>
                <w:sz w:val="30"/>
              </w:rPr>
            </w:pPr>
          </w:p>
          <w:p>
            <w:pPr>
              <w:pStyle w:val="TableParagraph"/>
              <w:ind w:start="107"/>
              <w:rPr>
                <w:sz w:val="20"/>
              </w:rPr>
            </w:pPr>
            <w:r>
              <w:rPr>
                <w:sz w:val="20"/>
              </w:rPr>
              <w:t xml:space="preserve">Royaume-Uni</w:t>
            </w:r>
          </w:p>
        </w:tc>
        <w:tc>
          <w:tcPr>
            <w:tcW w:w="3440" w:type="dxa"/>
          </w:tcPr>
          <w:p>
            <w:pPr>
              <w:pStyle w:val="TableParagraph"/>
              <w:ind w:start="107" w:end="106"/>
              <w:rPr>
                <w:sz w:val="20"/>
              </w:rPr>
            </w:pPr>
            <w:r>
              <w:rPr>
                <w:sz w:val="20"/>
              </w:rPr>
              <w:t xml:space="preserve">Cette étude a été menée à la </w:t>
            </w:r>
            <w:r>
              <w:rPr>
                <w:sz w:val="20"/>
              </w:rPr>
              <w:t xml:space="preserve">clinique d'</w:t>
            </w:r>
            <w:r>
              <w:rPr>
                <w:sz w:val="20"/>
              </w:rPr>
              <w:t xml:space="preserve">intervention </w:t>
            </w:r>
            <w:r>
              <w:rPr>
                <w:sz w:val="20"/>
              </w:rPr>
              <w:t xml:space="preserve">précoce </w:t>
            </w:r>
            <w:r>
              <w:rPr>
                <w:sz w:val="20"/>
              </w:rPr>
              <w:t xml:space="preserve">de l'</w:t>
            </w:r>
            <w:r>
              <w:rPr>
                <w:sz w:val="20"/>
              </w:rPr>
              <w:t xml:space="preserve">University </w:t>
            </w:r>
            <w:r>
              <w:rPr>
                <w:sz w:val="20"/>
              </w:rPr>
              <w:t xml:space="preserve">College London Hospital (tous les </w:t>
            </w:r>
            <w:r>
              <w:rPr>
                <w:sz w:val="20"/>
              </w:rPr>
              <w:t xml:space="preserve">participants avaient été vus au </w:t>
            </w:r>
            <w:r>
              <w:rPr>
                <w:sz w:val="20"/>
              </w:rPr>
              <w:t xml:space="preserve">Gender Identity Development </w:t>
            </w:r>
            <w:r>
              <w:rPr>
                <w:sz w:val="20"/>
              </w:rPr>
              <w:t xml:space="preserve">Service de Londres) et concernait </w:t>
            </w:r>
            <w:r>
              <w:rPr>
                <w:sz w:val="20"/>
              </w:rPr>
              <w:t xml:space="preserve">des adolescents </w:t>
            </w:r>
            <w:r>
              <w:rPr>
                <w:sz w:val="20"/>
              </w:rPr>
              <w:t xml:space="preserve">souffrant de </w:t>
            </w:r>
            <w:r>
              <w:rPr>
                <w:sz w:val="20"/>
              </w:rPr>
              <w:t xml:space="preserve">dysphorie de </w:t>
            </w:r>
            <w:r>
              <w:rPr>
                <w:sz w:val="20"/>
              </w:rPr>
              <w:t xml:space="preserve">genre</w:t>
            </w:r>
            <w:r>
              <w:rPr>
                <w:sz w:val="20"/>
              </w:rPr>
              <w:t xml:space="preserve">.</w:t>
            </w:r>
          </w:p>
          <w:p>
            <w:pPr>
              <w:pStyle w:val="TableParagraph"/>
              <w:spacing w:before="60"/>
              <w:ind w:start="107" w:end="157"/>
              <w:rPr>
                <w:sz w:val="20"/>
              </w:rPr>
            </w:pPr>
            <w:r>
              <w:rPr>
                <w:sz w:val="20"/>
              </w:rPr>
              <w:t xml:space="preserve">La </w:t>
            </w:r>
            <w:r>
              <w:rPr>
                <w:sz w:val="20"/>
              </w:rPr>
              <w:t xml:space="preserve">taille de l'échantillon était de 70 </w:t>
            </w:r>
            <w:r>
              <w:rPr>
                <w:sz w:val="20"/>
              </w:rPr>
              <w:t xml:space="preserve">adolescents souffrant de dysphorie de genre </w:t>
            </w:r>
            <w:r>
              <w:rPr>
                <w:sz w:val="20"/>
              </w:rPr>
              <w:t xml:space="preserve">(aucun critère diagnostique décrit) </w:t>
            </w:r>
            <w:r>
              <w:rPr>
                <w:sz w:val="20"/>
              </w:rPr>
              <w:t xml:space="preserve">à qui l'on a proposé des analogues de la GnRH. L'</w:t>
            </w:r>
            <w:r>
              <w:rPr>
                <w:sz w:val="20"/>
              </w:rPr>
              <w:t xml:space="preserve">âge moyen au début du traitement </w:t>
            </w:r>
            <w:r>
              <w:rPr>
                <w:sz w:val="20"/>
              </w:rPr>
              <w:t xml:space="preserve">était de 13,2 ans (SD ±1,4) pour les </w:t>
            </w:r>
            <w:r>
              <w:rPr>
                <w:sz w:val="20"/>
              </w:rPr>
              <w:t xml:space="preserve">transfemmes </w:t>
            </w:r>
            <w:r>
              <w:rPr>
                <w:sz w:val="20"/>
              </w:rPr>
              <w:t xml:space="preserve">et de </w:t>
            </w:r>
            <w:r>
              <w:rPr>
                <w:sz w:val="20"/>
              </w:rPr>
              <w:t xml:space="preserve">12,6 </w:t>
            </w:r>
            <w:r>
              <w:rPr>
                <w:sz w:val="20"/>
              </w:rPr>
              <w:t xml:space="preserve">ans </w:t>
            </w:r>
            <w:r>
              <w:rPr>
                <w:sz w:val="20"/>
              </w:rPr>
              <w:t xml:space="preserve">(SD</w:t>
            </w:r>
          </w:p>
          <w:p>
            <w:pPr>
              <w:pStyle w:val="TableParagraph"/>
              <w:spacing w:before="1"/>
              <w:ind w:start="107" w:end="265"/>
              <w:rPr>
                <w:sz w:val="20"/>
              </w:rPr>
            </w:pPr>
            <w:r>
              <w:rPr>
                <w:sz w:val="20"/>
              </w:rPr>
              <w:t xml:space="preserve">±1,0) </w:t>
            </w:r>
            <w:r>
              <w:rPr>
                <w:sz w:val="20"/>
              </w:rPr>
              <w:t xml:space="preserve">pour les </w:t>
            </w:r>
            <w:r>
              <w:rPr>
                <w:sz w:val="20"/>
              </w:rPr>
              <w:t xml:space="preserve">transmales. Les </w:t>
            </w:r>
            <w:r>
              <w:rPr>
                <w:sz w:val="20"/>
              </w:rPr>
              <w:t xml:space="preserve">détails </w:t>
            </w:r>
            <w:r>
              <w:rPr>
                <w:sz w:val="20"/>
              </w:rPr>
              <w:t xml:space="preserve">de </w:t>
            </w:r>
            <w:r>
              <w:rPr>
                <w:sz w:val="20"/>
              </w:rPr>
              <w:t xml:space="preserve">la </w:t>
            </w:r>
            <w:r>
              <w:rPr>
                <w:sz w:val="20"/>
              </w:rPr>
              <w:t xml:space="preserve">base de </w:t>
            </w:r>
            <w:r>
              <w:rPr>
                <w:sz w:val="20"/>
              </w:rPr>
              <w:t xml:space="preserve">sondage </w:t>
            </w:r>
            <w:r>
              <w:rPr>
                <w:sz w:val="20"/>
              </w:rPr>
              <w:t xml:space="preserve">n'ont pas </w:t>
            </w:r>
            <w:r>
              <w:rPr>
                <w:sz w:val="20"/>
              </w:rPr>
              <w:t xml:space="preserve">été </w:t>
            </w:r>
            <w:r>
              <w:rPr>
                <w:sz w:val="20"/>
              </w:rPr>
              <w:t xml:space="preserve">communiqués.</w:t>
            </w:r>
          </w:p>
          <w:p>
            <w:pPr>
              <w:pStyle w:val="TableParagraph"/>
              <w:spacing w:before="61"/>
              <w:ind w:start="107" w:end="367"/>
              <w:rPr>
                <w:sz w:val="20"/>
              </w:rPr>
            </w:pPr>
            <w:r>
              <w:rPr>
                <w:sz w:val="20"/>
              </w:rPr>
              <w:t xml:space="preserve">Aucun </w:t>
            </w:r>
            <w:r>
              <w:rPr>
                <w:sz w:val="20"/>
              </w:rPr>
              <w:t xml:space="preserve">détail </w:t>
            </w:r>
            <w:r>
              <w:rPr>
                <w:sz w:val="20"/>
              </w:rPr>
              <w:t xml:space="preserve">supplémentaire </w:t>
            </w:r>
            <w:r>
              <w:rPr>
                <w:sz w:val="20"/>
              </w:rPr>
              <w:t xml:space="preserve">sur la </w:t>
            </w:r>
            <w:r>
              <w:rPr>
                <w:sz w:val="20"/>
              </w:rPr>
              <w:t xml:space="preserve">façon dont </w:t>
            </w:r>
            <w:r>
              <w:rPr>
                <w:sz w:val="20"/>
              </w:rPr>
              <w:t xml:space="preserve">l'</w:t>
            </w:r>
            <w:r>
              <w:rPr>
                <w:sz w:val="20"/>
              </w:rPr>
              <w:t xml:space="preserve">échantillon </w:t>
            </w:r>
            <w:r>
              <w:rPr>
                <w:sz w:val="20"/>
              </w:rPr>
              <w:t xml:space="preserve">a été tiré n'est rapporté. Aucun </w:t>
            </w:r>
            <w:r>
              <w:rPr>
                <w:sz w:val="20"/>
              </w:rPr>
              <w:t xml:space="preserve">traitement concomitant </w:t>
            </w:r>
            <w:r>
              <w:rPr>
                <w:sz w:val="20"/>
              </w:rPr>
              <w:t xml:space="preserve">n'a été </w:t>
            </w:r>
            <w:r>
              <w:rPr>
                <w:sz w:val="20"/>
              </w:rPr>
              <w:t xml:space="preserve">signalé.</w:t>
            </w:r>
          </w:p>
        </w:tc>
        <w:tc>
          <w:tcPr>
            <w:tcW w:w="2225" w:type="dxa"/>
          </w:tcPr>
          <w:p>
            <w:pPr>
              <w:pStyle w:val="TableParagraph"/>
              <w:spacing w:before="2"/>
              <w:ind w:start="107"/>
              <w:rPr>
                <w:b/>
                <w:sz w:val="20"/>
              </w:rPr>
            </w:pPr>
            <w:r>
              <w:rPr>
                <w:b/>
                <w:sz w:val="20"/>
              </w:rPr>
              <w:t xml:space="preserve">Intervention</w:t>
            </w:r>
          </w:p>
          <w:p>
            <w:pPr>
              <w:pStyle w:val="TableParagraph"/>
              <w:spacing w:before="58"/>
              <w:ind w:start="107" w:end="129"/>
              <w:rPr>
                <w:sz w:val="20"/>
              </w:rPr>
            </w:pPr>
            <w:r>
              <w:rPr>
                <w:sz w:val="20"/>
              </w:rPr>
              <w:t xml:space="preserve">Analogues de la GnRH. Aucun </w:t>
            </w:r>
            <w:r>
              <w:rPr>
                <w:sz w:val="20"/>
              </w:rPr>
              <w:t xml:space="preserve">traitement, </w:t>
            </w:r>
            <w:r>
              <w:rPr>
                <w:sz w:val="20"/>
              </w:rPr>
              <w:t xml:space="preserve">durée, </w:t>
            </w:r>
            <w:r>
              <w:rPr>
                <w:sz w:val="20"/>
              </w:rPr>
              <w:t xml:space="preserve">dose </w:t>
            </w:r>
            <w:r>
              <w:rPr>
                <w:sz w:val="20"/>
              </w:rPr>
              <w:t xml:space="preserve">ou </w:t>
            </w:r>
            <w:r>
              <w:rPr>
                <w:sz w:val="20"/>
              </w:rPr>
              <w:t xml:space="preserve">voie </w:t>
            </w:r>
            <w:r>
              <w:rPr>
                <w:sz w:val="20"/>
              </w:rPr>
              <w:t xml:space="preserve">d</w:t>
            </w:r>
            <w:r>
              <w:rPr>
                <w:sz w:val="20"/>
              </w:rPr>
              <w:t xml:space="preserve">'</w:t>
            </w:r>
            <w:r>
              <w:rPr>
                <w:sz w:val="20"/>
              </w:rPr>
              <w:t xml:space="preserve">administration </w:t>
            </w:r>
            <w:r>
              <w:rPr>
                <w:sz w:val="20"/>
              </w:rPr>
              <w:t xml:space="preserve">spécifique </w:t>
            </w:r>
            <w:r>
              <w:rPr>
                <w:sz w:val="20"/>
              </w:rPr>
              <w:t xml:space="preserve">n'</w:t>
            </w:r>
            <w:r>
              <w:rPr>
                <w:sz w:val="20"/>
              </w:rPr>
              <w:t xml:space="preserve">a été signalé.</w:t>
            </w:r>
          </w:p>
          <w:p>
            <w:pPr>
              <w:pStyle w:val="TableParagraph"/>
              <w:spacing w:before="62"/>
              <w:ind w:start="107"/>
              <w:rPr>
                <w:b/>
                <w:sz w:val="20"/>
              </w:rPr>
            </w:pPr>
            <w:r>
              <w:rPr>
                <w:b/>
                <w:sz w:val="20"/>
              </w:rPr>
              <w:t xml:space="preserve">Comparaison</w:t>
            </w:r>
          </w:p>
          <w:p>
            <w:pPr>
              <w:pStyle w:val="TableParagraph"/>
              <w:spacing w:before="58"/>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2"/>
              </w:numPr>
              <w:tabs>
                <w:tab w:val="left" w:pos="437"/>
              </w:tabs>
              <w:spacing w:before="61"/>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58"/>
              <w:ind w:start="107" w:end="774"/>
              <w:rPr>
                <w:b/>
                <w:sz w:val="20"/>
              </w:rPr>
            </w:pPr>
            <w:r>
              <w:rPr>
                <w:b/>
                <w:spacing w:val="-1"/>
                <w:sz w:val="20"/>
              </w:rPr>
              <w:t xml:space="preserve">Résultats </w:t>
            </w:r>
            <w:r>
              <w:rPr>
                <w:b/>
                <w:sz w:val="20"/>
              </w:rPr>
              <w:t xml:space="preserve">importants</w:t>
            </w:r>
          </w:p>
          <w:p>
            <w:pPr>
              <w:pStyle w:val="TableParagraph"/>
              <w:numPr>
                <w:ilvl w:val="0"/>
                <w:numId w:val="182"/>
              </w:numPr>
              <w:tabs>
                <w:tab w:val="left" w:pos="437"/>
              </w:tabs>
              <w:spacing w:before="65" w:line="235" w:lineRule="auto"/>
              <w:ind w:end="277"/>
              <w:rPr>
                <w:sz w:val="20"/>
              </w:rPr>
            </w:pPr>
            <w:r>
              <w:rPr>
                <w:sz w:val="20"/>
              </w:rPr>
              <w:t xml:space="preserve">Sécurité : </w:t>
            </w:r>
            <w:r>
              <w:rPr>
                <w:sz w:val="20"/>
              </w:rPr>
              <w:t xml:space="preserve">densité os</w:t>
            </w:r>
            <w:r>
              <w:rPr>
                <w:sz w:val="20"/>
              </w:rPr>
              <w:t xml:space="preserve">seuse</w:t>
            </w:r>
          </w:p>
        </w:tc>
      </w:tr>
      <w:tr w:rsidR="00432386">
        <w:trPr>
          <w:trHeight w:val="3391"/>
        </w:trPr>
        <w:tc>
          <w:tcPr>
            <w:tcW w:w="1697" w:type="dxa"/>
          </w:tcPr>
          <w:p>
            <w:pPr>
              <w:pStyle w:val="TableParagraph"/>
              <w:ind w:start="107" w:end="172"/>
              <w:rPr>
                <w:sz w:val="20"/>
              </w:rPr>
            </w:pPr>
            <w:hyperlink r:id="rId107">
              <w:r>
                <w:rPr>
                  <w:color w:val="0000FF"/>
                  <w:spacing w:val="-1"/>
                  <w:sz w:val="20"/>
                  <w:u w:val="single" w:color="0000FF"/>
                </w:rPr>
                <w:t xml:space="preserve">Khatchadourian </w:t>
              </w:r>
            </w:hyperlink>
            <w:hyperlink r:id="rId108">
              <w:r>
                <w:rPr>
                  <w:color w:val="0000FF"/>
                  <w:sz w:val="20"/>
                  <w:u w:val="single" w:color="0000FF"/>
                </w:rPr>
                <w:t xml:space="preserve">et</w:t>
              </w:r>
              <w:r>
                <w:rPr>
                  <w:color w:val="0000FF"/>
                  <w:sz w:val="20"/>
                  <w:u w:val="single" w:color="0000FF"/>
                </w:rPr>
                <w:t xml:space="preserve">al.</w:t>
              </w:r>
              <w:r>
                <w:rPr>
                  <w:color w:val="0000FF"/>
                  <w:sz w:val="20"/>
                  <w:u w:val="single" w:color="0000FF"/>
                </w:rPr>
                <w:t xml:space="preserve">2014</w:t>
              </w:r>
            </w:hyperlink>
          </w:p>
          <w:p w:rsidR="00432386" w:rsidRDefault="00432386">
            <w:pPr>
              <w:pStyle w:val="TableParagraph"/>
              <w:spacing w:before="5"/>
              <w:rPr>
                <w:b/>
                <w:sz w:val="30"/>
              </w:rPr>
            </w:pPr>
          </w:p>
          <w:p>
            <w:pPr>
              <w:pStyle w:val="TableParagraph"/>
              <w:ind w:start="107" w:end="350"/>
              <w:rPr>
                <w:sz w:val="20"/>
              </w:rPr>
            </w:pPr>
            <w:r>
              <w:rPr>
                <w:sz w:val="20"/>
              </w:rPr>
              <w:t xml:space="preserve">Étude </w:t>
            </w:r>
            <w:r>
              <w:rPr>
                <w:spacing w:val="-1"/>
                <w:sz w:val="20"/>
              </w:rPr>
              <w:t xml:space="preserve">rétrospective d</w:t>
            </w:r>
            <w:r>
              <w:rPr>
                <w:sz w:val="20"/>
              </w:rPr>
              <w:t xml:space="preserve">'observation </w:t>
            </w:r>
            <w:r>
              <w:rPr>
                <w:sz w:val="20"/>
              </w:rPr>
              <w:t xml:space="preserve">des dossiers dans </w:t>
            </w:r>
            <w:r>
              <w:rPr>
                <w:sz w:val="20"/>
              </w:rPr>
              <w:t xml:space="preserve">un seul centre</w:t>
            </w:r>
          </w:p>
          <w:p w:rsidR="00432386" w:rsidRDefault="00432386">
            <w:pPr>
              <w:pStyle w:val="TableParagraph"/>
              <w:spacing w:before="5"/>
              <w:rPr>
                <w:b/>
                <w:sz w:val="30"/>
              </w:rPr>
            </w:pPr>
          </w:p>
          <w:p>
            <w:pPr>
              <w:pStyle w:val="TableParagraph"/>
              <w:ind w:start="107"/>
              <w:rPr>
                <w:sz w:val="20"/>
              </w:rPr>
            </w:pPr>
            <w:r>
              <w:rPr>
                <w:sz w:val="20"/>
              </w:rPr>
              <w:t xml:space="preserve">Canada</w:t>
            </w:r>
          </w:p>
        </w:tc>
        <w:tc>
          <w:tcPr>
            <w:tcW w:w="3440" w:type="dxa"/>
          </w:tcPr>
          <w:p>
            <w:pPr>
              <w:pStyle w:val="TableParagraph"/>
              <w:ind w:start="107" w:end="167"/>
              <w:rPr>
                <w:sz w:val="20"/>
              </w:rPr>
            </w:pPr>
            <w:r>
              <w:rPr>
                <w:sz w:val="20"/>
              </w:rPr>
              <w:t xml:space="preserve">Cette étude a été menée dans l'</w:t>
            </w:r>
            <w:r>
              <w:rPr>
                <w:sz w:val="20"/>
              </w:rPr>
              <w:t xml:space="preserve">unité d'endocrinologie et de diabète de l'</w:t>
            </w:r>
            <w:r>
              <w:rPr>
                <w:sz w:val="20"/>
              </w:rPr>
              <w:t xml:space="preserve">hôpital pour </w:t>
            </w:r>
            <w:r>
              <w:rPr>
                <w:sz w:val="20"/>
              </w:rPr>
              <w:t xml:space="preserve">enfants de la Colombie-Britannique</w:t>
            </w:r>
            <w:r>
              <w:rPr>
                <w:sz w:val="20"/>
              </w:rPr>
              <w:t xml:space="preserve">, au Canada, auprès de </w:t>
            </w:r>
            <w:r>
              <w:rPr>
                <w:sz w:val="20"/>
              </w:rPr>
              <w:t xml:space="preserve">jeunes </w:t>
            </w:r>
            <w:r>
              <w:rPr>
                <w:sz w:val="20"/>
              </w:rPr>
              <w:t xml:space="preserve">souffrant de </w:t>
            </w:r>
            <w:r>
              <w:rPr>
                <w:sz w:val="20"/>
              </w:rPr>
              <w:t xml:space="preserve">dysphorie de </w:t>
            </w:r>
            <w:r>
              <w:rPr>
                <w:sz w:val="20"/>
              </w:rPr>
              <w:t xml:space="preserve">genre</w:t>
            </w:r>
            <w:r>
              <w:rPr>
                <w:sz w:val="20"/>
              </w:rPr>
              <w:t xml:space="preserve">.</w:t>
            </w:r>
          </w:p>
          <w:p>
            <w:pPr>
              <w:pStyle w:val="TableParagraph"/>
              <w:spacing w:before="59"/>
              <w:ind w:start="107" w:end="129"/>
              <w:rPr>
                <w:sz w:val="20"/>
              </w:rPr>
            </w:pPr>
            <w:r>
              <w:rPr>
                <w:sz w:val="20"/>
              </w:rPr>
              <w:t xml:space="preserve">La </w:t>
            </w:r>
            <w:r>
              <w:rPr>
                <w:sz w:val="20"/>
              </w:rPr>
              <w:t xml:space="preserve">taille de l'échantillon était de 27 jeunes </w:t>
            </w:r>
            <w:r>
              <w:rPr>
                <w:sz w:val="20"/>
              </w:rPr>
              <w:t xml:space="preserve">atteints de dysphorie de genre qui ont </w:t>
            </w:r>
            <w:r>
              <w:rPr>
                <w:sz w:val="20"/>
              </w:rPr>
              <w:t xml:space="preserve">commencé à prendre des analogues de la GnRH (à l'</w:t>
            </w:r>
            <w:r>
              <w:rPr>
                <w:sz w:val="20"/>
              </w:rPr>
              <w:t xml:space="preserve">âge </w:t>
            </w:r>
            <w:r>
              <w:rPr>
                <w:sz w:val="20"/>
              </w:rPr>
              <w:t xml:space="preserve">moyen </w:t>
            </w:r>
            <w:r>
              <w:rPr>
                <w:sz w:val="20"/>
              </w:rPr>
              <w:t xml:space="preserve">de 14,7 [SD ±1,9] ans) sur les 84 </w:t>
            </w:r>
            <w:r>
              <w:rPr>
                <w:sz w:val="20"/>
              </w:rPr>
              <w:t xml:space="preserve">jeunes vus dans l'unité </w:t>
            </w:r>
            <w:r>
              <w:rPr>
                <w:sz w:val="20"/>
              </w:rPr>
              <w:t xml:space="preserve">entre </w:t>
            </w:r>
            <w:r>
              <w:rPr>
                <w:sz w:val="20"/>
              </w:rPr>
              <w:t xml:space="preserve">1998 </w:t>
            </w:r>
            <w:r>
              <w:rPr>
                <w:sz w:val="20"/>
              </w:rPr>
              <w:t xml:space="preserve">et </w:t>
            </w:r>
            <w:r>
              <w:rPr>
                <w:sz w:val="20"/>
              </w:rPr>
              <w:t xml:space="preserve">2011. Les </w:t>
            </w:r>
            <w:r>
              <w:rPr>
                <w:sz w:val="20"/>
              </w:rPr>
              <w:t xml:space="preserve">critères </w:t>
            </w:r>
            <w:r>
              <w:rPr>
                <w:sz w:val="20"/>
              </w:rPr>
              <w:t xml:space="preserve">diagnostiques </w:t>
            </w:r>
            <w:r>
              <w:rPr>
                <w:sz w:val="20"/>
              </w:rPr>
              <w:t xml:space="preserve">et les traitements concomitants </w:t>
            </w:r>
            <w:r>
              <w:rPr>
                <w:sz w:val="20"/>
              </w:rPr>
              <w:t xml:space="preserve">n'ont pas </w:t>
            </w:r>
            <w:r>
              <w:rPr>
                <w:sz w:val="20"/>
              </w:rPr>
              <w:t xml:space="preserve">été </w:t>
            </w:r>
            <w:r>
              <w:rPr>
                <w:sz w:val="20"/>
              </w:rPr>
              <w:t xml:space="preserve">rapportés.</w:t>
            </w:r>
          </w:p>
        </w:tc>
        <w:tc>
          <w:tcPr>
            <w:tcW w:w="2225" w:type="dxa"/>
          </w:tcPr>
          <w:p>
            <w:pPr>
              <w:pStyle w:val="TableParagraph"/>
              <w:spacing w:line="229" w:lineRule="exact"/>
              <w:ind w:start="107"/>
              <w:rPr>
                <w:b/>
                <w:sz w:val="20"/>
              </w:rPr>
            </w:pPr>
            <w:r>
              <w:rPr>
                <w:b/>
                <w:sz w:val="20"/>
              </w:rPr>
              <w:t xml:space="preserve">Intervention</w:t>
            </w:r>
          </w:p>
          <w:p>
            <w:pPr>
              <w:pStyle w:val="TableParagraph"/>
              <w:spacing w:before="60"/>
              <w:ind w:start="107" w:end="129"/>
              <w:rPr>
                <w:sz w:val="20"/>
              </w:rPr>
            </w:pPr>
            <w:r>
              <w:rPr>
                <w:sz w:val="20"/>
              </w:rPr>
              <w:t xml:space="preserve">84 jeunes gens souffrant de </w:t>
            </w:r>
            <w:r>
              <w:rPr>
                <w:sz w:val="20"/>
              </w:rPr>
              <w:t xml:space="preserve">dysphorie de genre. Pour les </w:t>
            </w:r>
            <w:r>
              <w:rPr>
                <w:sz w:val="20"/>
              </w:rPr>
              <w:t xml:space="preserve">analogues de la GnRH</w:t>
            </w:r>
            <w:r>
              <w:rPr>
                <w:sz w:val="20"/>
              </w:rPr>
              <w:t xml:space="preserve">,</w:t>
            </w:r>
            <w:r>
              <w:rPr>
                <w:sz w:val="20"/>
              </w:rPr>
              <w:t xml:space="preserve"> aucun </w:t>
            </w:r>
            <w:r>
              <w:rPr>
                <w:sz w:val="20"/>
              </w:rPr>
              <w:t xml:space="preserve">traitement, </w:t>
            </w:r>
            <w:r>
              <w:rPr>
                <w:sz w:val="20"/>
              </w:rPr>
              <w:t xml:space="preserve">durée, </w:t>
            </w:r>
            <w:r>
              <w:rPr>
                <w:sz w:val="20"/>
              </w:rPr>
              <w:t xml:space="preserve">dose </w:t>
            </w:r>
            <w:r>
              <w:rPr>
                <w:sz w:val="20"/>
              </w:rPr>
              <w:t xml:space="preserve">ou </w:t>
            </w:r>
            <w:r>
              <w:rPr>
                <w:sz w:val="20"/>
              </w:rPr>
              <w:t xml:space="preserve">voie </w:t>
            </w:r>
            <w:r>
              <w:rPr>
                <w:sz w:val="20"/>
              </w:rPr>
              <w:t xml:space="preserve">d</w:t>
            </w:r>
            <w:r>
              <w:rPr>
                <w:sz w:val="20"/>
              </w:rPr>
              <w:t xml:space="preserve">'</w:t>
            </w:r>
            <w:r>
              <w:rPr>
                <w:sz w:val="20"/>
              </w:rPr>
              <w:t xml:space="preserve">administration </w:t>
            </w:r>
            <w:r>
              <w:rPr>
                <w:sz w:val="20"/>
              </w:rPr>
              <w:t xml:space="preserve">spécifique </w:t>
            </w:r>
            <w:r>
              <w:rPr>
                <w:sz w:val="20"/>
              </w:rPr>
              <w:t xml:space="preserve">n'</w:t>
            </w:r>
            <w:r>
              <w:rPr>
                <w:sz w:val="20"/>
              </w:rPr>
              <w:t xml:space="preserve">a été signalé.</w:t>
            </w:r>
          </w:p>
          <w:p>
            <w:pPr>
              <w:pStyle w:val="TableParagraph"/>
              <w:spacing w:before="61"/>
              <w:ind w:start="107"/>
              <w:rPr>
                <w:b/>
                <w:sz w:val="20"/>
              </w:rPr>
            </w:pPr>
            <w:r>
              <w:rPr>
                <w:b/>
                <w:sz w:val="20"/>
              </w:rPr>
              <w:t xml:space="preserve">Comparaison</w:t>
            </w:r>
          </w:p>
          <w:p>
            <w:pPr>
              <w:pStyle w:val="TableParagraph"/>
              <w:spacing w:before="60"/>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1"/>
              </w:numPr>
              <w:tabs>
                <w:tab w:val="left" w:pos="437"/>
              </w:tabs>
              <w:spacing w:before="63" w:line="237" w:lineRule="auto"/>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62"/>
              <w:ind w:start="107" w:end="774"/>
              <w:rPr>
                <w:b/>
                <w:sz w:val="20"/>
              </w:rPr>
            </w:pPr>
            <w:r>
              <w:rPr>
                <w:b/>
                <w:spacing w:val="-1"/>
                <w:sz w:val="20"/>
              </w:rPr>
              <w:t xml:space="preserve">Résultats </w:t>
            </w:r>
            <w:r>
              <w:rPr>
                <w:b/>
                <w:sz w:val="20"/>
              </w:rPr>
              <w:t xml:space="preserve">importants</w:t>
            </w:r>
          </w:p>
          <w:p>
            <w:pPr>
              <w:pStyle w:val="TableParagraph"/>
              <w:numPr>
                <w:ilvl w:val="0"/>
                <w:numId w:val="181"/>
              </w:numPr>
              <w:tabs>
                <w:tab w:val="left" w:pos="437"/>
              </w:tabs>
              <w:spacing w:before="66" w:line="235" w:lineRule="auto"/>
              <w:ind w:end="557"/>
              <w:rPr>
                <w:sz w:val="20"/>
              </w:rPr>
            </w:pPr>
            <w:r>
              <w:rPr>
                <w:sz w:val="20"/>
              </w:rPr>
              <w:t xml:space="preserve">Arrêt du </w:t>
            </w:r>
            <w:r>
              <w:rPr>
                <w:spacing w:val="-1"/>
                <w:sz w:val="20"/>
              </w:rPr>
              <w:t xml:space="preserve">traitement</w:t>
            </w:r>
          </w:p>
          <w:p>
            <w:pPr>
              <w:pStyle w:val="TableParagraph"/>
              <w:numPr>
                <w:ilvl w:val="0"/>
                <w:numId w:val="181"/>
              </w:numPr>
              <w:tabs>
                <w:tab w:val="left" w:pos="437"/>
              </w:tabs>
              <w:spacing w:before="65" w:line="237" w:lineRule="auto"/>
              <w:ind w:end="689"/>
              <w:rPr>
                <w:sz w:val="20"/>
              </w:rPr>
            </w:pPr>
            <w:r>
              <w:rPr>
                <w:sz w:val="20"/>
              </w:rPr>
              <w:t xml:space="preserve">Sécurité : </w:t>
            </w:r>
            <w:r>
              <w:rPr>
                <w:sz w:val="20"/>
              </w:rPr>
              <w:t xml:space="preserve">effets </w:t>
            </w:r>
            <w:r>
              <w:rPr>
                <w:spacing w:val="-1"/>
                <w:sz w:val="20"/>
              </w:rPr>
              <w:t xml:space="preserve">indésirables</w:t>
            </w:r>
          </w:p>
        </w:tc>
      </w:tr>
      <w:tr w:rsidR="00432386">
        <w:trPr>
          <w:trHeight w:val="5299"/>
        </w:trPr>
        <w:tc>
          <w:tcPr>
            <w:tcW w:w="1697" w:type="dxa"/>
          </w:tcPr>
          <w:p>
            <w:pPr>
              <w:pStyle w:val="TableParagraph"/>
              <w:spacing w:line="229" w:lineRule="exact"/>
              <w:ind w:start="107"/>
              <w:rPr>
                <w:sz w:val="20"/>
              </w:rPr>
            </w:pPr>
            <w:hyperlink r:id="rId109">
              <w:r>
                <w:rPr>
                  <w:color w:val="0000FF"/>
                  <w:sz w:val="20"/>
                  <w:u w:val="single" w:color="0000FF"/>
                </w:rPr>
                <w:t xml:space="preserve">Klink </w:t>
              </w:r>
              <w:r>
                <w:rPr>
                  <w:color w:val="0000FF"/>
                  <w:sz w:val="20"/>
                  <w:u w:val="single" w:color="0000FF"/>
                </w:rPr>
                <w:t xml:space="preserve">et </w:t>
              </w:r>
              <w:r>
                <w:rPr>
                  <w:color w:val="0000FF"/>
                  <w:sz w:val="20"/>
                  <w:u w:val="single" w:color="0000FF"/>
                </w:rPr>
                <w:t xml:space="preserve">al. </w:t>
              </w:r>
              <w:r>
                <w:rPr>
                  <w:color w:val="0000FF"/>
                  <w:sz w:val="20"/>
                  <w:u w:val="single" w:color="0000FF"/>
                </w:rPr>
                <w:t xml:space="preserve">2015</w:t>
              </w:r>
            </w:hyperlink>
          </w:p>
          <w:p w:rsidR="00432386" w:rsidRDefault="00432386">
            <w:pPr>
              <w:pStyle w:val="TableParagraph"/>
              <w:spacing w:before="5"/>
              <w:rPr>
                <w:b/>
                <w:sz w:val="30"/>
              </w:rPr>
            </w:pPr>
          </w:p>
          <w:p>
            <w:pPr>
              <w:pStyle w:val="TableParagraph"/>
              <w:spacing w:before="1"/>
              <w:ind w:start="107" w:end="350"/>
              <w:rPr>
                <w:sz w:val="20"/>
              </w:rPr>
            </w:pPr>
            <w:r>
              <w:rPr>
                <w:sz w:val="20"/>
              </w:rPr>
              <w:t xml:space="preserve">Étude </w:t>
            </w:r>
            <w:r>
              <w:rPr>
                <w:spacing w:val="-1"/>
                <w:sz w:val="20"/>
              </w:rPr>
              <w:t xml:space="preserve">rétrospective </w:t>
            </w:r>
            <w:r>
              <w:rPr>
                <w:sz w:val="20"/>
              </w:rPr>
              <w:t xml:space="preserve">longitudinale </w:t>
            </w:r>
            <w:r>
              <w:rPr>
                <w:sz w:val="20"/>
              </w:rPr>
              <w:t xml:space="preserve">d'observation dans </w:t>
            </w:r>
            <w:r>
              <w:rPr>
                <w:sz w:val="20"/>
              </w:rPr>
              <w:t xml:space="preserve">un seul centre</w:t>
            </w:r>
          </w:p>
          <w:p w:rsidR="00432386" w:rsidRDefault="00432386">
            <w:pPr>
              <w:pStyle w:val="TableParagraph"/>
              <w:spacing w:before="4"/>
              <w:rPr>
                <w:b/>
                <w:sz w:val="30"/>
              </w:rPr>
            </w:pPr>
          </w:p>
          <w:p>
            <w:pPr>
              <w:pStyle w:val="TableParagraph"/>
              <w:spacing w:before="1"/>
              <w:ind w:start="107"/>
              <w:rPr>
                <w:sz w:val="20"/>
              </w:rPr>
            </w:pPr>
            <w:r>
              <w:rPr>
                <w:sz w:val="20"/>
              </w:rPr>
              <w:t xml:space="preserve">Pays-Bas</w:t>
            </w:r>
          </w:p>
        </w:tc>
        <w:tc>
          <w:tcPr>
            <w:tcW w:w="3440" w:type="dxa"/>
          </w:tcPr>
          <w:p>
            <w:pPr>
              <w:pStyle w:val="TableParagraph"/>
              <w:ind w:start="107" w:end="454"/>
              <w:jc w:val="both"/>
              <w:rPr>
                <w:sz w:val="20"/>
              </w:rPr>
            </w:pPr>
            <w:r>
              <w:rPr>
                <w:sz w:val="20"/>
              </w:rPr>
              <w:t xml:space="preserve">Cette étude a été menée aux </w:t>
            </w:r>
            <w:r>
              <w:rPr>
                <w:sz w:val="20"/>
              </w:rPr>
              <w:t xml:space="preserve">Pays-Bas dans un </w:t>
            </w:r>
            <w:r>
              <w:rPr>
                <w:sz w:val="20"/>
              </w:rPr>
              <w:t xml:space="preserve">centre de </w:t>
            </w:r>
            <w:r>
              <w:rPr>
                <w:sz w:val="20"/>
              </w:rPr>
              <w:t xml:space="preserve">référence tertiaire</w:t>
            </w:r>
            <w:r>
              <w:rPr>
                <w:sz w:val="20"/>
              </w:rPr>
              <w:t xml:space="preserve">. Il n'est pas clair de quel centre </w:t>
            </w:r>
            <w:r>
              <w:rPr>
                <w:sz w:val="20"/>
              </w:rPr>
              <w:t xml:space="preserve">il s'</w:t>
            </w:r>
            <w:r>
              <w:rPr>
                <w:sz w:val="20"/>
              </w:rPr>
              <w:t xml:space="preserve">agissait.</w:t>
            </w:r>
          </w:p>
          <w:p>
            <w:pPr>
              <w:pStyle w:val="TableParagraph"/>
              <w:spacing w:before="58"/>
              <w:ind w:start="107" w:end="411"/>
              <w:jc w:val="both"/>
              <w:rPr>
                <w:sz w:val="20"/>
              </w:rPr>
            </w:pPr>
            <w:r>
              <w:rPr>
                <w:sz w:val="20"/>
              </w:rPr>
              <w:t xml:space="preserve">La taille de l'échantillon était de 34 </w:t>
            </w:r>
            <w:r>
              <w:rPr>
                <w:sz w:val="20"/>
              </w:rPr>
              <w:t xml:space="preserve">adolescents </w:t>
            </w:r>
            <w:r>
              <w:rPr>
                <w:sz w:val="20"/>
              </w:rPr>
              <w:t xml:space="preserve">(</w:t>
            </w:r>
            <w:r>
              <w:rPr>
                <w:sz w:val="20"/>
              </w:rPr>
              <w:t xml:space="preserve">âge </w:t>
            </w:r>
            <w:r>
              <w:rPr>
                <w:sz w:val="20"/>
              </w:rPr>
              <w:t xml:space="preserve">moyen </w:t>
            </w:r>
            <w:r>
              <w:rPr>
                <w:sz w:val="20"/>
              </w:rPr>
              <w:t xml:space="preserve">14,9 </w:t>
            </w:r>
            <w:r>
              <w:rPr>
                <w:sz w:val="20"/>
              </w:rPr>
              <w:t xml:space="preserve">[SD</w:t>
            </w:r>
          </w:p>
          <w:p>
            <w:pPr>
              <w:pStyle w:val="TableParagraph"/>
              <w:spacing w:before="1"/>
              <w:ind w:start="107"/>
              <w:jc w:val="both"/>
              <w:rPr>
                <w:sz w:val="20"/>
              </w:rPr>
            </w:pPr>
            <w:r>
              <w:rPr>
                <w:sz w:val="20"/>
              </w:rPr>
              <w:t xml:space="preserve">±1,9] </w:t>
            </w:r>
            <w:r>
              <w:rPr>
                <w:sz w:val="20"/>
              </w:rPr>
              <w:t xml:space="preserve">ans </w:t>
            </w:r>
            <w:r>
              <w:rPr>
                <w:sz w:val="20"/>
              </w:rPr>
              <w:t xml:space="preserve">pour les </w:t>
            </w:r>
            <w:r>
              <w:rPr>
                <w:sz w:val="20"/>
              </w:rPr>
              <w:t xml:space="preserve">transfemmes </w:t>
            </w:r>
            <w:r>
              <w:rPr>
                <w:sz w:val="20"/>
              </w:rPr>
              <w:t xml:space="preserve">et</w:t>
            </w:r>
          </w:p>
          <w:p>
            <w:pPr>
              <w:pStyle w:val="TableParagraph"/>
              <w:spacing w:before="1"/>
              <w:ind w:start="107" w:end="106"/>
              <w:rPr>
                <w:sz w:val="20"/>
              </w:rPr>
            </w:pPr>
            <w:r>
              <w:rPr>
                <w:sz w:val="20"/>
              </w:rPr>
              <w:t xml:space="preserve">15,0 [SD ±2,0] ans pour les transmales </w:t>
            </w:r>
            <w:r>
              <w:rPr>
                <w:sz w:val="20"/>
              </w:rPr>
              <w:t xml:space="preserve">au </w:t>
            </w:r>
            <w:r>
              <w:rPr>
                <w:sz w:val="20"/>
              </w:rPr>
              <w:t xml:space="preserve">début </w:t>
            </w:r>
            <w:r>
              <w:rPr>
                <w:sz w:val="20"/>
              </w:rPr>
              <w:t xml:space="preserve">des </w:t>
            </w:r>
            <w:r>
              <w:rPr>
                <w:sz w:val="20"/>
              </w:rPr>
              <w:t xml:space="preserve">analogues de la </w:t>
            </w:r>
            <w:r>
              <w:rPr>
                <w:sz w:val="20"/>
              </w:rPr>
              <w:t xml:space="preserve">GnRH</w:t>
            </w:r>
            <w:r>
              <w:rPr>
                <w:sz w:val="20"/>
              </w:rPr>
              <w:t xml:space="preserve">). Les </w:t>
            </w:r>
            <w:r>
              <w:rPr>
                <w:sz w:val="20"/>
              </w:rPr>
              <w:t xml:space="preserve">détails </w:t>
            </w:r>
            <w:r>
              <w:rPr>
                <w:sz w:val="20"/>
              </w:rPr>
              <w:t xml:space="preserve">de la base d'échantillonnage ne sont pas </w:t>
            </w:r>
            <w:r>
              <w:rPr>
                <w:sz w:val="20"/>
              </w:rPr>
              <w:t xml:space="preserve">rapportés.</w:t>
            </w:r>
          </w:p>
          <w:p>
            <w:pPr>
              <w:pStyle w:val="TableParagraph"/>
              <w:spacing w:before="59"/>
              <w:ind w:start="107" w:end="106"/>
              <w:rPr>
                <w:sz w:val="20"/>
              </w:rPr>
            </w:pPr>
            <w:r>
              <w:rPr>
                <w:sz w:val="20"/>
              </w:rPr>
              <w:t xml:space="preserve">Les participants ont été inclus s'ils </w:t>
            </w:r>
            <w:r>
              <w:rPr>
                <w:sz w:val="20"/>
              </w:rPr>
              <w:t xml:space="preserve">répondaient aux critères du DSM-IV-TR pour le </w:t>
            </w:r>
            <w:r>
              <w:rPr>
                <w:sz w:val="20"/>
              </w:rPr>
              <w:t xml:space="preserve">trouble de l'</w:t>
            </w:r>
            <w:r>
              <w:rPr>
                <w:sz w:val="20"/>
              </w:rPr>
              <w:t xml:space="preserve">identité </w:t>
            </w:r>
            <w:r>
              <w:rPr>
                <w:sz w:val="20"/>
              </w:rPr>
              <w:t xml:space="preserve">sexuelle </w:t>
            </w:r>
            <w:r>
              <w:rPr>
                <w:sz w:val="20"/>
              </w:rPr>
              <w:t xml:space="preserve">de l'</w:t>
            </w:r>
            <w:r>
              <w:rPr>
                <w:sz w:val="20"/>
              </w:rPr>
              <w:t xml:space="preserve">adolescence </w:t>
            </w:r>
            <w:r>
              <w:rPr>
                <w:sz w:val="20"/>
              </w:rPr>
              <w:t xml:space="preserve">et s'ils </w:t>
            </w:r>
            <w:r>
              <w:rPr>
                <w:sz w:val="20"/>
              </w:rPr>
              <w:t xml:space="preserve">avaient été traités avec des </w:t>
            </w:r>
            <w:r>
              <w:rPr>
                <w:sz w:val="20"/>
              </w:rPr>
              <w:t xml:space="preserve">analogues de la </w:t>
            </w:r>
            <w:r>
              <w:rPr>
                <w:sz w:val="20"/>
              </w:rPr>
              <w:t xml:space="preserve">GnRH </w:t>
            </w:r>
            <w:r>
              <w:rPr>
                <w:sz w:val="20"/>
              </w:rPr>
              <w:t xml:space="preserve">et des </w:t>
            </w:r>
            <w:r>
              <w:rPr>
                <w:sz w:val="20"/>
              </w:rPr>
              <w:t xml:space="preserve">hormones d'</w:t>
            </w:r>
            <w:r>
              <w:rPr>
                <w:sz w:val="20"/>
              </w:rPr>
              <w:t xml:space="preserve">affirmation du genre </w:t>
            </w:r>
            <w:r>
              <w:rPr>
                <w:sz w:val="20"/>
              </w:rPr>
              <w:t xml:space="preserve">pendant leurs </w:t>
            </w:r>
            <w:r>
              <w:rPr>
                <w:sz w:val="20"/>
              </w:rPr>
              <w:t xml:space="preserve">années </w:t>
            </w:r>
            <w:r>
              <w:rPr>
                <w:sz w:val="20"/>
              </w:rPr>
              <w:t xml:space="preserve">pubertaires</w:t>
            </w:r>
            <w:r>
              <w:rPr>
                <w:sz w:val="20"/>
              </w:rPr>
              <w:t xml:space="preserve">. Aucun traitement concomitant n'</w:t>
            </w:r>
            <w:r>
              <w:rPr>
                <w:sz w:val="20"/>
              </w:rPr>
              <w:t xml:space="preserve">a été </w:t>
            </w:r>
            <w:r>
              <w:rPr>
                <w:sz w:val="20"/>
              </w:rPr>
              <w:t xml:space="preserve">signalé.</w:t>
            </w:r>
          </w:p>
        </w:tc>
        <w:tc>
          <w:tcPr>
            <w:tcW w:w="2225" w:type="dxa"/>
          </w:tcPr>
          <w:p>
            <w:pPr>
              <w:pStyle w:val="TableParagraph"/>
              <w:spacing w:line="229" w:lineRule="exact"/>
              <w:ind w:start="107"/>
              <w:rPr>
                <w:b/>
                <w:sz w:val="20"/>
              </w:rPr>
            </w:pPr>
            <w:r>
              <w:rPr>
                <w:b/>
                <w:sz w:val="20"/>
              </w:rPr>
              <w:t xml:space="preserve">Intervention</w:t>
            </w:r>
          </w:p>
          <w:p>
            <w:pPr>
              <w:pStyle w:val="TableParagraph"/>
              <w:spacing w:before="60"/>
              <w:ind w:start="107" w:end="118"/>
              <w:rPr>
                <w:sz w:val="20"/>
              </w:rPr>
            </w:pPr>
            <w:r>
              <w:rPr>
                <w:sz w:val="20"/>
              </w:rPr>
              <w:t xml:space="preserve">L'</w:t>
            </w:r>
            <w:r>
              <w:rPr>
                <w:sz w:val="20"/>
              </w:rPr>
              <w:t xml:space="preserve">intervention était une </w:t>
            </w:r>
            <w:r>
              <w:rPr>
                <w:sz w:val="20"/>
              </w:rPr>
              <w:t xml:space="preserve">monothérapie à base d'</w:t>
            </w:r>
            <w:r>
              <w:rPr>
                <w:sz w:val="20"/>
              </w:rPr>
              <w:t xml:space="preserve">analogues de la GnRH </w:t>
            </w:r>
            <w:r>
              <w:rPr>
                <w:sz w:val="20"/>
              </w:rPr>
              <w:t xml:space="preserve">(triptoréline 3,75 mg par </w:t>
            </w:r>
            <w:r>
              <w:rPr>
                <w:sz w:val="20"/>
              </w:rPr>
              <w:t xml:space="preserve">voie sous-cutanée toutes les </w:t>
            </w:r>
            <w:r>
              <w:rPr>
                <w:sz w:val="20"/>
              </w:rPr>
              <w:t xml:space="preserve">4 semaines) suivie d'</w:t>
            </w:r>
            <w:r>
              <w:rPr>
                <w:sz w:val="20"/>
              </w:rPr>
              <w:t xml:space="preserve">hormones </w:t>
            </w:r>
            <w:r>
              <w:rPr>
                <w:sz w:val="20"/>
              </w:rPr>
              <w:t xml:space="preserve">d'affirmation du genre </w:t>
            </w:r>
            <w:r>
              <w:rPr>
                <w:sz w:val="20"/>
              </w:rPr>
              <w:t xml:space="preserve">avec </w:t>
            </w:r>
            <w:r>
              <w:rPr>
                <w:sz w:val="20"/>
              </w:rPr>
              <w:t xml:space="preserve">arrêt des </w:t>
            </w:r>
            <w:r>
              <w:rPr>
                <w:sz w:val="20"/>
              </w:rPr>
              <w:t xml:space="preserve">analogues de la </w:t>
            </w:r>
            <w:r>
              <w:rPr>
                <w:sz w:val="20"/>
              </w:rPr>
              <w:t xml:space="preserve">GnRH </w:t>
            </w:r>
            <w:r>
              <w:rPr>
                <w:sz w:val="20"/>
              </w:rPr>
              <w:t xml:space="preserve">après </w:t>
            </w:r>
            <w:r>
              <w:rPr>
                <w:sz w:val="20"/>
              </w:rPr>
              <w:t xml:space="preserve">gonadectomie.</w:t>
            </w:r>
          </w:p>
          <w:p>
            <w:pPr>
              <w:pStyle w:val="TableParagraph"/>
              <w:ind w:start="107" w:end="418"/>
              <w:rPr>
                <w:sz w:val="20"/>
              </w:rPr>
            </w:pPr>
            <w:r>
              <w:rPr>
                <w:sz w:val="20"/>
              </w:rPr>
              <w:t xml:space="preserve">La </w:t>
            </w:r>
            <w:r>
              <w:rPr>
                <w:sz w:val="20"/>
              </w:rPr>
              <w:t xml:space="preserve">durée du traitement par les </w:t>
            </w:r>
            <w:r>
              <w:rPr>
                <w:sz w:val="20"/>
              </w:rPr>
              <w:t xml:space="preserve">analogues de la </w:t>
            </w:r>
            <w:r>
              <w:rPr>
                <w:sz w:val="20"/>
              </w:rPr>
              <w:t xml:space="preserve">GnRH </w:t>
            </w:r>
            <w:r>
              <w:rPr>
                <w:sz w:val="20"/>
              </w:rPr>
              <w:t xml:space="preserve">était de 1,3 </w:t>
            </w:r>
            <w:r>
              <w:rPr>
                <w:sz w:val="20"/>
              </w:rPr>
              <w:t xml:space="preserve">an </w:t>
            </w:r>
            <w:r>
              <w:rPr>
                <w:sz w:val="20"/>
              </w:rPr>
              <w:t xml:space="preserve">(de </w:t>
            </w:r>
            <w:r>
              <w:rPr>
                <w:sz w:val="20"/>
              </w:rPr>
              <w:t xml:space="preserve">0,5 </w:t>
            </w:r>
            <w:r>
              <w:rPr>
                <w:sz w:val="20"/>
              </w:rPr>
              <w:t xml:space="preserve">à 1 an).</w:t>
            </w:r>
          </w:p>
          <w:p>
            <w:pPr>
              <w:pStyle w:val="TableParagraph"/>
              <w:ind w:start="107" w:end="232"/>
              <w:rPr>
                <w:sz w:val="20"/>
              </w:rPr>
            </w:pPr>
            <w:r>
              <w:rPr>
                <w:sz w:val="20"/>
              </w:rPr>
              <w:t xml:space="preserve">3,8 ans) chez les </w:t>
            </w:r>
            <w:r>
              <w:rPr>
                <w:sz w:val="20"/>
              </w:rPr>
              <w:t xml:space="preserve">transfemmes </w:t>
            </w:r>
            <w:r>
              <w:rPr>
                <w:sz w:val="20"/>
              </w:rPr>
              <w:t xml:space="preserve">et de </w:t>
            </w:r>
            <w:r>
              <w:rPr>
                <w:sz w:val="20"/>
              </w:rPr>
              <w:t xml:space="preserve">1,5 </w:t>
            </w:r>
            <w:r>
              <w:rPr>
                <w:sz w:val="20"/>
              </w:rPr>
              <w:t xml:space="preserve">an </w:t>
            </w:r>
            <w:r>
              <w:rPr>
                <w:sz w:val="20"/>
              </w:rPr>
              <w:t xml:space="preserve">(0,25 à</w:t>
            </w:r>
          </w:p>
          <w:p>
            <w:pPr>
              <w:pStyle w:val="TableParagraph"/>
              <w:spacing w:before="1"/>
              <w:ind w:start="107" w:end="1065"/>
              <w:rPr>
                <w:sz w:val="20"/>
              </w:rPr>
            </w:pPr>
            <w:r>
              <w:rPr>
                <w:sz w:val="20"/>
              </w:rPr>
              <w:t xml:space="preserve">5,2 </w:t>
            </w:r>
            <w:r>
              <w:rPr>
                <w:sz w:val="20"/>
              </w:rPr>
              <w:t xml:space="preserve">ans </w:t>
            </w:r>
            <w:r>
              <w:rPr>
                <w:sz w:val="20"/>
              </w:rPr>
              <w:t xml:space="preserve">dans les </w:t>
            </w:r>
            <w:r>
              <w:rPr>
                <w:spacing w:val="-1"/>
                <w:sz w:val="20"/>
              </w:rPr>
              <w:t xml:space="preserve">transmales.</w:t>
            </w:r>
          </w:p>
          <w:p>
            <w:pPr>
              <w:pStyle w:val="TableParagraph"/>
              <w:spacing w:before="60"/>
              <w:ind w:start="107"/>
              <w:rPr>
                <w:b/>
                <w:sz w:val="20"/>
              </w:rPr>
            </w:pPr>
            <w:r>
              <w:rPr>
                <w:b/>
                <w:sz w:val="20"/>
              </w:rPr>
              <w:t xml:space="preserve">Comparaison</w:t>
            </w:r>
          </w:p>
          <w:p>
            <w:pPr>
              <w:pStyle w:val="TableParagraph"/>
              <w:spacing w:before="58"/>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80"/>
              </w:numPr>
              <w:tabs>
                <w:tab w:val="left" w:pos="437"/>
              </w:tabs>
              <w:spacing w:before="63" w:line="237" w:lineRule="auto"/>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62"/>
              <w:ind w:start="107" w:end="774"/>
              <w:rPr>
                <w:b/>
                <w:sz w:val="20"/>
              </w:rPr>
            </w:pPr>
            <w:r>
              <w:rPr>
                <w:b/>
                <w:spacing w:val="-1"/>
                <w:sz w:val="20"/>
              </w:rPr>
              <w:t xml:space="preserve">Résultats </w:t>
            </w:r>
            <w:r>
              <w:rPr>
                <w:b/>
                <w:sz w:val="20"/>
              </w:rPr>
              <w:t xml:space="preserve">importants</w:t>
            </w:r>
          </w:p>
          <w:p>
            <w:pPr>
              <w:pStyle w:val="TableParagraph"/>
              <w:numPr>
                <w:ilvl w:val="0"/>
                <w:numId w:val="180"/>
              </w:numPr>
              <w:tabs>
                <w:tab w:val="left" w:pos="437"/>
              </w:tabs>
              <w:spacing w:before="60"/>
              <w:ind w:end="277"/>
              <w:rPr>
                <w:sz w:val="20"/>
              </w:rPr>
            </w:pPr>
            <w:r>
              <w:rPr>
                <w:sz w:val="20"/>
              </w:rPr>
              <w:t xml:space="preserve">Sécurité : </w:t>
            </w:r>
            <w:r>
              <w:rPr>
                <w:sz w:val="20"/>
              </w:rPr>
              <w:t xml:space="preserve">densité os</w:t>
            </w:r>
            <w:r>
              <w:rPr>
                <w:sz w:val="20"/>
              </w:rPr>
              <w:t xml:space="preserve">seuse</w:t>
            </w:r>
          </w:p>
        </w:tc>
      </w:tr>
    </w:tbl>
    <w:p w:rsidR="00432386" w:rsidRDefault="00432386">
      <w:pPr>
        <w:rPr>
          <w:sz w:val="20"/>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697"/>
        <w:gridCol w:w="3440"/>
        <w:gridCol w:w="2225"/>
        <w:gridCol w:w="1848"/>
      </w:tblGrid>
      <w:tr w:rsidR="00432386">
        <w:trPr>
          <w:trHeight w:val="517"/>
        </w:trPr>
        <w:tc>
          <w:tcPr>
            <w:tcW w:w="1697" w:type="dxa"/>
            <w:shd w:val="clear" w:color="auto" w:fill="C2D59B"/>
          </w:tcPr>
          <w:p>
            <w:pPr>
              <w:pStyle w:val="TableParagraph"/>
              <w:spacing w:line="229" w:lineRule="exact"/>
              <w:ind w:start="107"/>
              <w:rPr>
                <w:b/>
                <w:sz w:val="20"/>
              </w:rPr>
            </w:pPr>
            <w:r>
              <w:rPr>
                <w:b/>
                <w:sz w:val="20"/>
              </w:rPr>
              <w:lastRenderedPageBreak/>
              <w:t xml:space="preserve">Étude</w:t>
            </w:r>
          </w:p>
        </w:tc>
        <w:tc>
          <w:tcPr>
            <w:tcW w:w="3440" w:type="dxa"/>
            <w:shd w:val="clear" w:color="auto" w:fill="C2D59B"/>
          </w:tcPr>
          <w:p>
            <w:pPr>
              <w:pStyle w:val="TableParagraph"/>
              <w:spacing w:line="229" w:lineRule="exact"/>
              <w:ind w:start="107"/>
              <w:rPr>
                <w:b/>
                <w:sz w:val="20"/>
              </w:rPr>
            </w:pPr>
            <w:r>
              <w:rPr>
                <w:b/>
                <w:sz w:val="20"/>
              </w:rPr>
              <w:t xml:space="preserve">Population</w:t>
            </w:r>
          </w:p>
        </w:tc>
        <w:tc>
          <w:tcPr>
            <w:tcW w:w="2225" w:type="dxa"/>
            <w:shd w:val="clear" w:color="auto" w:fill="C2D59B"/>
          </w:tcPr>
          <w:p>
            <w:pPr>
              <w:pStyle w:val="TableParagraph"/>
              <w:ind w:start="107" w:end="543"/>
              <w:rPr>
                <w:b/>
                <w:sz w:val="20"/>
              </w:rPr>
            </w:pPr>
            <w:r>
              <w:rPr>
                <w:b/>
                <w:sz w:val="20"/>
              </w:rPr>
              <w:t xml:space="preserve">Intervention </w:t>
            </w:r>
            <w:r>
              <w:rPr>
                <w:b/>
                <w:sz w:val="20"/>
              </w:rPr>
              <w:t xml:space="preserve">et </w:t>
            </w:r>
            <w:r>
              <w:rPr>
                <w:b/>
                <w:sz w:val="20"/>
              </w:rPr>
              <w:t xml:space="preserve">comparaison</w:t>
            </w:r>
          </w:p>
        </w:tc>
        <w:tc>
          <w:tcPr>
            <w:tcW w:w="1848" w:type="dxa"/>
            <w:shd w:val="clear" w:color="auto" w:fill="C2D59B"/>
          </w:tcPr>
          <w:p>
            <w:pPr>
              <w:pStyle w:val="TableParagraph"/>
              <w:ind w:start="107" w:end="740"/>
              <w:rPr>
                <w:b/>
                <w:sz w:val="20"/>
              </w:rPr>
            </w:pPr>
            <w:r>
              <w:rPr>
                <w:b/>
                <w:spacing w:val="-1"/>
                <w:sz w:val="20"/>
              </w:rPr>
              <w:t xml:space="preserve">Résultats </w:t>
            </w:r>
            <w:r>
              <w:rPr>
                <w:b/>
                <w:sz w:val="20"/>
              </w:rPr>
              <w:t xml:space="preserve">rapportés</w:t>
            </w:r>
          </w:p>
        </w:tc>
      </w:tr>
      <w:tr w:rsidR="00432386">
        <w:trPr>
          <w:trHeight w:val="5242"/>
        </w:trPr>
        <w:tc>
          <w:tcPr>
            <w:tcW w:w="1697" w:type="dxa"/>
          </w:tcPr>
          <w:p>
            <w:pPr>
              <w:pStyle w:val="TableParagraph"/>
              <w:ind w:start="107" w:end="291"/>
              <w:rPr>
                <w:sz w:val="20"/>
              </w:rPr>
            </w:pPr>
            <w:hyperlink r:id="rId110">
              <w:r>
                <w:rPr>
                  <w:color w:val="0000FF"/>
                  <w:sz w:val="20"/>
                  <w:u w:val="single" w:color="0000FF"/>
                </w:rPr>
                <w:t xml:space="preserve">Schagen</w:t>
              </w:r>
              <w:r>
                <w:rPr>
                  <w:color w:val="0000FF"/>
                  <w:sz w:val="20"/>
                  <w:u w:val="single" w:color="0000FF"/>
                </w:rPr>
                <w:t xml:space="preserve">et</w:t>
              </w:r>
              <w:r>
                <w:rPr>
                  <w:color w:val="0000FF"/>
                  <w:sz w:val="20"/>
                  <w:u w:val="single" w:color="0000FF"/>
                </w:rPr>
                <w:t xml:space="preserve">al. </w:t>
              </w:r>
            </w:hyperlink>
            <w:hyperlink r:id="rId111">
              <w:r>
                <w:rPr>
                  <w:color w:val="0000FF"/>
                  <w:sz w:val="20"/>
                  <w:u w:val="single" w:color="0000FF"/>
                </w:rPr>
                <w:t xml:space="preserve">2016</w:t>
              </w:r>
            </w:hyperlink>
          </w:p>
          <w:p w:rsidR="00432386" w:rsidRDefault="00432386">
            <w:pPr>
              <w:pStyle w:val="TableParagraph"/>
              <w:spacing w:before="6"/>
              <w:rPr>
                <w:b/>
                <w:sz w:val="30"/>
              </w:rPr>
            </w:pPr>
          </w:p>
          <w:p>
            <w:pPr>
              <w:pStyle w:val="TableParagraph"/>
              <w:ind w:start="107" w:end="536"/>
              <w:jc w:val="both"/>
              <w:rPr>
                <w:sz w:val="20"/>
              </w:rPr>
            </w:pPr>
            <w:r>
              <w:rPr>
                <w:sz w:val="20"/>
              </w:rPr>
              <w:t xml:space="preserve">Étude </w:t>
            </w:r>
            <w:r>
              <w:rPr>
                <w:sz w:val="20"/>
              </w:rPr>
              <w:t xml:space="preserve">longitudinale </w:t>
            </w:r>
            <w:r>
              <w:rPr>
                <w:spacing w:val="-1"/>
                <w:sz w:val="20"/>
              </w:rPr>
              <w:t xml:space="preserve">prospective</w:t>
            </w:r>
          </w:p>
          <w:p w:rsidR="00432386" w:rsidRDefault="00432386">
            <w:pPr>
              <w:pStyle w:val="TableParagraph"/>
              <w:spacing w:before="4"/>
              <w:rPr>
                <w:b/>
                <w:sz w:val="30"/>
              </w:rPr>
            </w:pPr>
          </w:p>
          <w:p>
            <w:pPr>
              <w:pStyle w:val="TableParagraph"/>
              <w:ind w:start="107"/>
              <w:rPr>
                <w:sz w:val="20"/>
              </w:rPr>
            </w:pPr>
            <w:r>
              <w:rPr>
                <w:sz w:val="20"/>
              </w:rPr>
              <w:t xml:space="preserve">Pays-Bas</w:t>
            </w:r>
          </w:p>
        </w:tc>
        <w:tc>
          <w:tcPr>
            <w:tcW w:w="3440" w:type="dxa"/>
          </w:tcPr>
          <w:p>
            <w:pPr>
              <w:pStyle w:val="TableParagraph"/>
              <w:ind w:start="107" w:end="188"/>
              <w:rPr>
                <w:sz w:val="20"/>
              </w:rPr>
            </w:pPr>
            <w:r>
              <w:rPr>
                <w:sz w:val="20"/>
              </w:rPr>
              <w:t xml:space="preserve">Cette étude a été menée au </w:t>
            </w:r>
            <w:r>
              <w:rPr>
                <w:sz w:val="20"/>
              </w:rPr>
              <w:t xml:space="preserve">Centre d'expertise sur la </w:t>
            </w:r>
            <w:r>
              <w:rPr>
                <w:sz w:val="20"/>
              </w:rPr>
              <w:t xml:space="preserve">dysphorie de </w:t>
            </w:r>
            <w:r>
              <w:rPr>
                <w:sz w:val="20"/>
              </w:rPr>
              <w:t xml:space="preserve">genre </w:t>
            </w:r>
            <w:r>
              <w:rPr>
                <w:sz w:val="20"/>
              </w:rPr>
              <w:t xml:space="preserve">du </w:t>
            </w:r>
            <w:r>
              <w:rPr>
                <w:sz w:val="20"/>
              </w:rPr>
              <w:t xml:space="preserve">Centre médical </w:t>
            </w:r>
            <w:r>
              <w:rPr>
                <w:sz w:val="20"/>
              </w:rPr>
              <w:t xml:space="preserve">universitaire VU (</w:t>
            </w:r>
            <w:r>
              <w:rPr>
                <w:sz w:val="20"/>
              </w:rPr>
              <w:t xml:space="preserve">Amsterdam, </w:t>
            </w:r>
            <w:r>
              <w:rPr>
                <w:sz w:val="20"/>
              </w:rPr>
              <w:t xml:space="preserve">Pays-Bas) et a porté sur des </w:t>
            </w:r>
            <w:r>
              <w:rPr>
                <w:sz w:val="20"/>
              </w:rPr>
              <w:t xml:space="preserve">adolescents </w:t>
            </w:r>
            <w:r>
              <w:rPr>
                <w:sz w:val="20"/>
              </w:rPr>
              <w:t xml:space="preserve">souffrant de </w:t>
            </w:r>
            <w:r>
              <w:rPr>
                <w:sz w:val="20"/>
              </w:rPr>
              <w:t xml:space="preserve">dysphorie de </w:t>
            </w:r>
            <w:r>
              <w:rPr>
                <w:sz w:val="20"/>
              </w:rPr>
              <w:t xml:space="preserve">genre</w:t>
            </w:r>
            <w:r>
              <w:rPr>
                <w:sz w:val="20"/>
              </w:rPr>
              <w:t xml:space="preserve">.</w:t>
            </w:r>
          </w:p>
          <w:p>
            <w:pPr>
              <w:pStyle w:val="TableParagraph"/>
              <w:spacing w:before="60"/>
              <w:ind w:start="107" w:end="406"/>
              <w:rPr>
                <w:sz w:val="20"/>
              </w:rPr>
            </w:pPr>
            <w:r>
              <w:rPr>
                <w:sz w:val="20"/>
              </w:rPr>
              <w:t xml:space="preserve">La taille de l'échantillon était de 116 </w:t>
            </w:r>
            <w:r>
              <w:rPr>
                <w:sz w:val="20"/>
              </w:rPr>
              <w:t xml:space="preserve">adolescents </w:t>
            </w:r>
            <w:r>
              <w:rPr>
                <w:sz w:val="20"/>
              </w:rPr>
              <w:t xml:space="preserve">(</w:t>
            </w:r>
            <w:r>
              <w:rPr>
                <w:sz w:val="20"/>
              </w:rPr>
              <w:t xml:space="preserve">âge </w:t>
            </w:r>
            <w:r>
              <w:rPr>
                <w:sz w:val="20"/>
              </w:rPr>
              <w:t xml:space="preserve">médian </w:t>
            </w:r>
            <w:r>
              <w:rPr>
                <w:sz w:val="20"/>
              </w:rPr>
              <w:t xml:space="preserve">[fourchette]).</w:t>
            </w:r>
          </w:p>
          <w:p>
            <w:pPr>
              <w:pStyle w:val="TableParagraph"/>
              <w:ind w:start="107" w:end="109"/>
              <w:rPr>
                <w:sz w:val="20"/>
              </w:rPr>
            </w:pPr>
            <w:r>
              <w:rPr>
                <w:sz w:val="20"/>
              </w:rPr>
              <w:t xml:space="preserve">13,6 ans [11,6 à 17,9] chez les </w:t>
            </w:r>
            <w:r>
              <w:rPr>
                <w:sz w:val="20"/>
              </w:rPr>
              <w:t xml:space="preserve">transfemmes </w:t>
            </w:r>
            <w:r>
              <w:rPr>
                <w:sz w:val="20"/>
              </w:rPr>
              <w:t xml:space="preserve">et </w:t>
            </w:r>
            <w:r>
              <w:rPr>
                <w:sz w:val="20"/>
              </w:rPr>
              <w:t xml:space="preserve">14,2 </w:t>
            </w:r>
            <w:r>
              <w:rPr>
                <w:sz w:val="20"/>
              </w:rPr>
              <w:t xml:space="preserve">ans </w:t>
            </w:r>
            <w:r>
              <w:rPr>
                <w:sz w:val="20"/>
              </w:rPr>
              <w:t xml:space="preserve">[11,1 </w:t>
            </w:r>
            <w:r>
              <w:rPr>
                <w:sz w:val="20"/>
              </w:rPr>
              <w:t xml:space="preserve">à 18,6] chez les transmales au cours de la première </w:t>
            </w:r>
            <w:r>
              <w:rPr>
                <w:sz w:val="20"/>
              </w:rPr>
              <w:t xml:space="preserve">année </w:t>
            </w:r>
            <w:r>
              <w:rPr>
                <w:sz w:val="20"/>
              </w:rPr>
              <w:t xml:space="preserve">de traitement aux </w:t>
            </w:r>
            <w:r>
              <w:rPr>
                <w:sz w:val="20"/>
              </w:rPr>
              <w:t xml:space="preserve">analogues de la </w:t>
            </w:r>
            <w:r>
              <w:rPr>
                <w:sz w:val="20"/>
              </w:rPr>
              <w:t xml:space="preserve">GnRH</w:t>
            </w:r>
            <w:r>
              <w:rPr>
                <w:sz w:val="20"/>
              </w:rPr>
              <w:t xml:space="preserve">) </w:t>
            </w:r>
            <w:r>
              <w:rPr>
                <w:sz w:val="20"/>
              </w:rPr>
              <w:t xml:space="preserve">sur </w:t>
            </w:r>
            <w:r>
              <w:rPr>
                <w:sz w:val="20"/>
              </w:rPr>
              <w:t xml:space="preserve">128 </w:t>
            </w:r>
            <w:r>
              <w:rPr>
                <w:sz w:val="20"/>
              </w:rPr>
              <w:t xml:space="preserve">adolescents ayant commencé à prendre des </w:t>
            </w:r>
            <w:r>
              <w:rPr>
                <w:sz w:val="20"/>
              </w:rPr>
              <w:t xml:space="preserve">analogues de la </w:t>
            </w:r>
            <w:r>
              <w:rPr>
                <w:sz w:val="20"/>
              </w:rPr>
              <w:t xml:space="preserve">GnRH</w:t>
            </w:r>
            <w:r>
              <w:rPr>
                <w:sz w:val="20"/>
              </w:rPr>
              <w:t xml:space="preserve">.</w:t>
            </w:r>
          </w:p>
          <w:p>
            <w:pPr>
              <w:pStyle w:val="TableParagraph"/>
              <w:spacing w:before="61"/>
              <w:ind w:start="107" w:end="274"/>
              <w:rPr>
                <w:sz w:val="20"/>
              </w:rPr>
            </w:pPr>
            <w:r>
              <w:rPr>
                <w:sz w:val="20"/>
              </w:rPr>
              <w:t xml:space="preserve">Les participants ont été inclus s'ils </w:t>
            </w:r>
            <w:r>
              <w:rPr>
                <w:sz w:val="20"/>
              </w:rPr>
              <w:t xml:space="preserve">répondaient aux </w:t>
            </w:r>
            <w:r>
              <w:rPr>
                <w:sz w:val="20"/>
              </w:rPr>
              <w:t xml:space="preserve">critères du </w:t>
            </w:r>
            <w:r>
              <w:rPr>
                <w:sz w:val="20"/>
              </w:rPr>
              <w:t xml:space="preserve">DSM-IV-TR </w:t>
            </w:r>
            <w:r>
              <w:rPr>
                <w:sz w:val="20"/>
              </w:rPr>
              <w:t xml:space="preserve">pour la </w:t>
            </w:r>
            <w:r>
              <w:rPr>
                <w:sz w:val="20"/>
              </w:rPr>
              <w:t xml:space="preserve">dysphorie de </w:t>
            </w:r>
            <w:r>
              <w:rPr>
                <w:sz w:val="20"/>
              </w:rPr>
              <w:t xml:space="preserve">genre</w:t>
            </w:r>
            <w:r>
              <w:rPr>
                <w:sz w:val="20"/>
              </w:rPr>
              <w:t xml:space="preserve">, s'ils souffraient de </w:t>
            </w:r>
            <w:r>
              <w:rPr>
                <w:sz w:val="20"/>
              </w:rPr>
              <w:t xml:space="preserve">dysphorie de genre </w:t>
            </w:r>
            <w:r>
              <w:rPr>
                <w:sz w:val="20"/>
              </w:rPr>
              <w:t xml:space="preserve">extrême tout au long de leur vie</w:t>
            </w:r>
            <w:r>
              <w:rPr>
                <w:sz w:val="20"/>
              </w:rPr>
              <w:t xml:space="preserve">, s'ils étaient </w:t>
            </w:r>
            <w:r>
              <w:rPr>
                <w:sz w:val="20"/>
              </w:rPr>
              <w:t xml:space="preserve">psychologiquement stables et s'ils </w:t>
            </w:r>
            <w:r>
              <w:rPr>
                <w:sz w:val="20"/>
              </w:rPr>
              <w:t xml:space="preserve">vivaient dans un environnement favorable. </w:t>
            </w:r>
            <w:r>
              <w:rPr>
                <w:sz w:val="20"/>
              </w:rPr>
              <w:t xml:space="preserve">Aucun </w:t>
            </w:r>
            <w:r>
              <w:rPr>
                <w:sz w:val="20"/>
              </w:rPr>
              <w:t xml:space="preserve">traitement concomitant </w:t>
            </w:r>
            <w:r>
              <w:rPr>
                <w:sz w:val="20"/>
              </w:rPr>
              <w:t xml:space="preserve">n'a été </w:t>
            </w:r>
            <w:r>
              <w:rPr>
                <w:sz w:val="20"/>
              </w:rPr>
              <w:t xml:space="preserve">signalé.</w:t>
            </w:r>
          </w:p>
        </w:tc>
        <w:tc>
          <w:tcPr>
            <w:tcW w:w="2225" w:type="dxa"/>
          </w:tcPr>
          <w:p>
            <w:pPr>
              <w:pStyle w:val="TableParagraph"/>
              <w:spacing w:before="2"/>
              <w:ind w:start="107"/>
              <w:rPr>
                <w:b/>
                <w:sz w:val="20"/>
              </w:rPr>
            </w:pPr>
            <w:r>
              <w:rPr>
                <w:b/>
                <w:sz w:val="20"/>
              </w:rPr>
              <w:t xml:space="preserve">Intervention</w:t>
            </w:r>
          </w:p>
          <w:p>
            <w:pPr>
              <w:pStyle w:val="TableParagraph"/>
              <w:spacing w:before="58"/>
              <w:ind w:start="107" w:end="213"/>
              <w:rPr>
                <w:sz w:val="20"/>
              </w:rPr>
            </w:pPr>
            <w:r>
              <w:rPr>
                <w:sz w:val="20"/>
              </w:rPr>
              <w:t xml:space="preserve">L'</w:t>
            </w:r>
            <w:r>
              <w:rPr>
                <w:sz w:val="20"/>
              </w:rPr>
              <w:t xml:space="preserve">intervention était une </w:t>
            </w:r>
            <w:r>
              <w:rPr>
                <w:sz w:val="20"/>
              </w:rPr>
              <w:t xml:space="preserve">monothérapie à base </w:t>
            </w:r>
            <w:r>
              <w:rPr>
                <w:sz w:val="20"/>
              </w:rPr>
              <w:t xml:space="preserve">d'analogues de la GnRH </w:t>
            </w:r>
            <w:r>
              <w:rPr>
                <w:sz w:val="20"/>
              </w:rPr>
              <w:t xml:space="preserve">(triptoréline </w:t>
            </w:r>
            <w:r>
              <w:rPr>
                <w:sz w:val="20"/>
              </w:rPr>
              <w:t xml:space="preserve">3,75 </w:t>
            </w:r>
            <w:r>
              <w:rPr>
                <w:sz w:val="20"/>
              </w:rPr>
              <w:t xml:space="preserve">mg </w:t>
            </w:r>
            <w:r>
              <w:rPr>
                <w:sz w:val="20"/>
              </w:rPr>
              <w:t xml:space="preserve">à </w:t>
            </w:r>
            <w:r>
              <w:rPr>
                <w:sz w:val="20"/>
              </w:rPr>
              <w:t xml:space="preserve">0, 2 et 4 semaines</w:t>
            </w:r>
            <w:r>
              <w:rPr>
                <w:sz w:val="20"/>
              </w:rPr>
              <w:t xml:space="preserve">, suivie d'</w:t>
            </w:r>
            <w:r>
              <w:rPr>
                <w:sz w:val="20"/>
              </w:rPr>
              <w:t xml:space="preserve">injections </w:t>
            </w:r>
            <w:r>
              <w:rPr>
                <w:sz w:val="20"/>
              </w:rPr>
              <w:t xml:space="preserve">intramusculaires </w:t>
            </w:r>
            <w:r>
              <w:rPr>
                <w:sz w:val="20"/>
              </w:rPr>
              <w:t xml:space="preserve">toutes les 4 </w:t>
            </w:r>
            <w:r>
              <w:rPr>
                <w:sz w:val="20"/>
              </w:rPr>
              <w:t xml:space="preserve">semaines, pendant au moins 3 </w:t>
            </w:r>
            <w:r>
              <w:rPr>
                <w:sz w:val="20"/>
              </w:rPr>
              <w:t xml:space="preserve">mois).</w:t>
            </w:r>
          </w:p>
          <w:p>
            <w:pPr>
              <w:pStyle w:val="TableParagraph"/>
              <w:spacing w:before="62"/>
              <w:ind w:start="107"/>
              <w:rPr>
                <w:b/>
                <w:sz w:val="20"/>
              </w:rPr>
            </w:pPr>
            <w:r>
              <w:rPr>
                <w:b/>
                <w:sz w:val="20"/>
              </w:rPr>
              <w:t xml:space="preserve">Comparaison</w:t>
            </w:r>
          </w:p>
          <w:p>
            <w:pPr>
              <w:pStyle w:val="TableParagraph"/>
              <w:spacing w:before="60"/>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79"/>
              </w:numPr>
              <w:tabs>
                <w:tab w:val="left" w:pos="437"/>
              </w:tabs>
              <w:spacing w:before="61"/>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58"/>
              <w:ind w:start="107" w:end="774"/>
              <w:rPr>
                <w:b/>
                <w:sz w:val="20"/>
              </w:rPr>
            </w:pPr>
            <w:r>
              <w:rPr>
                <w:b/>
                <w:spacing w:val="-1"/>
                <w:sz w:val="20"/>
              </w:rPr>
              <w:t xml:space="preserve">Résultats </w:t>
            </w:r>
            <w:r>
              <w:rPr>
                <w:b/>
                <w:sz w:val="20"/>
              </w:rPr>
              <w:t xml:space="preserve">importants</w:t>
            </w:r>
          </w:p>
          <w:p>
            <w:pPr>
              <w:pStyle w:val="TableParagraph"/>
              <w:numPr>
                <w:ilvl w:val="0"/>
                <w:numId w:val="179"/>
              </w:numPr>
              <w:tabs>
                <w:tab w:val="left" w:pos="437"/>
              </w:tabs>
              <w:spacing w:before="63" w:line="237" w:lineRule="auto"/>
              <w:ind w:end="356"/>
              <w:rPr>
                <w:sz w:val="20"/>
              </w:rPr>
            </w:pPr>
            <w:r>
              <w:rPr>
                <w:sz w:val="20"/>
              </w:rPr>
              <w:t xml:space="preserve">Sécurité : </w:t>
            </w:r>
            <w:r>
              <w:rPr>
                <w:sz w:val="20"/>
              </w:rPr>
              <w:t xml:space="preserve">fonction </w:t>
            </w:r>
            <w:r>
              <w:rPr>
                <w:sz w:val="20"/>
              </w:rPr>
              <w:t xml:space="preserve">hépatique </w:t>
            </w:r>
            <w:r>
              <w:rPr>
                <w:sz w:val="20"/>
              </w:rPr>
              <w:t xml:space="preserve">et rénale</w:t>
            </w:r>
            <w:r>
              <w:rPr>
                <w:sz w:val="20"/>
              </w:rPr>
              <w:t xml:space="preserve">.</w:t>
            </w:r>
          </w:p>
        </w:tc>
      </w:tr>
      <w:tr w:rsidR="00432386">
        <w:trPr>
          <w:trHeight w:val="6158"/>
        </w:trPr>
        <w:tc>
          <w:tcPr>
            <w:tcW w:w="1697" w:type="dxa"/>
          </w:tcPr>
          <w:p>
            <w:pPr>
              <w:pStyle w:val="TableParagraph"/>
              <w:ind w:start="107" w:end="289"/>
              <w:rPr>
                <w:sz w:val="20"/>
              </w:rPr>
            </w:pPr>
            <w:hyperlink r:id="rId112">
              <w:r>
                <w:rPr>
                  <w:color w:val="0000FF"/>
                  <w:sz w:val="20"/>
                  <w:u w:val="single" w:color="0000FF"/>
                </w:rPr>
                <w:t xml:space="preserve">Staphorsius</w:t>
              </w:r>
              <w:r>
                <w:rPr>
                  <w:color w:val="0000FF"/>
                  <w:sz w:val="20"/>
                  <w:u w:val="single" w:color="0000FF"/>
                </w:rPr>
                <w:t xml:space="preserve">et </w:t>
              </w:r>
            </w:hyperlink>
            <w:hyperlink r:id="rId113">
              <w:r>
                <w:rPr>
                  <w:color w:val="0000FF"/>
                  <w:sz w:val="20"/>
                  <w:u w:val="single" w:color="0000FF"/>
                </w:rPr>
                <w:t xml:space="preserve">al. 2015</w:t>
              </w:r>
            </w:hyperlink>
          </w:p>
          <w:p w:rsidR="00432386" w:rsidRDefault="00432386">
            <w:pPr>
              <w:pStyle w:val="TableParagraph"/>
              <w:spacing w:before="3"/>
              <w:rPr>
                <w:b/>
                <w:sz w:val="30"/>
              </w:rPr>
            </w:pPr>
          </w:p>
          <w:p>
            <w:pPr>
              <w:pStyle w:val="TableParagraph"/>
              <w:ind w:start="107" w:end="196"/>
              <w:rPr>
                <w:sz w:val="20"/>
              </w:rPr>
            </w:pPr>
            <w:r>
              <w:rPr>
                <w:sz w:val="20"/>
              </w:rPr>
              <w:t xml:space="preserve">Évaluation </w:t>
            </w:r>
            <w:r>
              <w:rPr>
                <w:spacing w:val="-1"/>
                <w:sz w:val="20"/>
              </w:rPr>
              <w:t xml:space="preserve">transversale </w:t>
            </w:r>
            <w:r>
              <w:rPr>
                <w:sz w:val="20"/>
              </w:rPr>
              <w:t xml:space="preserve">(</w:t>
            </w:r>
            <w:r>
              <w:rPr>
                <w:sz w:val="20"/>
              </w:rPr>
              <w:t xml:space="preserve">point </w:t>
            </w:r>
            <w:r>
              <w:rPr>
                <w:sz w:val="20"/>
              </w:rPr>
              <w:t xml:space="preserve">temporel unique</w:t>
            </w:r>
            <w:r>
              <w:rPr>
                <w:sz w:val="20"/>
              </w:rPr>
              <w:t xml:space="preserve">) </w:t>
            </w:r>
            <w:r>
              <w:rPr>
                <w:sz w:val="20"/>
              </w:rPr>
              <w:t xml:space="preserve">Étude </w:t>
            </w:r>
            <w:r>
              <w:rPr>
                <w:sz w:val="20"/>
              </w:rPr>
              <w:t xml:space="preserve">monocentrique</w:t>
            </w:r>
          </w:p>
          <w:p w:rsidR="00432386" w:rsidRDefault="00432386">
            <w:pPr>
              <w:pStyle w:val="TableParagraph"/>
              <w:spacing w:before="6"/>
              <w:rPr>
                <w:b/>
                <w:sz w:val="30"/>
              </w:rPr>
            </w:pPr>
          </w:p>
          <w:p>
            <w:pPr>
              <w:pStyle w:val="TableParagraph"/>
              <w:ind w:start="107"/>
              <w:rPr>
                <w:sz w:val="20"/>
              </w:rPr>
            </w:pPr>
            <w:r>
              <w:rPr>
                <w:sz w:val="20"/>
              </w:rPr>
              <w:t xml:space="preserve">Pays-Bas</w:t>
            </w:r>
          </w:p>
        </w:tc>
        <w:tc>
          <w:tcPr>
            <w:tcW w:w="3440" w:type="dxa"/>
          </w:tcPr>
          <w:p>
            <w:pPr>
              <w:pStyle w:val="TableParagraph"/>
              <w:ind w:start="107" w:end="135"/>
              <w:rPr>
                <w:sz w:val="20"/>
              </w:rPr>
            </w:pPr>
            <w:r>
              <w:rPr>
                <w:sz w:val="20"/>
              </w:rPr>
              <w:t xml:space="preserve">Cette </w:t>
            </w:r>
            <w:r>
              <w:rPr>
                <w:sz w:val="20"/>
              </w:rPr>
              <w:t xml:space="preserve">étude a </w:t>
            </w:r>
            <w:r>
              <w:rPr>
                <w:sz w:val="20"/>
              </w:rPr>
              <w:t xml:space="preserve">été </w:t>
            </w:r>
            <w:r>
              <w:rPr>
                <w:sz w:val="20"/>
              </w:rPr>
              <w:t xml:space="preserve">menée </w:t>
            </w:r>
            <w:r>
              <w:rPr>
                <w:sz w:val="20"/>
              </w:rPr>
              <w:t xml:space="preserve">au </w:t>
            </w:r>
            <w:r>
              <w:rPr>
                <w:sz w:val="20"/>
              </w:rPr>
              <w:t xml:space="preserve">centre médical universitaire </w:t>
            </w:r>
            <w:r>
              <w:rPr>
                <w:sz w:val="20"/>
              </w:rPr>
              <w:t xml:space="preserve">VU (</w:t>
            </w:r>
            <w:r>
              <w:rPr>
                <w:sz w:val="20"/>
              </w:rPr>
              <w:t xml:space="preserve">Amsterdam, Pays-Bas) et </w:t>
            </w:r>
            <w:r>
              <w:rPr>
                <w:sz w:val="20"/>
              </w:rPr>
              <w:t xml:space="preserve">portait sur des adolescents souffrant de </w:t>
            </w:r>
            <w:r>
              <w:rPr>
                <w:sz w:val="20"/>
              </w:rPr>
              <w:t xml:space="preserve">dysphorie de </w:t>
            </w:r>
            <w:r>
              <w:rPr>
                <w:sz w:val="20"/>
              </w:rPr>
              <w:t xml:space="preserve">genre</w:t>
            </w:r>
            <w:r>
              <w:rPr>
                <w:sz w:val="20"/>
              </w:rPr>
              <w:t xml:space="preserve">.</w:t>
            </w:r>
          </w:p>
          <w:p>
            <w:pPr>
              <w:pStyle w:val="TableParagraph"/>
              <w:spacing w:before="59"/>
              <w:ind w:start="107" w:end="237"/>
              <w:rPr>
                <w:sz w:val="20"/>
              </w:rPr>
            </w:pPr>
            <w:r>
              <w:rPr>
                <w:sz w:val="20"/>
              </w:rPr>
              <w:t xml:space="preserve">La taille de l'échantillon était de 85, dont </w:t>
            </w:r>
            <w:r>
              <w:rPr>
                <w:sz w:val="20"/>
              </w:rPr>
              <w:t xml:space="preserve">40 adolescents souffrant de </w:t>
            </w:r>
            <w:r>
              <w:rPr>
                <w:sz w:val="20"/>
              </w:rPr>
              <w:t xml:space="preserve">dysphorie </w:t>
            </w:r>
            <w:r>
              <w:rPr>
                <w:sz w:val="20"/>
              </w:rPr>
              <w:t xml:space="preserve">de genre </w:t>
            </w:r>
            <w:r>
              <w:rPr>
                <w:sz w:val="20"/>
              </w:rPr>
              <w:t xml:space="preserve">(dont 20 étaient </w:t>
            </w:r>
            <w:r>
              <w:rPr>
                <w:sz w:val="20"/>
              </w:rPr>
              <w:t xml:space="preserve">traités </w:t>
            </w:r>
            <w:r>
              <w:rPr>
                <w:sz w:val="20"/>
              </w:rPr>
              <w:t xml:space="preserve">avec des </w:t>
            </w:r>
            <w:r>
              <w:rPr>
                <w:sz w:val="20"/>
              </w:rPr>
              <w:t xml:space="preserve">analogues de la </w:t>
            </w:r>
            <w:r>
              <w:rPr>
                <w:sz w:val="20"/>
              </w:rPr>
              <w:t xml:space="preserve">GnRH</w:t>
            </w:r>
            <w:r>
              <w:rPr>
                <w:sz w:val="20"/>
              </w:rPr>
              <w:t xml:space="preserve">) </w:t>
            </w:r>
            <w:r>
              <w:rPr>
                <w:sz w:val="20"/>
              </w:rPr>
              <w:t xml:space="preserve">et </w:t>
            </w:r>
            <w:r>
              <w:rPr>
                <w:sz w:val="20"/>
              </w:rPr>
              <w:t xml:space="preserve">45 témoins sans </w:t>
            </w:r>
            <w:r>
              <w:rPr>
                <w:sz w:val="20"/>
              </w:rPr>
              <w:t xml:space="preserve">dysphorie de </w:t>
            </w:r>
            <w:r>
              <w:rPr>
                <w:sz w:val="20"/>
              </w:rPr>
              <w:t xml:space="preserve">genre </w:t>
            </w:r>
            <w:r>
              <w:rPr>
                <w:sz w:val="20"/>
              </w:rPr>
              <w:t xml:space="preserve">(non </w:t>
            </w:r>
            <w:r>
              <w:rPr>
                <w:sz w:val="20"/>
              </w:rPr>
              <w:t xml:space="preserve">rapportés </w:t>
            </w:r>
            <w:r>
              <w:rPr>
                <w:sz w:val="20"/>
              </w:rPr>
              <w:t xml:space="preserve">ici). Âge moyen (±SD) 15,1 (±2,4) </w:t>
            </w:r>
            <w:r>
              <w:rPr>
                <w:sz w:val="20"/>
              </w:rPr>
              <w:t xml:space="preserve">ans chez les transfemmes et 15,8 </w:t>
            </w:r>
            <w:r>
              <w:rPr>
                <w:sz w:val="20"/>
              </w:rPr>
              <w:t xml:space="preserve">(±1,9) ans chez les transmales. Les détails </w:t>
            </w:r>
            <w:r>
              <w:rPr>
                <w:sz w:val="20"/>
              </w:rPr>
              <w:t xml:space="preserve">de la base de sondage ne sont pas </w:t>
            </w:r>
            <w:r>
              <w:rPr>
                <w:sz w:val="20"/>
              </w:rPr>
              <w:t xml:space="preserve">rapportés.</w:t>
            </w:r>
          </w:p>
          <w:p>
            <w:pPr>
              <w:pStyle w:val="TableParagraph"/>
              <w:spacing w:before="60"/>
              <w:ind w:start="107" w:end="135"/>
              <w:rPr>
                <w:sz w:val="20"/>
              </w:rPr>
            </w:pPr>
            <w:r>
              <w:rPr>
                <w:sz w:val="20"/>
              </w:rPr>
              <w:t xml:space="preserve">Les participants ont été inclus s'ils avaient reçu </w:t>
            </w:r>
            <w:r>
              <w:rPr>
                <w:sz w:val="20"/>
              </w:rPr>
              <w:t xml:space="preserve">un diagnostic de </w:t>
            </w:r>
            <w:r>
              <w:rPr>
                <w:sz w:val="20"/>
              </w:rPr>
              <w:t xml:space="preserve">trouble de l'identité </w:t>
            </w:r>
            <w:r>
              <w:rPr>
                <w:sz w:val="20"/>
              </w:rPr>
              <w:t xml:space="preserve">sexuelle selon le </w:t>
            </w:r>
            <w:r>
              <w:rPr>
                <w:sz w:val="20"/>
              </w:rPr>
              <w:t xml:space="preserve">DSM-IV-TR, s'ils étaient âgés d'au moins 12 ans </w:t>
            </w:r>
            <w:r>
              <w:rPr>
                <w:sz w:val="20"/>
              </w:rPr>
              <w:t xml:space="preserve">et si le stade de Tanner était au moins B2 </w:t>
            </w:r>
            <w:r>
              <w:rPr>
                <w:sz w:val="20"/>
              </w:rPr>
              <w:t xml:space="preserve">ou G2 à G3 avec des </w:t>
            </w:r>
            <w:r>
              <w:rPr>
                <w:sz w:val="20"/>
              </w:rPr>
              <w:t xml:space="preserve">taux d'</w:t>
            </w:r>
            <w:r>
              <w:rPr>
                <w:sz w:val="20"/>
              </w:rPr>
              <w:t xml:space="preserve">œstradiol </w:t>
            </w:r>
            <w:r>
              <w:rPr>
                <w:sz w:val="20"/>
              </w:rPr>
              <w:t xml:space="preserve">et de </w:t>
            </w:r>
            <w:r>
              <w:rPr>
                <w:sz w:val="20"/>
              </w:rPr>
              <w:t xml:space="preserve">testostérone </w:t>
            </w:r>
            <w:r>
              <w:rPr>
                <w:sz w:val="20"/>
              </w:rPr>
              <w:t xml:space="preserve">mesurables </w:t>
            </w:r>
            <w:r>
              <w:rPr>
                <w:sz w:val="20"/>
              </w:rPr>
              <w:t xml:space="preserve">chez les </w:t>
            </w:r>
            <w:r>
              <w:rPr>
                <w:sz w:val="20"/>
              </w:rPr>
              <w:t xml:space="preserve">filles et les garçons, respectivement. Aucun </w:t>
            </w:r>
            <w:r>
              <w:rPr>
                <w:sz w:val="20"/>
              </w:rPr>
              <w:t xml:space="preserve">traitement concomitant </w:t>
            </w:r>
            <w:r>
              <w:rPr>
                <w:sz w:val="20"/>
              </w:rPr>
              <w:t xml:space="preserve">n'a été </w:t>
            </w:r>
            <w:r>
              <w:rPr>
                <w:sz w:val="20"/>
              </w:rPr>
              <w:t xml:space="preserve">signalé.</w:t>
            </w:r>
          </w:p>
        </w:tc>
        <w:tc>
          <w:tcPr>
            <w:tcW w:w="2225" w:type="dxa"/>
          </w:tcPr>
          <w:p>
            <w:pPr>
              <w:pStyle w:val="TableParagraph"/>
              <w:spacing w:line="229" w:lineRule="exact"/>
              <w:ind w:start="107"/>
              <w:rPr>
                <w:b/>
                <w:sz w:val="20"/>
              </w:rPr>
            </w:pPr>
            <w:r>
              <w:rPr>
                <w:b/>
                <w:sz w:val="20"/>
              </w:rPr>
              <w:t xml:space="preserve">Intervention</w:t>
            </w:r>
          </w:p>
          <w:p>
            <w:pPr>
              <w:pStyle w:val="TableParagraph"/>
              <w:spacing w:before="60"/>
              <w:ind w:start="107" w:end="257"/>
              <w:rPr>
                <w:sz w:val="20"/>
              </w:rPr>
            </w:pPr>
            <w:r>
              <w:rPr>
                <w:sz w:val="20"/>
              </w:rPr>
              <w:t xml:space="preserve">L'</w:t>
            </w:r>
            <w:r>
              <w:rPr>
                <w:sz w:val="20"/>
              </w:rPr>
              <w:t xml:space="preserve">intervention </w:t>
            </w:r>
            <w:r>
              <w:rPr>
                <w:sz w:val="20"/>
              </w:rPr>
              <w:t xml:space="preserve">était </w:t>
            </w:r>
            <w:r>
              <w:rPr>
                <w:sz w:val="20"/>
              </w:rPr>
              <w:t xml:space="preserve">un analogue de la GnRH </w:t>
            </w:r>
            <w:r>
              <w:rPr>
                <w:sz w:val="20"/>
              </w:rPr>
              <w:t xml:space="preserve">(</w:t>
            </w:r>
            <w:r>
              <w:rPr>
                <w:sz w:val="20"/>
              </w:rPr>
              <w:t xml:space="preserve">triptoréline </w:t>
            </w:r>
            <w:r>
              <w:rPr>
                <w:sz w:val="20"/>
              </w:rPr>
              <w:t xml:space="preserve">3,75 </w:t>
            </w:r>
            <w:r>
              <w:rPr>
                <w:sz w:val="20"/>
              </w:rPr>
              <w:t xml:space="preserve">mg</w:t>
            </w:r>
          </w:p>
          <w:p>
            <w:pPr>
              <w:pStyle w:val="TableParagraph"/>
              <w:ind w:start="107" w:end="232"/>
              <w:rPr>
                <w:sz w:val="20"/>
              </w:rPr>
            </w:pPr>
            <w:r>
              <w:rPr>
                <w:sz w:val="20"/>
              </w:rPr>
              <w:t xml:space="preserve">toutes les 4 semaines par </w:t>
            </w:r>
            <w:r>
              <w:rPr>
                <w:sz w:val="20"/>
              </w:rPr>
              <w:t xml:space="preserve">voie sous-cutanée ou </w:t>
            </w:r>
            <w:r>
              <w:rPr>
                <w:sz w:val="20"/>
              </w:rPr>
              <w:t xml:space="preserve">intramusculaire). </w:t>
            </w:r>
            <w:r>
              <w:rPr>
                <w:sz w:val="20"/>
              </w:rPr>
              <w:t xml:space="preserve">La </w:t>
            </w:r>
            <w:r>
              <w:rPr>
                <w:sz w:val="20"/>
              </w:rPr>
              <w:t xml:space="preserve">durée moyenne du </w:t>
            </w:r>
            <w:r>
              <w:rPr>
                <w:sz w:val="20"/>
              </w:rPr>
              <w:t xml:space="preserve">traitement </w:t>
            </w:r>
            <w:r>
              <w:rPr>
                <w:sz w:val="20"/>
              </w:rPr>
              <w:t xml:space="preserve">était de </w:t>
            </w:r>
            <w:r>
              <w:rPr>
                <w:sz w:val="20"/>
              </w:rPr>
              <w:t xml:space="preserve">1,6</w:t>
            </w:r>
          </w:p>
          <w:p>
            <w:pPr>
              <w:pStyle w:val="TableParagraph"/>
              <w:spacing w:line="230" w:lineRule="exact"/>
              <w:ind w:start="107"/>
              <w:rPr>
                <w:sz w:val="20"/>
              </w:rPr>
            </w:pPr>
            <w:r>
              <w:rPr>
                <w:sz w:val="20"/>
              </w:rPr>
              <w:t xml:space="preserve">ans </w:t>
            </w:r>
            <w:r>
              <w:rPr>
                <w:sz w:val="20"/>
              </w:rPr>
              <w:t xml:space="preserve">(SD </w:t>
            </w:r>
            <w:r>
              <w:rPr>
                <w:sz w:val="20"/>
              </w:rPr>
              <w:t xml:space="preserve">±1,0).</w:t>
            </w:r>
          </w:p>
          <w:p>
            <w:pPr>
              <w:pStyle w:val="TableParagraph"/>
              <w:spacing w:before="60"/>
              <w:ind w:start="107"/>
              <w:rPr>
                <w:b/>
                <w:sz w:val="20"/>
              </w:rPr>
            </w:pPr>
            <w:r>
              <w:rPr>
                <w:b/>
                <w:sz w:val="20"/>
              </w:rPr>
              <w:t xml:space="preserve">Comparaison</w:t>
            </w:r>
          </w:p>
          <w:p>
            <w:pPr>
              <w:pStyle w:val="TableParagraph"/>
              <w:spacing w:before="60"/>
              <w:ind w:start="107" w:end="222"/>
              <w:rPr>
                <w:sz w:val="20"/>
              </w:rPr>
            </w:pPr>
            <w:r>
              <w:rPr>
                <w:sz w:val="20"/>
              </w:rPr>
              <w:t xml:space="preserve">Adolescents présentant une </w:t>
            </w:r>
            <w:r>
              <w:rPr>
                <w:sz w:val="20"/>
              </w:rPr>
              <w:t xml:space="preserve">dysphorie de </w:t>
            </w:r>
            <w:r>
              <w:rPr>
                <w:sz w:val="20"/>
              </w:rPr>
              <w:t xml:space="preserve">genre </w:t>
            </w:r>
            <w:r>
              <w:rPr>
                <w:sz w:val="20"/>
              </w:rPr>
              <w:t xml:space="preserve">non </w:t>
            </w:r>
            <w:r>
              <w:rPr>
                <w:sz w:val="20"/>
              </w:rPr>
              <w:t xml:space="preserve">traitée par des </w:t>
            </w:r>
            <w:r>
              <w:rPr>
                <w:sz w:val="20"/>
              </w:rPr>
              <w:t xml:space="preserve">analogues de la </w:t>
            </w:r>
            <w:r>
              <w:rPr>
                <w:sz w:val="20"/>
              </w:rPr>
              <w:t xml:space="preserve">GnRH</w:t>
            </w:r>
            <w:r>
              <w:rPr>
                <w:sz w:val="20"/>
              </w:rPr>
              <w:t xml:space="preserve">.</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78"/>
              </w:numPr>
              <w:tabs>
                <w:tab w:val="left" w:pos="437"/>
              </w:tabs>
              <w:spacing w:before="63" w:line="237" w:lineRule="auto"/>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62"/>
              <w:ind w:start="107" w:end="774"/>
              <w:rPr>
                <w:b/>
                <w:sz w:val="20"/>
              </w:rPr>
            </w:pPr>
            <w:r>
              <w:rPr>
                <w:b/>
                <w:spacing w:val="-1"/>
                <w:sz w:val="20"/>
              </w:rPr>
              <w:t xml:space="preserve">Résultats </w:t>
            </w:r>
            <w:r>
              <w:rPr>
                <w:b/>
                <w:sz w:val="20"/>
              </w:rPr>
              <w:t xml:space="preserve">importants</w:t>
            </w:r>
          </w:p>
          <w:p>
            <w:pPr>
              <w:pStyle w:val="TableParagraph"/>
              <w:numPr>
                <w:ilvl w:val="0"/>
                <w:numId w:val="178"/>
              </w:numPr>
              <w:tabs>
                <w:tab w:val="left" w:pos="437"/>
              </w:tabs>
              <w:spacing w:before="60"/>
              <w:ind w:end="235"/>
              <w:rPr>
                <w:sz w:val="20"/>
              </w:rPr>
            </w:pPr>
            <w:r>
              <w:rPr>
                <w:sz w:val="20"/>
              </w:rPr>
              <w:t xml:space="preserve">Impact </w:t>
            </w:r>
            <w:r>
              <w:rPr>
                <w:spacing w:val="-1"/>
                <w:sz w:val="20"/>
              </w:rPr>
              <w:t xml:space="preserve">psychosocial</w:t>
            </w:r>
          </w:p>
          <w:p>
            <w:pPr>
              <w:pStyle w:val="TableParagraph"/>
              <w:numPr>
                <w:ilvl w:val="0"/>
                <w:numId w:val="178"/>
              </w:numPr>
              <w:tabs>
                <w:tab w:val="left" w:pos="437"/>
              </w:tabs>
              <w:spacing w:before="62" w:line="237" w:lineRule="auto"/>
              <w:ind w:end="434"/>
              <w:rPr>
                <w:sz w:val="20"/>
              </w:rPr>
            </w:pPr>
            <w:r>
              <w:rPr>
                <w:sz w:val="20"/>
              </w:rPr>
              <w:t xml:space="preserve">Sécurité : </w:t>
            </w:r>
            <w:r>
              <w:rPr>
                <w:spacing w:val="-1"/>
                <w:sz w:val="20"/>
              </w:rPr>
              <w:t xml:space="preserve">fonctionnement </w:t>
            </w:r>
            <w:r>
              <w:rPr>
                <w:sz w:val="20"/>
              </w:rPr>
              <w:t xml:space="preserve">cognitif</w:t>
            </w:r>
          </w:p>
        </w:tc>
      </w:tr>
      <w:tr w:rsidR="00432386">
        <w:trPr>
          <w:trHeight w:val="2080"/>
        </w:trPr>
        <w:tc>
          <w:tcPr>
            <w:tcW w:w="1697" w:type="dxa"/>
          </w:tcPr>
          <w:p>
            <w:pPr>
              <w:pStyle w:val="TableParagraph"/>
              <w:spacing w:before="2"/>
              <w:ind w:start="107"/>
              <w:jc w:val="both"/>
              <w:rPr>
                <w:sz w:val="20"/>
              </w:rPr>
            </w:pPr>
            <w:hyperlink r:id="rId114">
              <w:r>
                <w:rPr>
                  <w:color w:val="0000FF"/>
                  <w:sz w:val="20"/>
                  <w:u w:val="single" w:color="0000FF"/>
                </w:rPr>
                <w:t xml:space="preserve">Vlot </w:t>
              </w:r>
              <w:r>
                <w:rPr>
                  <w:color w:val="0000FF"/>
                  <w:sz w:val="20"/>
                  <w:u w:val="single" w:color="0000FF"/>
                </w:rPr>
                <w:t xml:space="preserve">et </w:t>
              </w:r>
              <w:r>
                <w:rPr>
                  <w:color w:val="0000FF"/>
                  <w:sz w:val="20"/>
                  <w:u w:val="single" w:color="0000FF"/>
                </w:rPr>
                <w:t xml:space="preserve">al. </w:t>
              </w:r>
              <w:r>
                <w:rPr>
                  <w:color w:val="0000FF"/>
                  <w:sz w:val="20"/>
                  <w:u w:val="single" w:color="0000FF"/>
                </w:rPr>
                <w:t xml:space="preserve">2017</w:t>
              </w:r>
            </w:hyperlink>
          </w:p>
          <w:p w:rsidR="00432386" w:rsidRDefault="00432386">
            <w:pPr>
              <w:pStyle w:val="TableParagraph"/>
              <w:spacing w:before="3"/>
              <w:rPr>
                <w:b/>
                <w:sz w:val="30"/>
              </w:rPr>
            </w:pPr>
          </w:p>
          <w:p>
            <w:pPr>
              <w:pStyle w:val="TableParagraph"/>
              <w:spacing w:before="1"/>
              <w:ind w:start="107" w:end="356"/>
              <w:jc w:val="both"/>
              <w:rPr>
                <w:sz w:val="20"/>
              </w:rPr>
            </w:pPr>
            <w:r>
              <w:rPr>
                <w:sz w:val="20"/>
              </w:rPr>
              <w:t xml:space="preserve">Étude </w:t>
            </w:r>
            <w:r>
              <w:rPr>
                <w:spacing w:val="-1"/>
                <w:sz w:val="20"/>
              </w:rPr>
              <w:t xml:space="preserve">rétrospective </w:t>
            </w:r>
            <w:r>
              <w:rPr>
                <w:sz w:val="20"/>
              </w:rPr>
              <w:t xml:space="preserve">d'analyse de données d'</w:t>
            </w:r>
            <w:r>
              <w:rPr>
                <w:sz w:val="20"/>
              </w:rPr>
              <w:t xml:space="preserve">observation</w:t>
            </w:r>
          </w:p>
        </w:tc>
        <w:tc>
          <w:tcPr>
            <w:tcW w:w="3440" w:type="dxa"/>
          </w:tcPr>
          <w:p>
            <w:pPr>
              <w:pStyle w:val="TableParagraph"/>
              <w:ind w:start="107" w:end="132"/>
              <w:rPr>
                <w:sz w:val="20"/>
              </w:rPr>
            </w:pPr>
            <w:r>
              <w:rPr>
                <w:sz w:val="20"/>
              </w:rPr>
              <w:t xml:space="preserve">Cette </w:t>
            </w:r>
            <w:r>
              <w:rPr>
                <w:sz w:val="20"/>
              </w:rPr>
              <w:t xml:space="preserve">étude a </w:t>
            </w:r>
            <w:r>
              <w:rPr>
                <w:sz w:val="20"/>
              </w:rPr>
              <w:t xml:space="preserve">été </w:t>
            </w:r>
            <w:r>
              <w:rPr>
                <w:sz w:val="20"/>
              </w:rPr>
              <w:t xml:space="preserve">menée </w:t>
            </w:r>
            <w:r>
              <w:rPr>
                <w:sz w:val="20"/>
              </w:rPr>
              <w:t xml:space="preserve">au </w:t>
            </w:r>
            <w:r>
              <w:rPr>
                <w:sz w:val="20"/>
              </w:rPr>
              <w:t xml:space="preserve">centre médical universitaire </w:t>
            </w:r>
            <w:r>
              <w:rPr>
                <w:sz w:val="20"/>
              </w:rPr>
              <w:t xml:space="preserve">VU (</w:t>
            </w:r>
            <w:r>
              <w:rPr>
                <w:sz w:val="20"/>
              </w:rPr>
              <w:t xml:space="preserve">Amsterdam, Pays-Bas) et </w:t>
            </w:r>
            <w:r>
              <w:rPr>
                <w:sz w:val="20"/>
              </w:rPr>
              <w:t xml:space="preserve">portait sur des adolescents souffrant de </w:t>
            </w:r>
            <w:r>
              <w:rPr>
                <w:sz w:val="20"/>
              </w:rPr>
              <w:t xml:space="preserve">dysphorie de </w:t>
            </w:r>
            <w:r>
              <w:rPr>
                <w:sz w:val="20"/>
              </w:rPr>
              <w:t xml:space="preserve">genre</w:t>
            </w:r>
            <w:r>
              <w:rPr>
                <w:sz w:val="20"/>
              </w:rPr>
              <w:t xml:space="preserve">.</w:t>
            </w:r>
          </w:p>
          <w:p>
            <w:pPr>
              <w:pStyle w:val="TableParagraph"/>
              <w:spacing w:before="64" w:line="237" w:lineRule="auto"/>
              <w:ind w:start="107" w:end="408"/>
              <w:rPr>
                <w:sz w:val="20"/>
              </w:rPr>
            </w:pPr>
            <w:r>
              <w:rPr>
                <w:sz w:val="20"/>
              </w:rPr>
              <w:t xml:space="preserve">La taille de l'échantillon était de 70 </w:t>
            </w:r>
            <w:r>
              <w:rPr>
                <w:sz w:val="20"/>
              </w:rPr>
              <w:t xml:space="preserve">adolescents </w:t>
            </w:r>
            <w:r>
              <w:rPr>
                <w:sz w:val="20"/>
              </w:rPr>
              <w:t xml:space="preserve">(</w:t>
            </w:r>
            <w:r>
              <w:rPr>
                <w:sz w:val="20"/>
              </w:rPr>
              <w:t xml:space="preserve">âge </w:t>
            </w:r>
            <w:r>
              <w:rPr>
                <w:sz w:val="20"/>
              </w:rPr>
              <w:t xml:space="preserve">médian </w:t>
            </w:r>
            <w:r>
              <w:rPr>
                <w:sz w:val="20"/>
              </w:rPr>
              <w:t xml:space="preserve">[fourchette]).</w:t>
            </w:r>
          </w:p>
          <w:p>
            <w:pPr>
              <w:pStyle w:val="TableParagraph"/>
              <w:spacing w:before="1"/>
              <w:ind w:start="107"/>
              <w:rPr>
                <w:sz w:val="20"/>
              </w:rPr>
            </w:pPr>
            <w:r>
              <w:rPr>
                <w:sz w:val="20"/>
              </w:rPr>
              <w:t xml:space="preserve">15,1 </w:t>
            </w:r>
            <w:r>
              <w:rPr>
                <w:sz w:val="20"/>
              </w:rPr>
              <w:t xml:space="preserve">années </w:t>
            </w:r>
            <w:r>
              <w:rPr>
                <w:sz w:val="20"/>
              </w:rPr>
              <w:t xml:space="preserve">[11,7 </w:t>
            </w:r>
            <w:r>
              <w:rPr>
                <w:sz w:val="20"/>
              </w:rPr>
              <w:t xml:space="preserve">à </w:t>
            </w:r>
            <w:r>
              <w:rPr>
                <w:sz w:val="20"/>
              </w:rPr>
              <w:t xml:space="preserve">18,6] </w:t>
            </w:r>
            <w:r>
              <w:rPr>
                <w:sz w:val="20"/>
              </w:rPr>
              <w:t xml:space="preserve">pour</w:t>
            </w:r>
          </w:p>
        </w:tc>
        <w:tc>
          <w:tcPr>
            <w:tcW w:w="2225" w:type="dxa"/>
          </w:tcPr>
          <w:p>
            <w:pPr>
              <w:pStyle w:val="TableParagraph"/>
              <w:spacing w:before="2"/>
              <w:ind w:start="107"/>
              <w:rPr>
                <w:b/>
                <w:sz w:val="20"/>
              </w:rPr>
            </w:pPr>
            <w:r>
              <w:rPr>
                <w:b/>
                <w:sz w:val="20"/>
              </w:rPr>
              <w:t xml:space="preserve">Intervention</w:t>
            </w:r>
          </w:p>
          <w:p>
            <w:pPr>
              <w:pStyle w:val="TableParagraph"/>
              <w:spacing w:before="58"/>
              <w:ind w:start="107" w:end="257"/>
              <w:rPr>
                <w:sz w:val="20"/>
              </w:rPr>
            </w:pPr>
            <w:r>
              <w:rPr>
                <w:sz w:val="20"/>
              </w:rPr>
              <w:t xml:space="preserve">L'</w:t>
            </w:r>
            <w:r>
              <w:rPr>
                <w:sz w:val="20"/>
              </w:rPr>
              <w:t xml:space="preserve">intervention </w:t>
            </w:r>
            <w:r>
              <w:rPr>
                <w:sz w:val="20"/>
              </w:rPr>
              <w:t xml:space="preserve">était </w:t>
            </w:r>
            <w:r>
              <w:rPr>
                <w:sz w:val="20"/>
              </w:rPr>
              <w:t xml:space="preserve">un analogue de la GnRH </w:t>
            </w:r>
            <w:r>
              <w:rPr>
                <w:sz w:val="20"/>
              </w:rPr>
              <w:t xml:space="preserve">(triptoréline </w:t>
            </w:r>
            <w:r>
              <w:rPr>
                <w:sz w:val="20"/>
              </w:rPr>
              <w:t xml:space="preserve">3,75 </w:t>
            </w:r>
            <w:r>
              <w:rPr>
                <w:sz w:val="20"/>
              </w:rPr>
              <w:t xml:space="preserve">mg</w:t>
            </w:r>
          </w:p>
          <w:p>
            <w:pPr>
              <w:pStyle w:val="TableParagraph"/>
              <w:spacing w:before="1"/>
              <w:ind w:start="107" w:end="591"/>
              <w:rPr>
                <w:sz w:val="20"/>
              </w:rPr>
            </w:pPr>
            <w:r>
              <w:rPr>
                <w:sz w:val="20"/>
              </w:rPr>
              <w:t xml:space="preserve">toutes les 4 semaines </w:t>
            </w:r>
            <w:r>
              <w:rPr>
                <w:spacing w:val="-1"/>
                <w:sz w:val="20"/>
              </w:rPr>
              <w:t xml:space="preserve">par voie sous-cutanée).</w:t>
            </w:r>
          </w:p>
          <w:p>
            <w:pPr>
              <w:pStyle w:val="TableParagraph"/>
              <w:spacing w:before="61"/>
              <w:ind w:start="107"/>
              <w:rPr>
                <w:b/>
                <w:sz w:val="20"/>
              </w:rPr>
            </w:pPr>
            <w:r>
              <w:rPr>
                <w:b/>
                <w:sz w:val="20"/>
              </w:rPr>
              <w:t xml:space="preserve">Comparaison</w:t>
            </w:r>
          </w:p>
          <w:p>
            <w:pPr>
              <w:pStyle w:val="TableParagraph"/>
              <w:spacing w:before="58"/>
              <w:ind w:start="107"/>
              <w:rPr>
                <w:sz w:val="20"/>
              </w:rPr>
            </w:pPr>
            <w:r>
              <w:rPr>
                <w:sz w:val="20"/>
              </w:rPr>
              <w:t xml:space="preserve">Pas de </w:t>
            </w:r>
            <w:r>
              <w:rPr>
                <w:sz w:val="20"/>
              </w:rPr>
              <w:t xml:space="preserve">comparateur.</w:t>
            </w:r>
          </w:p>
        </w:tc>
        <w:tc>
          <w:tcPr>
            <w:tcW w:w="1848" w:type="dxa"/>
          </w:tcPr>
          <w:p>
            <w:pPr>
              <w:pStyle w:val="TableParagraph"/>
              <w:ind w:start="107" w:end="740"/>
              <w:rPr>
                <w:b/>
                <w:sz w:val="20"/>
              </w:rPr>
            </w:pPr>
            <w:r>
              <w:rPr>
                <w:b/>
                <w:spacing w:val="-1"/>
                <w:sz w:val="20"/>
              </w:rPr>
              <w:t xml:space="preserve">Résultats </w:t>
            </w:r>
            <w:r>
              <w:rPr>
                <w:b/>
                <w:sz w:val="20"/>
              </w:rPr>
              <w:t xml:space="preserve">critiques</w:t>
            </w:r>
          </w:p>
          <w:p>
            <w:pPr>
              <w:pStyle w:val="TableParagraph"/>
              <w:numPr>
                <w:ilvl w:val="0"/>
                <w:numId w:val="177"/>
              </w:numPr>
              <w:tabs>
                <w:tab w:val="left" w:pos="437"/>
              </w:tabs>
              <w:spacing w:before="61"/>
              <w:ind w:end="523"/>
              <w:jc w:val="both"/>
              <w:rPr>
                <w:sz w:val="20"/>
              </w:rPr>
            </w:pPr>
            <w:r>
              <w:rPr>
                <w:sz w:val="20"/>
              </w:rPr>
              <w:t xml:space="preserve">Pas de </w:t>
            </w:r>
            <w:r>
              <w:rPr>
                <w:sz w:val="20"/>
              </w:rPr>
              <w:t xml:space="preserve">résultats </w:t>
            </w:r>
            <w:r>
              <w:rPr>
                <w:sz w:val="20"/>
              </w:rPr>
              <w:t xml:space="preserve">critiques </w:t>
            </w:r>
            <w:r>
              <w:rPr>
                <w:sz w:val="20"/>
              </w:rPr>
              <w:t xml:space="preserve">rapportés</w:t>
            </w:r>
          </w:p>
          <w:p>
            <w:pPr>
              <w:pStyle w:val="TableParagraph"/>
              <w:spacing w:before="58"/>
              <w:ind w:start="107" w:end="774"/>
              <w:rPr>
                <w:b/>
                <w:sz w:val="20"/>
              </w:rPr>
            </w:pPr>
            <w:r>
              <w:rPr>
                <w:b/>
                <w:spacing w:val="-1"/>
                <w:sz w:val="20"/>
              </w:rPr>
              <w:t xml:space="preserve">Résultats </w:t>
            </w:r>
            <w:r>
              <w:rPr>
                <w:b/>
                <w:sz w:val="20"/>
              </w:rPr>
              <w:t xml:space="preserve">importants</w:t>
            </w:r>
          </w:p>
        </w:tc>
      </w:tr>
    </w:tbl>
    <w:p w:rsidR="00432386" w:rsidRDefault="00432386">
      <w:pPr>
        <w:rPr>
          <w:sz w:val="20"/>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697"/>
        <w:gridCol w:w="3440"/>
        <w:gridCol w:w="2225"/>
        <w:gridCol w:w="1848"/>
      </w:tblGrid>
      <w:tr w:rsidR="00432386">
        <w:trPr>
          <w:trHeight w:val="517"/>
        </w:trPr>
        <w:tc>
          <w:tcPr>
            <w:tcW w:w="1697" w:type="dxa"/>
            <w:shd w:val="clear" w:color="auto" w:fill="C2D59B"/>
          </w:tcPr>
          <w:p>
            <w:pPr>
              <w:pStyle w:val="TableParagraph"/>
              <w:spacing w:line="229" w:lineRule="exact"/>
              <w:ind w:start="107"/>
              <w:rPr>
                <w:b/>
                <w:sz w:val="20"/>
              </w:rPr>
            </w:pPr>
            <w:r>
              <w:rPr>
                <w:b/>
                <w:sz w:val="20"/>
              </w:rPr>
              <w:lastRenderedPageBreak/>
              <w:t xml:space="preserve">Étude</w:t>
            </w:r>
          </w:p>
        </w:tc>
        <w:tc>
          <w:tcPr>
            <w:tcW w:w="3440" w:type="dxa"/>
            <w:shd w:val="clear" w:color="auto" w:fill="C2D59B"/>
          </w:tcPr>
          <w:p>
            <w:pPr>
              <w:pStyle w:val="TableParagraph"/>
              <w:spacing w:line="229" w:lineRule="exact"/>
              <w:ind w:start="107"/>
              <w:rPr>
                <w:b/>
                <w:sz w:val="20"/>
              </w:rPr>
            </w:pPr>
            <w:r>
              <w:rPr>
                <w:b/>
                <w:sz w:val="20"/>
              </w:rPr>
              <w:t xml:space="preserve">Population</w:t>
            </w:r>
          </w:p>
        </w:tc>
        <w:tc>
          <w:tcPr>
            <w:tcW w:w="2225" w:type="dxa"/>
            <w:shd w:val="clear" w:color="auto" w:fill="C2D59B"/>
          </w:tcPr>
          <w:p>
            <w:pPr>
              <w:pStyle w:val="TableParagraph"/>
              <w:ind w:start="107" w:end="543"/>
              <w:rPr>
                <w:b/>
                <w:sz w:val="20"/>
              </w:rPr>
            </w:pPr>
            <w:r>
              <w:rPr>
                <w:b/>
                <w:sz w:val="20"/>
              </w:rPr>
              <w:t xml:space="preserve">Intervention </w:t>
            </w:r>
            <w:r>
              <w:rPr>
                <w:b/>
                <w:sz w:val="20"/>
              </w:rPr>
              <w:t xml:space="preserve">et </w:t>
            </w:r>
            <w:r>
              <w:rPr>
                <w:b/>
                <w:sz w:val="20"/>
              </w:rPr>
              <w:t xml:space="preserve">comparaison</w:t>
            </w:r>
          </w:p>
        </w:tc>
        <w:tc>
          <w:tcPr>
            <w:tcW w:w="1848" w:type="dxa"/>
            <w:shd w:val="clear" w:color="auto" w:fill="C2D59B"/>
          </w:tcPr>
          <w:p>
            <w:pPr>
              <w:pStyle w:val="TableParagraph"/>
              <w:ind w:start="107" w:end="740"/>
              <w:rPr>
                <w:b/>
                <w:sz w:val="20"/>
              </w:rPr>
            </w:pPr>
            <w:r>
              <w:rPr>
                <w:b/>
                <w:spacing w:val="-1"/>
                <w:sz w:val="20"/>
              </w:rPr>
              <w:t xml:space="preserve">Résultats </w:t>
            </w:r>
            <w:r>
              <w:rPr>
                <w:b/>
                <w:sz w:val="20"/>
              </w:rPr>
              <w:t xml:space="preserve">rapportés</w:t>
            </w:r>
          </w:p>
        </w:tc>
      </w:tr>
      <w:tr w:rsidR="00432386">
        <w:trPr>
          <w:trHeight w:val="2652"/>
        </w:trPr>
        <w:tc>
          <w:tcPr>
            <w:tcW w:w="1697" w:type="dxa"/>
          </w:tcPr>
          <w:p>
            <w:pPr>
              <w:pStyle w:val="TableParagraph"/>
              <w:spacing w:before="2"/>
              <w:ind w:start="107"/>
              <w:rPr>
                <w:sz w:val="20"/>
              </w:rPr>
            </w:pPr>
            <w:r>
              <w:rPr>
                <w:sz w:val="20"/>
              </w:rPr>
              <w:t xml:space="preserve">Pays-Bas</w:t>
            </w:r>
          </w:p>
        </w:tc>
        <w:tc>
          <w:tcPr>
            <w:tcW w:w="3440" w:type="dxa"/>
          </w:tcPr>
          <w:p>
            <w:pPr>
              <w:pStyle w:val="TableParagraph"/>
              <w:ind w:start="107" w:end="241"/>
              <w:rPr>
                <w:sz w:val="20"/>
              </w:rPr>
            </w:pPr>
            <w:r>
              <w:rPr>
                <w:sz w:val="20"/>
              </w:rPr>
              <w:t xml:space="preserve">pour les </w:t>
            </w:r>
            <w:r>
              <w:rPr>
                <w:sz w:val="20"/>
              </w:rPr>
              <w:t xml:space="preserve">hommes </w:t>
            </w:r>
            <w:r>
              <w:rPr>
                <w:sz w:val="20"/>
              </w:rPr>
              <w:t xml:space="preserve">et </w:t>
            </w:r>
            <w:r>
              <w:rPr>
                <w:sz w:val="20"/>
              </w:rPr>
              <w:t xml:space="preserve">13,5 </w:t>
            </w:r>
            <w:r>
              <w:rPr>
                <w:sz w:val="20"/>
              </w:rPr>
              <w:t xml:space="preserve">ans </w:t>
            </w:r>
            <w:r>
              <w:rPr>
                <w:sz w:val="20"/>
              </w:rPr>
              <w:t xml:space="preserve">[11,5 </w:t>
            </w:r>
            <w:r>
              <w:rPr>
                <w:sz w:val="20"/>
              </w:rPr>
              <w:t xml:space="preserve">à </w:t>
            </w:r>
            <w:r>
              <w:rPr>
                <w:sz w:val="20"/>
              </w:rPr>
              <w:t xml:space="preserve">18,3] pour les femmes au début de l'utilisation des </w:t>
            </w:r>
            <w:r>
              <w:rPr>
                <w:sz w:val="20"/>
              </w:rPr>
              <w:t xml:space="preserve">analogues de la GnRH). Les détails de la </w:t>
            </w:r>
            <w:r>
              <w:rPr>
                <w:sz w:val="20"/>
              </w:rPr>
              <w:t xml:space="preserve">base d'</w:t>
            </w:r>
            <w:r>
              <w:rPr>
                <w:sz w:val="20"/>
              </w:rPr>
              <w:t xml:space="preserve">échantillonnage </w:t>
            </w:r>
            <w:r>
              <w:rPr>
                <w:sz w:val="20"/>
              </w:rPr>
              <w:t xml:space="preserve">ne sont pas </w:t>
            </w:r>
            <w:r>
              <w:rPr>
                <w:sz w:val="20"/>
              </w:rPr>
              <w:t xml:space="preserve">rapportés.</w:t>
            </w:r>
          </w:p>
          <w:p>
            <w:pPr>
              <w:pStyle w:val="TableParagraph"/>
              <w:spacing w:before="61"/>
              <w:ind w:start="107" w:end="112"/>
              <w:rPr>
                <w:sz w:val="20"/>
              </w:rPr>
            </w:pPr>
            <w:r>
              <w:rPr>
                <w:sz w:val="20"/>
              </w:rPr>
              <w:t xml:space="preserve">Les participants ont été inclus s'ils </w:t>
            </w:r>
            <w:r>
              <w:rPr>
                <w:sz w:val="20"/>
              </w:rPr>
              <w:t xml:space="preserve">avaient reçu </w:t>
            </w:r>
            <w:r>
              <w:rPr>
                <w:sz w:val="20"/>
              </w:rPr>
              <w:t xml:space="preserve">un </w:t>
            </w:r>
            <w:r>
              <w:rPr>
                <w:sz w:val="20"/>
              </w:rPr>
              <w:t xml:space="preserve">diagnostic </w:t>
            </w:r>
            <w:r>
              <w:rPr>
                <w:sz w:val="20"/>
              </w:rPr>
              <w:t xml:space="preserve">de </w:t>
            </w:r>
            <w:r>
              <w:rPr>
                <w:sz w:val="20"/>
              </w:rPr>
              <w:t xml:space="preserve">dysphorie de </w:t>
            </w:r>
            <w:r>
              <w:rPr>
                <w:sz w:val="20"/>
              </w:rPr>
              <w:t xml:space="preserve">genre selon les </w:t>
            </w:r>
            <w:r>
              <w:rPr>
                <w:sz w:val="20"/>
              </w:rPr>
              <w:t xml:space="preserve">critères du </w:t>
            </w:r>
            <w:r>
              <w:rPr>
                <w:sz w:val="20"/>
              </w:rPr>
              <w:t xml:space="preserve">DSM-IV-TR </w:t>
            </w:r>
            <w:r>
              <w:rPr>
                <w:sz w:val="20"/>
              </w:rPr>
              <w:t xml:space="preserve">et s'ils recevaient des </w:t>
            </w:r>
            <w:r>
              <w:rPr>
                <w:sz w:val="20"/>
              </w:rPr>
              <w:t xml:space="preserve">analogues de la </w:t>
            </w:r>
            <w:r>
              <w:rPr>
                <w:sz w:val="20"/>
              </w:rPr>
              <w:t xml:space="preserve">GnRH </w:t>
            </w:r>
            <w:r>
              <w:rPr>
                <w:sz w:val="20"/>
              </w:rPr>
              <w:t xml:space="preserve">puis des </w:t>
            </w:r>
            <w:r>
              <w:rPr>
                <w:sz w:val="20"/>
              </w:rPr>
              <w:t xml:space="preserve">hormones d'</w:t>
            </w:r>
            <w:r>
              <w:rPr>
                <w:sz w:val="20"/>
              </w:rPr>
              <w:t xml:space="preserve">affirmation du </w:t>
            </w:r>
            <w:r>
              <w:rPr>
                <w:sz w:val="20"/>
              </w:rPr>
              <w:t xml:space="preserve">genre</w:t>
            </w:r>
            <w:r>
              <w:rPr>
                <w:sz w:val="20"/>
              </w:rPr>
              <w:t xml:space="preserve">. </w:t>
            </w:r>
            <w:r>
              <w:rPr>
                <w:sz w:val="20"/>
              </w:rPr>
              <w:t xml:space="preserve">Aucun </w:t>
            </w:r>
            <w:r>
              <w:rPr>
                <w:sz w:val="20"/>
              </w:rPr>
              <w:t xml:space="preserve">traitement </w:t>
            </w:r>
            <w:r>
              <w:rPr>
                <w:sz w:val="20"/>
              </w:rPr>
              <w:t xml:space="preserve">concomitant </w:t>
            </w:r>
            <w:r>
              <w:rPr>
                <w:sz w:val="20"/>
              </w:rPr>
              <w:t xml:space="preserve">n'</w:t>
            </w:r>
            <w:r>
              <w:rPr>
                <w:sz w:val="20"/>
              </w:rPr>
              <w:t xml:space="preserve">a été </w:t>
            </w:r>
            <w:r>
              <w:rPr>
                <w:sz w:val="20"/>
              </w:rPr>
              <w:t xml:space="preserve">signalé.</w:t>
            </w:r>
          </w:p>
        </w:tc>
        <w:tc>
          <w:tcPr>
            <w:tcW w:w="2225" w:type="dxa"/>
          </w:tcPr>
          <w:p w:rsidR="00432386" w:rsidRDefault="00432386">
            <w:pPr>
              <w:pStyle w:val="TableParagraph"/>
              <w:rPr>
                <w:rFonts w:ascii="Times New Roman"/>
                <w:sz w:val="20"/>
              </w:rPr>
            </w:pPr>
          </w:p>
        </w:tc>
        <w:tc>
          <w:tcPr>
            <w:tcW w:w="1848" w:type="dxa"/>
          </w:tcPr>
          <w:p>
            <w:pPr>
              <w:pStyle w:val="TableParagraph"/>
              <w:numPr>
                <w:ilvl w:val="0"/>
                <w:numId w:val="176"/>
              </w:numPr>
              <w:tabs>
                <w:tab w:val="left" w:pos="437"/>
              </w:tabs>
              <w:spacing w:before="7" w:line="235" w:lineRule="auto"/>
              <w:ind w:end="277"/>
              <w:rPr>
                <w:sz w:val="20"/>
              </w:rPr>
            </w:pPr>
            <w:r>
              <w:rPr>
                <w:sz w:val="20"/>
              </w:rPr>
              <w:t xml:space="preserve">Sécurité : </w:t>
            </w:r>
            <w:r>
              <w:rPr>
                <w:sz w:val="20"/>
              </w:rPr>
              <w:t xml:space="preserve">densité os</w:t>
            </w:r>
            <w:r>
              <w:rPr>
                <w:sz w:val="20"/>
              </w:rPr>
              <w:t xml:space="preserve">seuse</w:t>
            </w:r>
          </w:p>
        </w:tc>
      </w:tr>
      <w:tr w:rsidR="00432386">
        <w:trPr>
          <w:trHeight w:val="460"/>
        </w:trPr>
        <w:tc>
          <w:tcPr>
            <w:tcW w:w="9210" w:type="dxa"/>
            <w:gridSpan w:val="4"/>
          </w:tcPr>
          <w:p>
            <w:pPr>
              <w:pStyle w:val="TableParagraph"/>
              <w:spacing w:line="230" w:lineRule="exact"/>
              <w:ind w:start="107" w:end="184"/>
              <w:rPr>
                <w:sz w:val="20"/>
              </w:rPr>
            </w:pPr>
            <w:r>
              <w:rPr>
                <w:b/>
                <w:sz w:val="20"/>
              </w:rPr>
              <w:t xml:space="preserve">Abréviations : </w:t>
            </w:r>
            <w:r>
              <w:rPr>
                <w:sz w:val="20"/>
              </w:rPr>
              <w:t xml:space="preserve">DSM-IV-TR, </w:t>
            </w:r>
            <w:r>
              <w:rPr>
                <w:sz w:val="20"/>
              </w:rPr>
              <w:t xml:space="preserve">Manuel </w:t>
            </w:r>
            <w:r>
              <w:rPr>
                <w:sz w:val="20"/>
              </w:rPr>
              <w:t xml:space="preserve">diagnostique </w:t>
            </w:r>
            <w:r>
              <w:rPr>
                <w:sz w:val="20"/>
              </w:rPr>
              <w:t xml:space="preserve">et </w:t>
            </w:r>
            <w:r>
              <w:rPr>
                <w:sz w:val="20"/>
              </w:rPr>
              <w:t xml:space="preserve">statistique </w:t>
            </w:r>
            <w:r>
              <w:rPr>
                <w:sz w:val="20"/>
              </w:rPr>
              <w:t xml:space="preserve">des </w:t>
            </w:r>
            <w:r>
              <w:rPr>
                <w:sz w:val="20"/>
              </w:rPr>
              <w:t xml:space="preserve">troubles </w:t>
            </w:r>
            <w:r>
              <w:rPr>
                <w:sz w:val="20"/>
              </w:rPr>
              <w:t xml:space="preserve">mentaux</w:t>
            </w:r>
            <w:r>
              <w:rPr>
                <w:sz w:val="20"/>
              </w:rPr>
              <w:t xml:space="preserve">, </w:t>
            </w:r>
            <w:r>
              <w:rPr>
                <w:sz w:val="20"/>
              </w:rPr>
              <w:t xml:space="preserve">quatrième </w:t>
            </w:r>
            <w:r>
              <w:rPr>
                <w:sz w:val="20"/>
              </w:rPr>
              <w:t xml:space="preserve">édition, </w:t>
            </w:r>
            <w:r>
              <w:rPr>
                <w:sz w:val="20"/>
              </w:rPr>
              <w:t xml:space="preserve">révision du </w:t>
            </w:r>
            <w:r>
              <w:rPr>
                <w:sz w:val="20"/>
              </w:rPr>
              <w:t xml:space="preserve">texte </w:t>
            </w:r>
            <w:r>
              <w:rPr>
                <w:sz w:val="20"/>
              </w:rPr>
              <w:t xml:space="preserve">; </w:t>
            </w:r>
            <w:r>
              <w:rPr>
                <w:sz w:val="20"/>
              </w:rPr>
              <w:t xml:space="preserve">GnRH, </w:t>
            </w:r>
            <w:r>
              <w:rPr>
                <w:sz w:val="20"/>
              </w:rPr>
              <w:t xml:space="preserve">Gonadotrophin </w:t>
            </w:r>
            <w:r>
              <w:rPr>
                <w:sz w:val="20"/>
              </w:rPr>
              <w:t xml:space="preserve">releasing </w:t>
            </w:r>
            <w:r>
              <w:rPr>
                <w:sz w:val="20"/>
              </w:rPr>
              <w:t xml:space="preserve">hormone ; </w:t>
            </w:r>
            <w:r>
              <w:rPr>
                <w:sz w:val="20"/>
              </w:rPr>
              <w:t xml:space="preserve">SD, </w:t>
            </w:r>
            <w:r>
              <w:rPr>
                <w:sz w:val="20"/>
              </w:rPr>
              <w:t xml:space="preserve">Standard </w:t>
            </w:r>
            <w:r>
              <w:rPr>
                <w:sz w:val="20"/>
              </w:rPr>
              <w:t xml:space="preserve">deviation.</w:t>
            </w:r>
          </w:p>
        </w:tc>
      </w:tr>
    </w:tbl>
    <w:p w:rsidR="00432386" w:rsidRDefault="00432386">
      <w:pPr>
        <w:pStyle w:val="Corpsdetexte"/>
        <w:spacing w:before="0"/>
        <w:ind w:start="0"/>
        <w:rPr>
          <w:b/>
          <w:sz w:val="20"/>
        </w:rPr>
      </w:pPr>
    </w:p>
    <w:p w:rsidR="00432386" w:rsidRDefault="00432386">
      <w:pPr>
        <w:pStyle w:val="Corpsdetexte"/>
        <w:spacing w:before="8"/>
        <w:ind w:start="0"/>
        <w:rPr>
          <w:b/>
          <w:sz w:val="21"/>
        </w:rPr>
      </w:pPr>
    </w:p>
    <w:p>
      <w:pPr>
        <w:pStyle w:val="Titre1"/>
        <w:numPr>
          <w:ilvl w:val="0"/>
          <w:numId w:val="188"/>
        </w:numPr>
        <w:tabs>
          <w:tab w:val="left" w:pos="429"/>
        </w:tabs>
        <w:ind w:start="428"/>
      </w:pPr>
      <w:bookmarkStart w:name="_bookmark10" w:id="11"/>
      <w:bookmarkEnd w:id="11"/>
      <w:r>
        <w:rPr>
          <w:color w:val="365F91"/>
        </w:rPr>
        <w:t xml:space="preserve">Résultats</w:t>
      </w:r>
    </w:p>
    <w:p w:rsidR="00432386" w:rsidRDefault="00432386">
      <w:pPr>
        <w:pStyle w:val="Corpsdetexte"/>
        <w:spacing w:before="11"/>
        <w:ind w:start="0"/>
        <w:rPr>
          <w:b/>
          <w:sz w:val="20"/>
        </w:rPr>
      </w:pPr>
    </w:p>
    <w:p>
      <w:pPr>
        <w:spacing w:line="276" w:lineRule="auto"/>
        <w:ind w:start="160" w:end="1149"/>
        <w:rPr>
          <w:b/>
          <w:sz w:val="24"/>
        </w:rPr>
      </w:pPr>
      <w:r>
        <w:rPr>
          <w:b/>
          <w:color w:val="4F81BC"/>
          <w:sz w:val="24"/>
        </w:rPr>
        <w:t xml:space="preserve">Chez les enfants et les adolescents souffrant de dysphorie de genre, quelle est l'</w:t>
      </w:r>
      <w:r>
        <w:rPr>
          <w:b/>
          <w:color w:val="4F81BC"/>
          <w:sz w:val="24"/>
        </w:rPr>
        <w:t xml:space="preserve">efficacité </w:t>
      </w:r>
      <w:r>
        <w:rPr>
          <w:b/>
          <w:color w:val="4F81BC"/>
          <w:sz w:val="24"/>
        </w:rPr>
        <w:t xml:space="preserve">clinique </w:t>
      </w:r>
      <w:r>
        <w:rPr>
          <w:b/>
          <w:color w:val="4F81BC"/>
          <w:sz w:val="24"/>
        </w:rPr>
        <w:t xml:space="preserve">du traitement par les analogues de la GnRH par rapport à une ou une </w:t>
      </w:r>
      <w:r>
        <w:rPr>
          <w:b/>
          <w:color w:val="4F81BC"/>
          <w:sz w:val="24"/>
        </w:rPr>
        <w:t xml:space="preserve">combinaison de soutien psychologique, de transition sociale vers le </w:t>
      </w:r>
      <w:r>
        <w:rPr>
          <w:b/>
          <w:color w:val="4F81BC"/>
          <w:sz w:val="24"/>
        </w:rPr>
        <w:t xml:space="preserve">genre </w:t>
      </w:r>
      <w:r>
        <w:rPr>
          <w:b/>
          <w:color w:val="4F81BC"/>
          <w:sz w:val="24"/>
        </w:rPr>
        <w:t xml:space="preserve">désiré </w:t>
      </w:r>
      <w:r>
        <w:rPr>
          <w:b/>
          <w:color w:val="4F81BC"/>
          <w:sz w:val="24"/>
        </w:rPr>
        <w:t xml:space="preserve">ou d'aucune intervention ?</w:t>
      </w:r>
    </w:p>
    <w:p w:rsidR="00432386" w:rsidRDefault="00432386">
      <w:pPr>
        <w:pStyle w:val="Corpsdetexte"/>
        <w:spacing w:before="5" w:after="1"/>
        <w:ind w:start="0"/>
        <w:rPr>
          <w:b/>
          <w:sz w:val="17"/>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515"/>
        </w:trPr>
        <w:tc>
          <w:tcPr>
            <w:tcW w:w="1980" w:type="dxa"/>
          </w:tcPr>
          <w:p>
            <w:pPr>
              <w:pStyle w:val="TableParagraph"/>
              <w:ind w:start="107"/>
              <w:rPr>
                <w:b/>
                <w:sz w:val="24"/>
              </w:rPr>
            </w:pPr>
            <w:r>
              <w:rPr>
                <w:b/>
                <w:sz w:val="24"/>
              </w:rPr>
              <w:t xml:space="preserve">Résultat</w:t>
            </w:r>
          </w:p>
        </w:tc>
        <w:tc>
          <w:tcPr>
            <w:tcW w:w="7089" w:type="dxa"/>
          </w:tcPr>
          <w:p>
            <w:pPr>
              <w:pStyle w:val="TableParagraph"/>
              <w:ind w:start="107"/>
              <w:rPr>
                <w:b/>
                <w:sz w:val="24"/>
              </w:rPr>
            </w:pPr>
            <w:r>
              <w:rPr>
                <w:b/>
                <w:sz w:val="24"/>
              </w:rPr>
              <w:t xml:space="preserve">Déclaration de </w:t>
            </w:r>
            <w:r>
              <w:rPr>
                <w:b/>
                <w:sz w:val="24"/>
              </w:rPr>
              <w:t xml:space="preserve">preuves</w:t>
            </w:r>
          </w:p>
        </w:tc>
      </w:tr>
      <w:tr w:rsidR="00432386">
        <w:trPr>
          <w:trHeight w:val="477"/>
        </w:trPr>
        <w:tc>
          <w:tcPr>
            <w:tcW w:w="9069" w:type="dxa"/>
            <w:gridSpan w:val="2"/>
          </w:tcPr>
          <w:p>
            <w:pPr>
              <w:pStyle w:val="TableParagraph"/>
              <w:ind w:start="107"/>
              <w:rPr>
                <w:b/>
                <w:sz w:val="24"/>
              </w:rPr>
            </w:pPr>
            <w:r>
              <w:rPr>
                <w:b/>
                <w:color w:val="4471C4"/>
                <w:sz w:val="24"/>
              </w:rPr>
              <w:t xml:space="preserve">Efficacité </w:t>
            </w:r>
            <w:r>
              <w:rPr>
                <w:b/>
                <w:color w:val="4471C4"/>
                <w:sz w:val="24"/>
              </w:rPr>
              <w:t xml:space="preserve">clinique</w:t>
            </w:r>
          </w:p>
        </w:tc>
      </w:tr>
      <w:tr w:rsidR="00432386">
        <w:trPr>
          <w:trHeight w:val="517"/>
        </w:trPr>
        <w:tc>
          <w:tcPr>
            <w:tcW w:w="9069" w:type="dxa"/>
            <w:gridSpan w:val="2"/>
          </w:tcPr>
          <w:p>
            <w:pPr>
              <w:pStyle w:val="TableParagraph"/>
              <w:ind w:start="107"/>
              <w:rPr>
                <w:b/>
                <w:sz w:val="24"/>
              </w:rPr>
            </w:pPr>
            <w:r>
              <w:rPr>
                <w:b/>
                <w:sz w:val="24"/>
              </w:rPr>
              <w:t xml:space="preserve">Résultats </w:t>
            </w:r>
            <w:r>
              <w:rPr>
                <w:b/>
                <w:sz w:val="24"/>
              </w:rPr>
              <w:t xml:space="preserve">critiques</w:t>
            </w:r>
          </w:p>
        </w:tc>
      </w:tr>
      <w:tr w:rsidR="00432386">
        <w:trPr>
          <w:trHeight w:val="5825"/>
        </w:trPr>
        <w:tc>
          <w:tcPr>
            <w:tcW w:w="1980" w:type="dxa"/>
          </w:tcPr>
          <w:p>
            <w:pPr>
              <w:pStyle w:val="TableParagraph"/>
              <w:ind w:start="107" w:end="791"/>
              <w:rPr>
                <w:b/>
              </w:rPr>
            </w:pPr>
            <w:r>
              <w:rPr>
                <w:b/>
              </w:rPr>
              <w:t xml:space="preserve">Impact sur la </w:t>
            </w:r>
            <w:r>
              <w:rPr>
                <w:b/>
              </w:rPr>
              <w:t xml:space="preserve">dysphorie de </w:t>
            </w:r>
            <w:r>
              <w:rPr>
                <w:b/>
              </w:rPr>
              <w:t xml:space="preserve">genre</w:t>
            </w:r>
          </w:p>
          <w:p w:rsidR="00432386" w:rsidRDefault="00432386">
            <w:pPr>
              <w:pStyle w:val="TableParagraph"/>
              <w:spacing w:before="10"/>
              <w:rPr>
                <w:b/>
                <w:sz w:val="21"/>
              </w:rPr>
            </w:pPr>
          </w:p>
          <w:p>
            <w:pPr>
              <w:pStyle w:val="TableParagraph"/>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ind w:start="107" w:end="95"/>
              <w:jc w:val="both"/>
            </w:pPr>
            <w:r>
              <w:t xml:space="preserve">Il s'agit d'un résultat essentiel car la dysphorie de genre chez les enfants et les </w:t>
            </w:r>
            <w:r>
              <w:t xml:space="preserve">adolescents est associée à une détresse et à des problèmes de </w:t>
            </w:r>
            <w:r>
              <w:t xml:space="preserve">fonctionnement </w:t>
            </w:r>
            <w:r>
              <w:t xml:space="preserve">importants</w:t>
            </w:r>
            <w:r>
              <w:t xml:space="preserve">.</w:t>
            </w:r>
          </w:p>
          <w:p w:rsidR="00432386" w:rsidRDefault="00432386">
            <w:pPr>
              <w:pStyle w:val="TableParagraph"/>
              <w:spacing w:before="10"/>
              <w:rPr>
                <w:b/>
                <w:sz w:val="21"/>
              </w:rPr>
            </w:pPr>
          </w:p>
          <w:p>
            <w:pPr>
              <w:pStyle w:val="TableParagraph"/>
              <w:ind w:start="107" w:end="93"/>
              <w:jc w:val="both"/>
            </w:pPr>
            <w:r>
              <w:t xml:space="preserve">Une </w:t>
            </w:r>
            <w:r>
              <w:t xml:space="preserve">étude </w:t>
            </w:r>
            <w:r>
              <w:t xml:space="preserve">longitudinale </w:t>
            </w:r>
            <w:r>
              <w:t xml:space="preserve">observationnelle </w:t>
            </w:r>
            <w:r>
              <w:t xml:space="preserve">prospective </w:t>
            </w:r>
            <w:r>
              <w:t xml:space="preserve">non contrôlée </w:t>
            </w:r>
            <w:r>
              <w:t xml:space="preserve">(</w:t>
            </w:r>
            <w:hyperlink r:id="rId115">
              <w:r>
                <w:rPr>
                  <w:color w:val="0000FF"/>
                  <w:u w:val="single" w:color="0000FF"/>
                </w:rPr>
                <w:t xml:space="preserve">de </w:t>
              </w:r>
            </w:hyperlink>
            <w:hyperlink r:id="rId116">
              <w:r>
                <w:rPr>
                  <w:color w:val="0000FF"/>
                  <w:u w:val="single" w:color="0000FF"/>
                </w:rPr>
                <w:t xml:space="preserve">Vries et al. 2011</w:t>
              </w:r>
            </w:hyperlink>
            <w:r>
              <w:t xml:space="preserve">) a fourni des preuves de l'impact de la </w:t>
            </w:r>
            <w:r>
              <w:t xml:space="preserve">dysphorie de </w:t>
            </w:r>
            <w:r>
              <w:t xml:space="preserve">genre </w:t>
            </w:r>
            <w:r>
              <w:t xml:space="preserve">chez les </w:t>
            </w:r>
            <w:r>
              <w:t xml:space="preserve">adolescents, </w:t>
            </w:r>
            <w:r>
              <w:t xml:space="preserve">mesuré à l'</w:t>
            </w:r>
            <w:r>
              <w:t xml:space="preserve">aide de </w:t>
            </w:r>
            <w:r>
              <w:t xml:space="preserve">l'</w:t>
            </w:r>
            <w:r>
              <w:t xml:space="preserve">échelle de dysphorie de </w:t>
            </w:r>
            <w:r>
              <w:t xml:space="preserve">genre d'</w:t>
            </w:r>
            <w:r>
              <w:t xml:space="preserve">Utrecht </w:t>
            </w:r>
            <w:r>
              <w:t xml:space="preserve">(UGDS). L'UGDS est un outil de dépistage validé destiné aux </w:t>
            </w:r>
            <w:r>
              <w:t xml:space="preserve">adolescents et aux adultes pour évaluer la dysphorie de genre. Il se compose de </w:t>
            </w:r>
            <w:r>
              <w:t xml:space="preserve">12 items, auxquels il faut répondre sur une échelle de 1 à 5 points, ce qui donne un </w:t>
            </w:r>
            <w:r>
              <w:t xml:space="preserve">score </w:t>
            </w:r>
            <w:r>
              <w:t xml:space="preserve">total </w:t>
            </w:r>
            <w:r>
              <w:t xml:space="preserve">compris entre 12 et 60. Plus le score UGDS est élevé, plus la </w:t>
            </w:r>
            <w:r>
              <w:t xml:space="preserve">dysphorie de genre </w:t>
            </w:r>
            <w:r>
              <w:t xml:space="preserve">est importante</w:t>
            </w:r>
            <w:r>
              <w:t xml:space="preserve">.</w:t>
            </w:r>
          </w:p>
          <w:p w:rsidR="00432386" w:rsidRDefault="00432386">
            <w:pPr>
              <w:pStyle w:val="TableParagraph"/>
              <w:spacing w:before="1"/>
              <w:rPr>
                <w:b/>
              </w:rPr>
            </w:pPr>
          </w:p>
          <w:p>
            <w:pPr>
              <w:pStyle w:val="TableParagraph"/>
              <w:ind w:start="107"/>
            </w:pPr>
            <w:r>
              <w:t xml:space="preserve">L'</w:t>
            </w:r>
            <w:r>
              <w:t xml:space="preserve">étude a </w:t>
            </w:r>
            <w:r>
              <w:t xml:space="preserve">mesuré l</w:t>
            </w:r>
            <w:r>
              <w:t xml:space="preserve">'</w:t>
            </w:r>
            <w:r>
              <w:t xml:space="preserve">impact </w:t>
            </w:r>
            <w:r>
              <w:t xml:space="preserve">sur la </w:t>
            </w:r>
            <w:r>
              <w:t xml:space="preserve">dysphorie de genre </w:t>
            </w:r>
            <w:r>
              <w:t xml:space="preserve">à </w:t>
            </w:r>
            <w:r>
              <w:t xml:space="preserve">deux </w:t>
            </w:r>
            <w:r>
              <w:t xml:space="preserve">moments :</w:t>
            </w:r>
          </w:p>
          <w:p>
            <w:pPr>
              <w:pStyle w:val="TableParagraph"/>
              <w:numPr>
                <w:ilvl w:val="0"/>
                <w:numId w:val="175"/>
              </w:numPr>
              <w:tabs>
                <w:tab w:val="left" w:pos="828"/>
                <w:tab w:val="left" w:pos="829"/>
              </w:tabs>
              <w:spacing w:before="3"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[±SD] </w:t>
            </w:r>
            <w:r>
              <w:t xml:space="preserve">: </w:t>
            </w:r>
            <w:r>
              <w:t xml:space="preserve">14,75 </w:t>
            </w:r>
            <w:r>
              <w:t xml:space="preserve">[±1,92] </w:t>
            </w:r>
            <w:r>
              <w:t xml:space="preserve">ans), </w:t>
            </w:r>
            <w:r>
              <w:t xml:space="preserve">et</w:t>
            </w:r>
          </w:p>
          <w:p>
            <w:pPr>
              <w:pStyle w:val="TableParagraph"/>
              <w:numPr>
                <w:ilvl w:val="0"/>
                <w:numId w:val="175"/>
              </w:numPr>
              <w:tabs>
                <w:tab w:val="left" w:pos="828"/>
                <w:tab w:val="left" w:pos="829"/>
              </w:tabs>
              <w:spacing w:before="3"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[±SD] </w:t>
            </w:r>
            <w:r>
              <w:t xml:space="preserve">: 16,64 </w:t>
            </w:r>
            <w:r>
              <w:t xml:space="preserve">[±1,90] </w:t>
            </w:r>
            <w:r>
              <w:t xml:space="preserve">ans).</w:t>
            </w:r>
          </w:p>
          <w:p w:rsidR="00432386" w:rsidRDefault="00432386">
            <w:pPr>
              <w:pStyle w:val="TableParagraph"/>
              <w:spacing w:before="1"/>
              <w:rPr>
                <w:b/>
                <w:sz w:val="20"/>
              </w:rPr>
            </w:pPr>
          </w:p>
          <w:p>
            <w:pPr>
              <w:pStyle w:val="TableParagraph"/>
              <w:ind w:start="107" w:end="96"/>
              <w:jc w:val="both"/>
            </w:pPr>
            <w:r>
              <w:t xml:space="preserve">Le </w:t>
            </w:r>
            <w:r>
              <w:t xml:space="preserve">score </w:t>
            </w:r>
            <w:r>
              <w:t xml:space="preserve">UGDS </w:t>
            </w:r>
            <w:r>
              <w:t xml:space="preserve">moyen </w:t>
            </w:r>
            <w:r>
              <w:t xml:space="preserve">(±SD) </w:t>
            </w:r>
            <w:r>
              <w:t xml:space="preserve">n'</w:t>
            </w:r>
            <w:r>
              <w:t xml:space="preserve">était </w:t>
            </w:r>
            <w:r>
              <w:t xml:space="preserve">pas </w:t>
            </w:r>
            <w:r>
              <w:t xml:space="preserve">statistiquement </w:t>
            </w:r>
            <w:r>
              <w:t xml:space="preserve">différent </w:t>
            </w:r>
            <w:r>
              <w:t xml:space="preserve">au départ par rapport au suivi (n=41, 53,20 [±7,91] contre 53,9 </w:t>
            </w:r>
            <w:r>
              <w:t xml:space="preserve">[±17,42], </w:t>
            </w:r>
            <w:r>
              <w:t xml:space="preserve">p=0,333) </w:t>
            </w:r>
            <w:r>
              <w:rPr>
                <w:b/>
              </w:rPr>
              <w:t xml:space="preserve">(TRÈS FAIBLE)</w:t>
            </w:r>
            <w:r>
              <w:t xml:space="preserve">.</w:t>
            </w:r>
          </w:p>
        </w:tc>
      </w:tr>
    </w:tbl>
    <w:p w:rsidR="00432386" w:rsidRDefault="00432386">
      <w:pPr>
        <w:jc w:val="both"/>
        <w:sectPr w:rsidR="00432386">
          <w:type w:val="continuous"/>
          <w:pgSz w:w="11910" w:h="16840"/>
          <w:pgMar w:top="1260" w:right="980" w:bottom="16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758"/>
        </w:trPr>
        <w:tc>
          <w:tcPr>
            <w:tcW w:w="1980" w:type="dxa"/>
          </w:tcPr>
          <w:p w:rsidR="00432386" w:rsidRDefault="00432386">
            <w:pPr>
              <w:pStyle w:val="TableParagraph"/>
              <w:rPr>
                <w:rFonts w:ascii="Times New Roman"/>
              </w:rPr>
            </w:pPr>
          </w:p>
        </w:tc>
        <w:tc>
          <w:tcPr>
            <w:tcW w:w="7089" w:type="dxa"/>
          </w:tcPr>
          <w:p>
            <w:pPr>
              <w:pStyle w:val="TableParagraph"/>
              <w:ind w:start="107" w:end="423"/>
              <w:rPr>
                <w:b/>
              </w:rPr>
            </w:pPr>
            <w:r>
              <w:rPr>
                <w:b/>
              </w:rPr>
              <w:t xml:space="preserve">Cette étude fournit des preuves de très faible niveau de certitude que le traitement </w:t>
            </w:r>
            <w:r>
              <w:rPr>
                <w:b/>
              </w:rPr>
              <w:t xml:space="preserve">avec des </w:t>
            </w:r>
            <w:r>
              <w:rPr>
                <w:b/>
              </w:rPr>
              <w:t xml:space="preserve">analogues de la </w:t>
            </w:r>
            <w:r>
              <w:rPr>
                <w:b/>
              </w:rPr>
              <w:t xml:space="preserve">GnRH</w:t>
            </w:r>
            <w:r>
              <w:rPr>
                <w:b/>
              </w:rPr>
              <w:t xml:space="preserve">, </w:t>
            </w:r>
            <w:r>
              <w:rPr>
                <w:b/>
              </w:rPr>
              <w:t xml:space="preserve">avant de </w:t>
            </w:r>
            <w:r>
              <w:rPr>
                <w:b/>
              </w:rPr>
              <w:t xml:space="preserve">commencer un traitement d'</w:t>
            </w:r>
            <w:r>
              <w:rPr>
                <w:b/>
              </w:rPr>
              <w:t xml:space="preserve">affirmation du genre, </w:t>
            </w:r>
            <w:r>
              <w:rPr>
                <w:b/>
              </w:rPr>
              <w:t xml:space="preserve">peut être efficace.</w:t>
            </w:r>
          </w:p>
          <w:p>
            <w:pPr>
              <w:pStyle w:val="TableParagraph"/>
              <w:spacing w:line="232" w:lineRule="exact"/>
              <w:ind w:start="107"/>
              <w:rPr>
                <w:b/>
              </w:rPr>
            </w:pPr>
            <w:r>
              <w:rPr>
                <w:b/>
              </w:rPr>
              <w:t xml:space="preserve">des </w:t>
            </w:r>
            <w:r>
              <w:rPr>
                <w:b/>
              </w:rPr>
              <w:t xml:space="preserve">hormones, </w:t>
            </w:r>
            <w:r>
              <w:rPr>
                <w:b/>
              </w:rPr>
              <w:t xml:space="preserve">n'</w:t>
            </w:r>
            <w:r>
              <w:rPr>
                <w:b/>
              </w:rPr>
              <w:t xml:space="preserve">affecte </w:t>
            </w:r>
            <w:r>
              <w:rPr>
                <w:b/>
              </w:rPr>
              <w:t xml:space="preserve">pas </w:t>
            </w:r>
            <w:r>
              <w:rPr>
                <w:b/>
              </w:rPr>
              <w:t xml:space="preserve">la </w:t>
            </w:r>
            <w:r>
              <w:rPr>
                <w:b/>
              </w:rPr>
              <w:t xml:space="preserve">dysphorie de </w:t>
            </w:r>
            <w:r>
              <w:rPr>
                <w:b/>
              </w:rPr>
              <w:t xml:space="preserve">genre</w:t>
            </w:r>
            <w:r>
              <w:rPr>
                <w:b/>
              </w:rPr>
              <w:t xml:space="preserve">.</w:t>
            </w:r>
          </w:p>
        </w:tc>
      </w:tr>
      <w:tr w:rsidR="00432386">
        <w:trPr>
          <w:trHeight w:val="889"/>
        </w:trPr>
        <w:tc>
          <w:tcPr>
            <w:tcW w:w="1980" w:type="dxa"/>
            <w:tcBorders>
              <w:bottom w:val="nil"/>
            </w:tcBorders>
          </w:tcPr>
          <w:p>
            <w:pPr>
              <w:pStyle w:val="TableParagraph"/>
              <w:ind w:start="107" w:end="351"/>
              <w:rPr>
                <w:b/>
              </w:rPr>
            </w:pPr>
            <w:r>
              <w:rPr>
                <w:b/>
              </w:rPr>
              <w:t xml:space="preserve">Impact sur la </w:t>
            </w:r>
            <w:r>
              <w:rPr>
                <w:b/>
              </w:rPr>
              <w:t xml:space="preserve">santé mentale : </w:t>
            </w:r>
            <w:r>
              <w:rPr>
                <w:b/>
              </w:rPr>
              <w:t xml:space="preserve">dépression</w:t>
            </w:r>
          </w:p>
        </w:tc>
        <w:tc>
          <w:tcPr>
            <w:tcW w:w="7089" w:type="dxa"/>
            <w:tcBorders>
              <w:bottom w:val="nil"/>
            </w:tcBorders>
          </w:tcPr>
          <w:p>
            <w:pPr>
              <w:pStyle w:val="TableParagraph"/>
              <w:ind w:start="107" w:end="97"/>
              <w:jc w:val="both"/>
            </w:pPr>
            <w:r>
              <w:t xml:space="preserve">Il s'agit d'un résultat essentiel car </w:t>
            </w:r>
            <w:r>
              <w:t xml:space="preserve">l</w:t>
            </w:r>
            <w:r>
              <w:t xml:space="preserve">'</w:t>
            </w:r>
            <w:r>
              <w:t xml:space="preserve">automutilation et les pensées suicidaires </w:t>
            </w:r>
            <w:r>
              <w:t xml:space="preserve">peuvent </w:t>
            </w:r>
            <w:r>
              <w:t xml:space="preserve">entraîner </w:t>
            </w:r>
            <w:r>
              <w:t xml:space="preserve">des </w:t>
            </w:r>
            <w:r>
              <w:t xml:space="preserve">dommages </w:t>
            </w:r>
            <w:r>
              <w:t xml:space="preserve">physiques </w:t>
            </w:r>
            <w:r>
              <w:t xml:space="preserve">importants </w:t>
            </w:r>
            <w:r>
              <w:t xml:space="preserve">et, dans le </w:t>
            </w:r>
            <w:r>
              <w:t xml:space="preserve">cas des </w:t>
            </w:r>
            <w:r>
              <w:t xml:space="preserve">suicides </w:t>
            </w:r>
            <w:r>
              <w:t xml:space="preserve">complets</w:t>
            </w:r>
            <w:r>
              <w:t xml:space="preserve">, </w:t>
            </w:r>
            <w:r>
              <w:t xml:space="preserve">la </w:t>
            </w:r>
            <w:r>
              <w:t xml:space="preserve">mort </w:t>
            </w:r>
            <w:r>
              <w:t xml:space="preserve">du </w:t>
            </w:r>
            <w:r>
              <w:t xml:space="preserve">jeune.</w:t>
            </w:r>
          </w:p>
        </w:tc>
      </w:tr>
      <w:tr w:rsidR="00432386">
        <w:trPr>
          <w:trHeight w:val="2529"/>
        </w:trPr>
        <w:tc>
          <w:tcPr>
            <w:tcW w:w="1980" w:type="dxa"/>
            <w:tcBorders>
              <w:top w:val="nil"/>
              <w:bottom w:val="nil"/>
            </w:tcBorders>
          </w:tcPr>
          <w:p>
            <w:pPr>
              <w:pStyle w:val="TableParagraph"/>
              <w:spacing w:before="123"/>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before="123"/>
              <w:ind w:start="107" w:end="92"/>
              <w:jc w:val="both"/>
            </w:pPr>
            <w:r>
              <w:t xml:space="preserve">Une </w:t>
            </w:r>
            <w:r>
              <w:t xml:space="preserve">étude </w:t>
            </w:r>
            <w:r>
              <w:t xml:space="preserve">longitudinale </w:t>
            </w:r>
            <w:r>
              <w:t xml:space="preserve">observationnelle </w:t>
            </w:r>
            <w:r>
              <w:t xml:space="preserve">prospective </w:t>
            </w:r>
            <w:r>
              <w:t xml:space="preserve">non contrôlée </w:t>
            </w:r>
            <w:r>
              <w:t xml:space="preserve">(</w:t>
            </w:r>
            <w:hyperlink r:id="rId117">
              <w:r>
                <w:rPr>
                  <w:color w:val="0000FF"/>
                  <w:u w:val="single" w:color="0000FF"/>
                </w:rPr>
                <w:t xml:space="preserve">de </w:t>
              </w:r>
            </w:hyperlink>
            <w:hyperlink r:id="rId118">
              <w:r>
                <w:rPr>
                  <w:color w:val="0000FF"/>
                  <w:u w:val="single" w:color="0000FF"/>
                </w:rPr>
                <w:t xml:space="preserve">Vries</w:t>
              </w:r>
              <w:r>
                <w:rPr>
                  <w:color w:val="0000FF"/>
                  <w:u w:val="single" w:color="0000FF"/>
                </w:rPr>
                <w:t xml:space="preserve">et</w:t>
              </w:r>
              <w:r>
                <w:rPr>
                  <w:color w:val="0000FF"/>
                  <w:u w:val="single" w:color="0000FF"/>
                </w:rPr>
                <w:t xml:space="preserve">al.</w:t>
              </w:r>
              <w:r>
                <w:rPr>
                  <w:color w:val="0000FF"/>
                  <w:u w:val="single" w:color="0000FF"/>
                </w:rPr>
                <w:t xml:space="preserve">2011</w:t>
              </w:r>
            </w:hyperlink>
            <w:r>
              <w:t xml:space="preserve">) </w:t>
            </w:r>
            <w:r>
              <w:t xml:space="preserve">a fourni des </w:t>
            </w:r>
            <w:r>
              <w:t xml:space="preserve">preuves </w:t>
            </w:r>
            <w:r>
              <w:t xml:space="preserve">relatives </w:t>
            </w:r>
            <w:r>
              <w:t xml:space="preserve">à </w:t>
            </w:r>
            <w:r>
              <w:t xml:space="preserve">l'</w:t>
            </w:r>
            <w:r>
              <w:t xml:space="preserve">impact </w:t>
            </w:r>
            <w:r>
              <w:t xml:space="preserve">sur la </w:t>
            </w:r>
            <w:r>
              <w:t xml:space="preserve">dépression </w:t>
            </w:r>
            <w:r>
              <w:t xml:space="preserve">chez les </w:t>
            </w:r>
            <w:r>
              <w:t xml:space="preserve">enfants </w:t>
            </w:r>
            <w:r>
              <w:t xml:space="preserve">et les </w:t>
            </w:r>
            <w:r>
              <w:t xml:space="preserve">adolescents </w:t>
            </w:r>
            <w:r>
              <w:t xml:space="preserve">atteints de </w:t>
            </w:r>
            <w:r>
              <w:t xml:space="preserve">dysphorie de </w:t>
            </w:r>
            <w:r>
              <w:t xml:space="preserve">genre</w:t>
            </w:r>
            <w:r>
              <w:t xml:space="preserve">. La </w:t>
            </w:r>
            <w:r>
              <w:t xml:space="preserve">dépression </w:t>
            </w:r>
            <w:r>
              <w:t xml:space="preserve">a été </w:t>
            </w:r>
            <w:r>
              <w:t xml:space="preserve">mesurée </w:t>
            </w:r>
            <w:r>
              <w:t xml:space="preserve">à l'aide </w:t>
            </w:r>
            <w:r>
              <w:t xml:space="preserve">du </w:t>
            </w:r>
            <w:r>
              <w:t xml:space="preserve">Beck Depression </w:t>
            </w:r>
            <w:r>
              <w:t xml:space="preserve">Inventory-II </w:t>
            </w:r>
            <w:r>
              <w:t xml:space="preserve">(BDI-II). </w:t>
            </w:r>
            <w:r>
              <w:t xml:space="preserve">Le </w:t>
            </w:r>
            <w:r>
              <w:t xml:space="preserve">BDI-II </w:t>
            </w:r>
            <w:r>
              <w:t xml:space="preserve">est </w:t>
            </w:r>
            <w:r>
              <w:t xml:space="preserve">un </w:t>
            </w:r>
            <w:r>
              <w:t xml:space="preserve">outil </w:t>
            </w:r>
            <w:r>
              <w:t xml:space="preserve">valide, </w:t>
            </w:r>
            <w:r>
              <w:t xml:space="preserve">fiable </w:t>
            </w:r>
            <w:r>
              <w:t xml:space="preserve">et </w:t>
            </w:r>
            <w:r>
              <w:t xml:space="preserve">largement </w:t>
            </w:r>
            <w:r>
              <w:t xml:space="preserve">utilisé </w:t>
            </w:r>
            <w:r>
              <w:t xml:space="preserve">pour </w:t>
            </w:r>
            <w:r>
              <w:t xml:space="preserve">évaluer les </w:t>
            </w:r>
            <w:r>
              <w:t xml:space="preserve">symptômes </w:t>
            </w:r>
            <w:r>
              <w:t xml:space="preserve">dépressifs</w:t>
            </w:r>
            <w:r>
              <w:t xml:space="preserve">. </w:t>
            </w:r>
            <w:r>
              <w:t xml:space="preserve">Il </w:t>
            </w:r>
            <w:r>
              <w:t xml:space="preserve">n'existe pas de </w:t>
            </w:r>
            <w:r>
              <w:t xml:space="preserve">score </w:t>
            </w:r>
            <w:r>
              <w:t xml:space="preserve">spécifique </w:t>
            </w:r>
            <w:r>
              <w:t xml:space="preserve">pour </w:t>
            </w:r>
            <w:r>
              <w:t xml:space="preserve">catégoriser la gravité de la dépression, mais il est suggéré que 0 à 13 correspond à des </w:t>
            </w:r>
            <w:r>
              <w:t xml:space="preserve">symptômes minimes, 14 à 19 à une dépression légère, 20 à 28 à une </w:t>
            </w:r>
            <w:r>
              <w:t xml:space="preserve">dépression </w:t>
            </w:r>
            <w:r>
              <w:t xml:space="preserve">modérée </w:t>
            </w:r>
            <w:r>
              <w:t xml:space="preserve">et </w:t>
            </w:r>
            <w:r>
              <w:t xml:space="preserve">29 </w:t>
            </w:r>
            <w:r>
              <w:t xml:space="preserve">à </w:t>
            </w:r>
            <w:r>
              <w:t xml:space="preserve">63 à une </w:t>
            </w:r>
            <w:r>
              <w:t xml:space="preserve">dépression </w:t>
            </w:r>
            <w:r>
              <w:t xml:space="preserve">sévère</w:t>
            </w:r>
            <w:r>
              <w:t xml:space="preserve">.</w:t>
            </w:r>
          </w:p>
        </w:tc>
      </w:tr>
      <w:tr w:rsidR="00432386">
        <w:trPr>
          <w:trHeight w:val="1548"/>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pPr>
            <w:r>
              <w:t xml:space="preserve">L</w:t>
            </w:r>
            <w:r>
              <w:t xml:space="preserve">'</w:t>
            </w:r>
            <w:r>
              <w:t xml:space="preserve">étude a </w:t>
            </w:r>
            <w:r>
              <w:t xml:space="preserve">fourni des </w:t>
            </w:r>
            <w:r>
              <w:t xml:space="preserve">preuves </w:t>
            </w:r>
            <w:r>
              <w:t xml:space="preserve">de la </w:t>
            </w:r>
            <w:r>
              <w:t xml:space="preserve">dépression </w:t>
            </w:r>
            <w:r>
              <w:t xml:space="preserve">mesurée </w:t>
            </w:r>
            <w:r>
              <w:t xml:space="preserve">à </w:t>
            </w:r>
            <w:r>
              <w:t xml:space="preserve">deux </w:t>
            </w:r>
            <w:r>
              <w:t xml:space="preserve">moments :</w:t>
            </w:r>
          </w:p>
          <w:p>
            <w:pPr>
              <w:pStyle w:val="TableParagraph"/>
              <w:numPr>
                <w:ilvl w:val="0"/>
                <w:numId w:val="174"/>
              </w:numPr>
              <w:tabs>
                <w:tab w:val="left" w:pos="828"/>
                <w:tab w:val="left" w:pos="829"/>
              </w:tabs>
              <w:spacing w:before="4"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w:t>
            </w:r>
            <w:r>
              <w:rPr>
                <w:sz w:val="20"/>
              </w:rPr>
              <w:t xml:space="preserve">±SD</w:t>
            </w:r>
            <w:r>
              <w:t xml:space="preserve">] </w:t>
            </w:r>
            <w:r>
              <w:t xml:space="preserve">: </w:t>
            </w:r>
            <w:r>
              <w:t xml:space="preserve">14,75 </w:t>
            </w:r>
            <w:r>
              <w:t xml:space="preserve">[±1,92] </w:t>
            </w:r>
            <w:r>
              <w:t xml:space="preserve">ans), </w:t>
            </w:r>
            <w:r>
              <w:t xml:space="preserve">et</w:t>
            </w:r>
          </w:p>
          <w:p>
            <w:pPr>
              <w:pStyle w:val="TableParagraph"/>
              <w:numPr>
                <w:ilvl w:val="0"/>
                <w:numId w:val="174"/>
              </w:numPr>
              <w:tabs>
                <w:tab w:val="left" w:pos="828"/>
                <w:tab w:val="left" w:pos="829"/>
              </w:tabs>
              <w:spacing w:before="3"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w:t>
            </w:r>
            <w:r>
              <w:rPr>
                <w:sz w:val="20"/>
              </w:rPr>
              <w:t xml:space="preserve">±SD</w:t>
            </w:r>
            <w:r>
              <w:t xml:space="preserve">] </w:t>
            </w:r>
            <w:r>
              <w:t xml:space="preserve">: 16,64 </w:t>
            </w:r>
            <w:r>
              <w:t xml:space="preserve">[±1,90] </w:t>
            </w:r>
            <w:r>
              <w:t xml:space="preserve">ans).</w:t>
            </w:r>
          </w:p>
        </w:tc>
      </w:tr>
      <w:tr w:rsidR="00432386">
        <w:trPr>
          <w:trHeight w:val="1011"/>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end="94"/>
              <w:jc w:val="both"/>
            </w:pPr>
            <w:r>
              <w:t xml:space="preserve">Le score moyen (±SD) de dépression (BDI) était statistiquement significativement </w:t>
            </w:r>
            <w:r>
              <w:t xml:space="preserve">plus bas (amélioré) par rapport au départ et au suivi (n=41, 8,31 </w:t>
            </w:r>
            <w:r>
              <w:t xml:space="preserve">[±7,12] </w:t>
            </w:r>
            <w:r>
              <w:t xml:space="preserve">contre 4,95 </w:t>
            </w:r>
            <w:r>
              <w:t xml:space="preserve">[ </w:t>
            </w:r>
            <w:r>
              <w:t xml:space="preserve">±6,72], </w:t>
            </w:r>
            <w:r>
              <w:t xml:space="preserve">p=0,004) </w:t>
            </w:r>
            <w:r>
              <w:rPr>
                <w:b/>
              </w:rPr>
              <w:t xml:space="preserve">(TRÈS </w:t>
            </w:r>
            <w:r>
              <w:rPr>
                <w:b/>
              </w:rPr>
              <w:t xml:space="preserve">FAIBLE)</w:t>
            </w:r>
            <w:r>
              <w:t xml:space="preserve">.</w:t>
            </w:r>
          </w:p>
        </w:tc>
      </w:tr>
      <w:tr w:rsidR="00432386">
        <w:trPr>
          <w:trHeight w:val="882"/>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2"/>
              <w:ind w:start="107"/>
              <w:rPr>
                <w:b/>
              </w:rPr>
            </w:pPr>
            <w:r>
              <w:rPr>
                <w:b/>
              </w:rPr>
              <w:t xml:space="preserve">Cette </w:t>
            </w:r>
            <w:r>
              <w:rPr>
                <w:b/>
              </w:rPr>
              <w:t xml:space="preserve">étude </w:t>
            </w:r>
            <w:r>
              <w:rPr>
                <w:b/>
              </w:rPr>
              <w:t xml:space="preserve">fournit des </w:t>
            </w:r>
            <w:r>
              <w:rPr>
                <w:b/>
              </w:rPr>
              <w:t xml:space="preserve">preuves de </w:t>
            </w:r>
            <w:r>
              <w:rPr>
                <w:b/>
              </w:rPr>
              <w:t xml:space="preserve">très </w:t>
            </w:r>
            <w:r>
              <w:rPr>
                <w:b/>
              </w:rPr>
              <w:t xml:space="preserve">faible </w:t>
            </w:r>
            <w:r>
              <w:rPr>
                <w:b/>
              </w:rPr>
              <w:t xml:space="preserve">certitude </w:t>
            </w:r>
            <w:r>
              <w:rPr>
                <w:b/>
              </w:rPr>
              <w:t xml:space="preserve">que le </w:t>
            </w:r>
            <w:r>
              <w:rPr>
                <w:b/>
              </w:rPr>
              <w:t xml:space="preserve">traitement</w:t>
            </w:r>
          </w:p>
          <w:p>
            <w:pPr>
              <w:pStyle w:val="TableParagraph"/>
              <w:spacing w:line="252" w:lineRule="exact"/>
              <w:ind w:start="107"/>
              <w:rPr>
                <w:b/>
              </w:rPr>
            </w:pPr>
            <w:r>
              <w:rPr>
                <w:b/>
                <w:spacing w:val="-1"/>
              </w:rPr>
              <w:t xml:space="preserve">avec des </w:t>
            </w:r>
            <w:r>
              <w:rPr>
                <w:b/>
              </w:rPr>
              <w:t xml:space="preserve">analogues de la </w:t>
            </w:r>
            <w:r>
              <w:rPr>
                <w:b/>
              </w:rPr>
              <w:t xml:space="preserve">GnRH</w:t>
            </w:r>
            <w:r>
              <w:rPr>
                <w:b/>
              </w:rPr>
              <w:t xml:space="preserve">, </w:t>
            </w:r>
            <w:r>
              <w:rPr>
                <w:b/>
              </w:rPr>
              <w:t xml:space="preserve">avant de </w:t>
            </w:r>
            <w:r>
              <w:rPr>
                <w:b/>
              </w:rPr>
              <w:t xml:space="preserve">commencer les </w:t>
            </w:r>
            <w:r>
              <w:rPr>
                <w:b/>
              </w:rPr>
              <w:t xml:space="preserve">hormones </w:t>
            </w:r>
            <w:r>
              <w:rPr>
                <w:b/>
              </w:rPr>
              <w:t xml:space="preserve">d'affirmation du genre</w:t>
            </w:r>
            <w:r>
              <w:rPr>
                <w:b/>
              </w:rPr>
              <w:t xml:space="preserve">, </w:t>
            </w:r>
            <w:r>
              <w:rPr>
                <w:b/>
              </w:rPr>
              <w:t xml:space="preserve">peut </w:t>
            </w:r>
            <w:r>
              <w:rPr>
                <w:b/>
              </w:rPr>
              <w:t xml:space="preserve">réduire la </w:t>
            </w:r>
            <w:r>
              <w:rPr>
                <w:b/>
              </w:rPr>
              <w:t xml:space="preserve">dépression.</w:t>
            </w:r>
          </w:p>
        </w:tc>
      </w:tr>
      <w:tr w:rsidR="00432386">
        <w:trPr>
          <w:trHeight w:val="888"/>
        </w:trPr>
        <w:tc>
          <w:tcPr>
            <w:tcW w:w="1980" w:type="dxa"/>
            <w:tcBorders>
              <w:bottom w:val="nil"/>
            </w:tcBorders>
          </w:tcPr>
          <w:p>
            <w:pPr>
              <w:pStyle w:val="TableParagraph"/>
              <w:ind w:start="107" w:end="351"/>
              <w:rPr>
                <w:b/>
              </w:rPr>
            </w:pPr>
            <w:r>
              <w:rPr>
                <w:b/>
              </w:rPr>
              <w:t xml:space="preserve">Impact sur la </w:t>
            </w:r>
            <w:r>
              <w:rPr>
                <w:b/>
              </w:rPr>
              <w:t xml:space="preserve">santé mentale : </w:t>
            </w:r>
            <w:r>
              <w:rPr>
                <w:b/>
              </w:rPr>
              <w:t xml:space="preserve">colère</w:t>
            </w:r>
          </w:p>
        </w:tc>
        <w:tc>
          <w:tcPr>
            <w:tcW w:w="7089" w:type="dxa"/>
            <w:tcBorders>
              <w:bottom w:val="nil"/>
            </w:tcBorders>
          </w:tcPr>
          <w:p>
            <w:pPr>
              <w:pStyle w:val="TableParagraph"/>
              <w:ind w:start="107" w:end="95"/>
              <w:jc w:val="both"/>
            </w:pPr>
            <w:r>
              <w:t xml:space="preserve">Il s'agit d'un résultat essentiel car </w:t>
            </w:r>
            <w:r>
              <w:t xml:space="preserve">l</w:t>
            </w:r>
            <w:r>
              <w:t xml:space="preserve">'</w:t>
            </w:r>
            <w:r>
              <w:t xml:space="preserve">automutilation et les pensées suicidaires </w:t>
            </w:r>
            <w:r>
              <w:t xml:space="preserve">peuvent </w:t>
            </w:r>
            <w:r>
              <w:t xml:space="preserve">entraîner </w:t>
            </w:r>
            <w:r>
              <w:t xml:space="preserve">des </w:t>
            </w:r>
            <w:r>
              <w:t xml:space="preserve">dommages </w:t>
            </w:r>
            <w:r>
              <w:t xml:space="preserve">physiques </w:t>
            </w:r>
            <w:r>
              <w:t xml:space="preserve">importants </w:t>
            </w:r>
            <w:r>
              <w:t xml:space="preserve">et, dans le </w:t>
            </w:r>
            <w:r>
              <w:t xml:space="preserve">cas des </w:t>
            </w:r>
            <w:r>
              <w:t xml:space="preserve">suicides </w:t>
            </w:r>
            <w:r>
              <w:t xml:space="preserve">complets</w:t>
            </w:r>
            <w:r>
              <w:t xml:space="preserve">, </w:t>
            </w:r>
            <w:r>
              <w:t xml:space="preserve">la </w:t>
            </w:r>
            <w:r>
              <w:t xml:space="preserve">mort </w:t>
            </w:r>
            <w:r>
              <w:t xml:space="preserve">du </w:t>
            </w:r>
            <w:r>
              <w:t xml:space="preserve">jeune.</w:t>
            </w:r>
          </w:p>
        </w:tc>
      </w:tr>
      <w:tr w:rsidR="00432386">
        <w:trPr>
          <w:trHeight w:val="2024"/>
        </w:trPr>
        <w:tc>
          <w:tcPr>
            <w:tcW w:w="1980" w:type="dxa"/>
            <w:tcBorders>
              <w:top w:val="nil"/>
              <w:bottom w:val="nil"/>
            </w:tcBorders>
          </w:tcPr>
          <w:p>
            <w:pPr>
              <w:pStyle w:val="TableParagraph"/>
              <w:spacing w:before="122"/>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before="122"/>
              <w:ind w:start="107" w:end="93"/>
              <w:jc w:val="both"/>
            </w:pPr>
            <w:r>
              <w:t xml:space="preserve">Une </w:t>
            </w:r>
            <w:r>
              <w:t xml:space="preserve">étude </w:t>
            </w:r>
            <w:r>
              <w:t xml:space="preserve">longitudinale </w:t>
            </w:r>
            <w:r>
              <w:t xml:space="preserve">observationnelle </w:t>
            </w:r>
            <w:r>
              <w:t xml:space="preserve">prospective </w:t>
            </w:r>
            <w:r>
              <w:t xml:space="preserve">non contrôlée </w:t>
            </w:r>
            <w:r>
              <w:t xml:space="preserve">(</w:t>
            </w:r>
            <w:hyperlink r:id="rId119">
              <w:r>
                <w:rPr>
                  <w:color w:val="0000FF"/>
                  <w:u w:val="single" w:color="0000FF"/>
                </w:rPr>
                <w:t xml:space="preserve">de </w:t>
              </w:r>
            </w:hyperlink>
            <w:hyperlink r:id="rId120">
              <w:r>
                <w:rPr>
                  <w:color w:val="0000FF"/>
                  <w:u w:val="single" w:color="0000FF"/>
                </w:rPr>
                <w:t xml:space="preserve">Vries et al. 2011</w:t>
              </w:r>
            </w:hyperlink>
            <w:r>
              <w:t xml:space="preserve">) a fourni des preuves relatives à l'impact sur la colère chez les </w:t>
            </w:r>
            <w:r>
              <w:t xml:space="preserve">enfants et les adolescents atteints de dysphorie de genre. La colère a été mesurée </w:t>
            </w:r>
            <w:r>
              <w:t xml:space="preserve">à l'aide de l'</w:t>
            </w:r>
            <w:r>
              <w:t xml:space="preserve">échelle </w:t>
            </w:r>
            <w:r>
              <w:t xml:space="preserve">Trait Anger </w:t>
            </w:r>
            <w:r>
              <w:t xml:space="preserve">Scale du State-Trait Personality Inventory </w:t>
            </w:r>
            <w:r>
              <w:t xml:space="preserve">(TPI). Il s'agit d'un outil d'inventaire validé en 20 points qui mesure l'</w:t>
            </w:r>
            <w:r>
              <w:t xml:space="preserve">intensité de la colère en tant que disposition à éprouver des sentiments de colère en tant que </w:t>
            </w:r>
            <w:r>
              <w:t xml:space="preserve">trait de </w:t>
            </w:r>
            <w:r>
              <w:t xml:space="preserve">personnalité</w:t>
            </w:r>
            <w:r>
              <w:t xml:space="preserve">. Des </w:t>
            </w:r>
            <w:r>
              <w:t xml:space="preserve">scores </w:t>
            </w:r>
            <w:r>
              <w:t xml:space="preserve">plus élevés </w:t>
            </w:r>
            <w:r>
              <w:t xml:space="preserve">indiquent une </w:t>
            </w:r>
            <w:r>
              <w:t xml:space="preserve">plus grande </w:t>
            </w:r>
            <w:r>
              <w:t xml:space="preserve">colère.</w:t>
            </w:r>
          </w:p>
        </w:tc>
      </w:tr>
      <w:tr w:rsidR="00432386">
        <w:trPr>
          <w:trHeight w:val="1547"/>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pPr>
            <w:r>
              <w:t xml:space="preserve">L</w:t>
            </w:r>
            <w:r>
              <w:t xml:space="preserve">'</w:t>
            </w:r>
            <w:r>
              <w:t xml:space="preserve">étude a </w:t>
            </w:r>
            <w:r>
              <w:t xml:space="preserve">fourni des </w:t>
            </w:r>
            <w:r>
              <w:t xml:space="preserve">preuves </w:t>
            </w:r>
            <w:r>
              <w:t xml:space="preserve">de la </w:t>
            </w:r>
            <w:r>
              <w:t xml:space="preserve">colère </w:t>
            </w:r>
            <w:r>
              <w:t xml:space="preserve">mesurée </w:t>
            </w:r>
            <w:r>
              <w:t xml:space="preserve">à </w:t>
            </w:r>
            <w:r>
              <w:t xml:space="preserve">deux </w:t>
            </w:r>
            <w:r>
              <w:t xml:space="preserve">moments :</w:t>
            </w:r>
          </w:p>
          <w:p>
            <w:pPr>
              <w:pStyle w:val="TableParagraph"/>
              <w:numPr>
                <w:ilvl w:val="0"/>
                <w:numId w:val="173"/>
              </w:numPr>
              <w:tabs>
                <w:tab w:val="left" w:pos="828"/>
                <w:tab w:val="left" w:pos="829"/>
              </w:tabs>
              <w:spacing w:before="3"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w:t>
            </w:r>
            <w:r>
              <w:rPr>
                <w:sz w:val="20"/>
              </w:rPr>
              <w:t xml:space="preserve">±SD</w:t>
            </w:r>
            <w:r>
              <w:t xml:space="preserve">] </w:t>
            </w:r>
            <w:r>
              <w:t xml:space="preserve">: </w:t>
            </w:r>
            <w:r>
              <w:t xml:space="preserve">14,75 </w:t>
            </w:r>
            <w:r>
              <w:t xml:space="preserve">[±1,92] </w:t>
            </w:r>
            <w:r>
              <w:t xml:space="preserve">ans), </w:t>
            </w:r>
            <w:r>
              <w:t xml:space="preserve">et</w:t>
            </w:r>
          </w:p>
          <w:p>
            <w:pPr>
              <w:pStyle w:val="TableParagraph"/>
              <w:numPr>
                <w:ilvl w:val="0"/>
                <w:numId w:val="173"/>
              </w:numPr>
              <w:tabs>
                <w:tab w:val="left" w:pos="828"/>
                <w:tab w:val="left" w:pos="829"/>
              </w:tabs>
              <w:spacing w:before="4"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w:t>
            </w:r>
            <w:r>
              <w:rPr>
                <w:sz w:val="20"/>
              </w:rPr>
              <w:t xml:space="preserve">±SD</w:t>
            </w:r>
            <w:r>
              <w:t xml:space="preserve">] </w:t>
            </w:r>
            <w:r>
              <w:t xml:space="preserve">: 16,64 </w:t>
            </w:r>
            <w:r>
              <w:t xml:space="preserve">[±1,90] </w:t>
            </w:r>
            <w:r>
              <w:t xml:space="preserve">ans).</w:t>
            </w:r>
          </w:p>
        </w:tc>
      </w:tr>
      <w:tr w:rsidR="00432386">
        <w:trPr>
          <w:trHeight w:val="1011"/>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2"/>
              <w:ind w:start="107" w:end="97"/>
              <w:jc w:val="both"/>
            </w:pPr>
            <w:r>
              <w:t xml:space="preserve">Le score moyen (±SD) de colère (TPI) n'était pas statistiquement </w:t>
            </w:r>
            <w:r>
              <w:t xml:space="preserve">différent </w:t>
            </w:r>
            <w:r>
              <w:t xml:space="preserve">au </w:t>
            </w:r>
            <w:r>
              <w:t xml:space="preserve">départ par rapport au suivi (n=41, </w:t>
            </w:r>
            <w:r>
              <w:t xml:space="preserve">18,29 [±5,54] </w:t>
            </w:r>
            <w:r>
              <w:t xml:space="preserve">contre </w:t>
            </w:r>
            <w:r>
              <w:t xml:space="preserve">17,88 </w:t>
            </w:r>
            <w:r>
              <w:t xml:space="preserve">[±5,24], </w:t>
            </w:r>
            <w:r>
              <w:t xml:space="preserve">p=0,503) </w:t>
            </w:r>
            <w:r>
              <w:rPr>
                <w:b/>
              </w:rPr>
              <w:t xml:space="preserve">(TRÈS </w:t>
            </w:r>
            <w:r>
              <w:rPr>
                <w:b/>
              </w:rPr>
              <w:t xml:space="preserve">FAIBLE)</w:t>
            </w:r>
            <w:r>
              <w:t xml:space="preserve">.</w:t>
            </w:r>
          </w:p>
        </w:tc>
      </w:tr>
      <w:tr w:rsidR="00432386">
        <w:trPr>
          <w:trHeight w:val="881"/>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3"/>
              <w:ind w:start="107"/>
              <w:rPr>
                <w:b/>
              </w:rPr>
            </w:pPr>
            <w:r>
              <w:rPr>
                <w:b/>
              </w:rPr>
              <w:t xml:space="preserve">Cette </w:t>
            </w:r>
            <w:r>
              <w:rPr>
                <w:b/>
              </w:rPr>
              <w:t xml:space="preserve">étude </w:t>
            </w:r>
            <w:r>
              <w:rPr>
                <w:b/>
              </w:rPr>
              <w:t xml:space="preserve">fournit une </w:t>
            </w:r>
            <w:r>
              <w:rPr>
                <w:b/>
              </w:rPr>
              <w:t xml:space="preserve">preuve de </w:t>
            </w:r>
            <w:r>
              <w:rPr>
                <w:b/>
              </w:rPr>
              <w:t xml:space="preserve">très </w:t>
            </w:r>
            <w:r>
              <w:rPr>
                <w:b/>
              </w:rPr>
              <w:t xml:space="preserve">faible </w:t>
            </w:r>
            <w:r>
              <w:rPr>
                <w:b/>
              </w:rPr>
              <w:t xml:space="preserve">certitude </w:t>
            </w:r>
            <w:r>
              <w:rPr>
                <w:b/>
              </w:rPr>
              <w:t xml:space="preserve">que le </w:t>
            </w:r>
            <w:r>
              <w:rPr>
                <w:b/>
              </w:rPr>
              <w:t xml:space="preserve">traitement </w:t>
            </w:r>
            <w:r>
              <w:rPr>
                <w:b/>
                <w:spacing w:val="-1"/>
              </w:rPr>
              <w:t xml:space="preserve">avec des </w:t>
            </w:r>
            <w:r>
              <w:rPr>
                <w:b/>
              </w:rPr>
              <w:t xml:space="preserve">analogues de la </w:t>
            </w:r>
            <w:r>
              <w:rPr>
                <w:b/>
              </w:rPr>
              <w:t xml:space="preserve">GnRH</w:t>
            </w:r>
            <w:r>
              <w:rPr>
                <w:b/>
              </w:rPr>
              <w:t xml:space="preserve">, </w:t>
            </w:r>
            <w:r>
              <w:rPr>
                <w:b/>
              </w:rPr>
              <w:t xml:space="preserve">avant de </w:t>
            </w:r>
            <w:r>
              <w:rPr>
                <w:b/>
              </w:rPr>
              <w:t xml:space="preserve">commencer les </w:t>
            </w:r>
            <w:r>
              <w:rPr>
                <w:b/>
              </w:rPr>
              <w:t xml:space="preserve">hormones </w:t>
            </w:r>
            <w:r>
              <w:rPr>
                <w:b/>
              </w:rPr>
              <w:t xml:space="preserve">d'affirmation du genre</w:t>
            </w:r>
            <w:r>
              <w:rPr>
                <w:b/>
              </w:rPr>
              <w:t xml:space="preserve">,</w:t>
            </w:r>
          </w:p>
          <w:p>
            <w:pPr>
              <w:pStyle w:val="TableParagraph"/>
              <w:spacing w:line="232" w:lineRule="exact"/>
              <w:ind w:start="107"/>
              <w:rPr>
                <w:b/>
              </w:rPr>
            </w:pPr>
            <w:r>
              <w:rPr>
                <w:b/>
              </w:rPr>
              <w:t xml:space="preserve">n'</w:t>
            </w:r>
            <w:r>
              <w:rPr>
                <w:b/>
              </w:rPr>
              <w:t xml:space="preserve">affecte </w:t>
            </w:r>
            <w:r>
              <w:rPr>
                <w:b/>
              </w:rPr>
              <w:t xml:space="preserve">pas </w:t>
            </w:r>
            <w:r>
              <w:rPr>
                <w:b/>
              </w:rPr>
              <w:t xml:space="preserve">la </w:t>
            </w:r>
            <w:r>
              <w:rPr>
                <w:b/>
              </w:rPr>
              <w:t xml:space="preserve">colère.</w:t>
            </w:r>
          </w:p>
        </w:tc>
      </w:tr>
    </w:tbl>
    <w:p w:rsidR="00432386" w:rsidRDefault="00432386">
      <w:pPr>
        <w:spacing w:line="232"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6607"/>
        </w:trPr>
        <w:tc>
          <w:tcPr>
            <w:tcW w:w="1980" w:type="dxa"/>
          </w:tcPr>
          <w:p>
            <w:pPr>
              <w:pStyle w:val="TableParagraph"/>
              <w:ind w:start="107" w:end="351"/>
              <w:rPr>
                <w:b/>
              </w:rPr>
            </w:pPr>
            <w:r>
              <w:rPr>
                <w:b/>
              </w:rPr>
              <w:lastRenderedPageBreak/>
              <w:t xml:space="preserve">Impact sur la </w:t>
            </w:r>
            <w:r>
              <w:rPr>
                <w:b/>
              </w:rPr>
              <w:t xml:space="preserve">santé mentale : </w:t>
            </w:r>
            <w:r>
              <w:rPr>
                <w:b/>
              </w:rPr>
              <w:t xml:space="preserve">anxiété</w:t>
            </w:r>
          </w:p>
          <w:p w:rsidR="00432386" w:rsidRDefault="00432386">
            <w:pPr>
              <w:pStyle w:val="TableParagraph"/>
              <w:spacing w:before="10"/>
              <w:rPr>
                <w:b/>
                <w:sz w:val="21"/>
              </w:rPr>
            </w:pPr>
          </w:p>
          <w:p>
            <w:pPr>
              <w:pStyle w:val="TableParagraph"/>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ind w:start="107" w:end="97"/>
              <w:jc w:val="both"/>
            </w:pPr>
            <w:r>
              <w:t xml:space="preserve">Il s'agit d'un résultat essentiel car </w:t>
            </w:r>
            <w:r>
              <w:t xml:space="preserve">l</w:t>
            </w:r>
            <w:r>
              <w:t xml:space="preserve">'</w:t>
            </w:r>
            <w:r>
              <w:t xml:space="preserve">automutilation et les pensées suicidaires </w:t>
            </w:r>
            <w:r>
              <w:t xml:space="preserve">peuvent </w:t>
            </w:r>
            <w:r>
              <w:t xml:space="preserve">entraîner </w:t>
            </w:r>
            <w:r>
              <w:t xml:space="preserve">des </w:t>
            </w:r>
            <w:r>
              <w:t xml:space="preserve">dommages </w:t>
            </w:r>
            <w:r>
              <w:t xml:space="preserve">physiques </w:t>
            </w:r>
            <w:r>
              <w:t xml:space="preserve">importants </w:t>
            </w:r>
            <w:r>
              <w:t xml:space="preserve">et, dans le </w:t>
            </w:r>
            <w:r>
              <w:t xml:space="preserve">cas des </w:t>
            </w:r>
            <w:r>
              <w:t xml:space="preserve">suicides </w:t>
            </w:r>
            <w:r>
              <w:t xml:space="preserve">complets</w:t>
            </w:r>
            <w:r>
              <w:t xml:space="preserve">, </w:t>
            </w:r>
            <w:r>
              <w:t xml:space="preserve">la </w:t>
            </w:r>
            <w:r>
              <w:t xml:space="preserve">mort </w:t>
            </w:r>
            <w:r>
              <w:t xml:space="preserve">du </w:t>
            </w:r>
            <w:r>
              <w:t xml:space="preserve">jeune.</w:t>
            </w:r>
          </w:p>
          <w:p w:rsidR="00432386" w:rsidRDefault="00432386">
            <w:pPr>
              <w:pStyle w:val="TableParagraph"/>
              <w:spacing w:before="10"/>
              <w:rPr>
                <w:b/>
                <w:sz w:val="21"/>
              </w:rPr>
            </w:pPr>
          </w:p>
          <w:p>
            <w:pPr>
              <w:pStyle w:val="TableParagraph"/>
              <w:ind w:start="107" w:end="93"/>
              <w:jc w:val="both"/>
            </w:pPr>
            <w:r>
              <w:t xml:space="preserve">Une </w:t>
            </w:r>
            <w:r>
              <w:t xml:space="preserve">étude </w:t>
            </w:r>
            <w:r>
              <w:t xml:space="preserve">longitudinale </w:t>
            </w:r>
            <w:r>
              <w:t xml:space="preserve">observationnelle </w:t>
            </w:r>
            <w:r>
              <w:t xml:space="preserve">prospective </w:t>
            </w:r>
            <w:r>
              <w:t xml:space="preserve">non contrôlée </w:t>
            </w:r>
            <w:r>
              <w:t xml:space="preserve">(</w:t>
            </w:r>
            <w:hyperlink r:id="rId121">
              <w:r>
                <w:rPr>
                  <w:color w:val="0000FF"/>
                  <w:u w:val="single" w:color="0000FF"/>
                </w:rPr>
                <w:t xml:space="preserve">de </w:t>
              </w:r>
            </w:hyperlink>
            <w:hyperlink r:id="rId122">
              <w:r>
                <w:rPr>
                  <w:color w:val="0000FF"/>
                  <w:u w:val="single" w:color="0000FF"/>
                </w:rPr>
                <w:t xml:space="preserve">Vries</w:t>
              </w:r>
              <w:r>
                <w:rPr>
                  <w:color w:val="0000FF"/>
                  <w:u w:val="single" w:color="0000FF"/>
                </w:rPr>
                <w:t xml:space="preserve">et</w:t>
              </w:r>
              <w:r>
                <w:rPr>
                  <w:color w:val="0000FF"/>
                  <w:u w:val="single" w:color="0000FF"/>
                </w:rPr>
                <w:t xml:space="preserve">al.</w:t>
              </w:r>
              <w:r>
                <w:rPr>
                  <w:color w:val="0000FF"/>
                  <w:u w:val="single" w:color="0000FF"/>
                </w:rPr>
                <w:t xml:space="preserve">2011</w:t>
              </w:r>
            </w:hyperlink>
            <w:r>
              <w:t xml:space="preserve">) </w:t>
            </w:r>
            <w:r>
              <w:t xml:space="preserve">a fourni des </w:t>
            </w:r>
            <w:r>
              <w:t xml:space="preserve">preuves </w:t>
            </w:r>
            <w:r>
              <w:t xml:space="preserve">relatives </w:t>
            </w:r>
            <w:r>
              <w:t xml:space="preserve">à </w:t>
            </w:r>
            <w:r>
              <w:t xml:space="preserve">l'</w:t>
            </w:r>
            <w:r>
              <w:t xml:space="preserve">impact </w:t>
            </w:r>
            <w:r>
              <w:t xml:space="preserve">sur l'</w:t>
            </w:r>
            <w:r>
              <w:t xml:space="preserve">anxiété </w:t>
            </w:r>
            <w:r>
              <w:t xml:space="preserve">chez les </w:t>
            </w:r>
            <w:r>
              <w:rPr>
                <w:spacing w:val="-1"/>
              </w:rPr>
              <w:t xml:space="preserve">enfants </w:t>
            </w:r>
            <w:r>
              <w:rPr>
                <w:spacing w:val="-1"/>
              </w:rPr>
              <w:t xml:space="preserve">et les </w:t>
            </w:r>
            <w:r>
              <w:rPr>
                <w:spacing w:val="-1"/>
              </w:rPr>
              <w:t xml:space="preserve">adolescents </w:t>
            </w:r>
            <w:r>
              <w:rPr>
                <w:spacing w:val="-1"/>
              </w:rPr>
              <w:t xml:space="preserve">atteints de </w:t>
            </w:r>
            <w:r>
              <w:t xml:space="preserve">dysphorie de </w:t>
            </w:r>
            <w:r>
              <w:rPr>
                <w:spacing w:val="-1"/>
              </w:rPr>
              <w:t xml:space="preserve">genre</w:t>
            </w:r>
            <w:r>
              <w:t xml:space="preserve">. L'</w:t>
            </w:r>
            <w:r>
              <w:t xml:space="preserve">anxiété </w:t>
            </w:r>
            <w:r>
              <w:t xml:space="preserve">a été </w:t>
            </w:r>
            <w:r>
              <w:t xml:space="preserve">mesurée </w:t>
            </w:r>
            <w:r>
              <w:t xml:space="preserve">à l'aide de l'échelle d'anxiété de trait de l'inventaire de personnalité d'état (</w:t>
            </w:r>
            <w:r>
              <w:t xml:space="preserve">STAI). Il s'agit d'une mesure validée et couramment utilisée de l'</w:t>
            </w:r>
            <w:r>
              <w:t xml:space="preserve">anxiété de </w:t>
            </w:r>
            <w:r>
              <w:t xml:space="preserve">trait et d'</w:t>
            </w:r>
            <w:r>
              <w:t xml:space="preserve">état. Elle comporte 20 items et peut être utilisée en milieu clinique pour </w:t>
            </w:r>
            <w:r>
              <w:t xml:space="preserve">diagnostiquer l'anxiété et la distinguer de la maladie dépressive. Des </w:t>
            </w:r>
            <w:r>
              <w:t xml:space="preserve">scores </w:t>
            </w:r>
            <w:r>
              <w:t xml:space="preserve">élevés </w:t>
            </w:r>
            <w:r>
              <w:t xml:space="preserve">indiquent une plus grande </w:t>
            </w:r>
            <w:r>
              <w:t xml:space="preserve">anxiété.</w:t>
            </w:r>
          </w:p>
          <w:p w:rsidR="00432386" w:rsidRDefault="00432386">
            <w:pPr>
              <w:pStyle w:val="TableParagraph"/>
              <w:spacing w:before="1"/>
              <w:rPr>
                <w:b/>
              </w:rPr>
            </w:pPr>
          </w:p>
          <w:p>
            <w:pPr>
              <w:pStyle w:val="TableParagraph"/>
              <w:ind w:start="107"/>
            </w:pPr>
            <w:r>
              <w:t xml:space="preserve">L</w:t>
            </w:r>
            <w:r>
              <w:t xml:space="preserve">'</w:t>
            </w:r>
            <w:r>
              <w:t xml:space="preserve">étude a </w:t>
            </w:r>
            <w:r>
              <w:t xml:space="preserve">fourni des </w:t>
            </w:r>
            <w:r>
              <w:t xml:space="preserve">preuves </w:t>
            </w:r>
            <w:r>
              <w:t xml:space="preserve">d'</w:t>
            </w:r>
            <w:r>
              <w:t xml:space="preserve">anxiété </w:t>
            </w:r>
            <w:r>
              <w:t xml:space="preserve">à </w:t>
            </w:r>
            <w:r>
              <w:t xml:space="preserve">deux </w:t>
            </w:r>
            <w:r>
              <w:t xml:space="preserve">moments :</w:t>
            </w:r>
          </w:p>
          <w:p>
            <w:pPr>
              <w:pStyle w:val="TableParagraph"/>
              <w:numPr>
                <w:ilvl w:val="0"/>
                <w:numId w:val="172"/>
              </w:numPr>
              <w:tabs>
                <w:tab w:val="left" w:pos="828"/>
                <w:tab w:val="left" w:pos="829"/>
              </w:tabs>
              <w:spacing w:before="3"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w:t>
            </w:r>
            <w:r>
              <w:rPr>
                <w:sz w:val="20"/>
              </w:rPr>
              <w:t xml:space="preserve">±SD</w:t>
            </w:r>
            <w:r>
              <w:t xml:space="preserve">] </w:t>
            </w:r>
            <w:r>
              <w:t xml:space="preserve">: </w:t>
            </w:r>
            <w:r>
              <w:t xml:space="preserve">14,75 </w:t>
            </w:r>
            <w:r>
              <w:t xml:space="preserve">[±1,92] </w:t>
            </w:r>
            <w:r>
              <w:t xml:space="preserve">ans), </w:t>
            </w:r>
            <w:r>
              <w:t xml:space="preserve">et</w:t>
            </w:r>
          </w:p>
          <w:p>
            <w:pPr>
              <w:pStyle w:val="TableParagraph"/>
              <w:numPr>
                <w:ilvl w:val="0"/>
                <w:numId w:val="172"/>
              </w:numPr>
              <w:tabs>
                <w:tab w:val="left" w:pos="828"/>
                <w:tab w:val="left" w:pos="829"/>
              </w:tabs>
              <w:spacing w:before="3"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w:t>
            </w:r>
            <w:r>
              <w:rPr>
                <w:sz w:val="20"/>
              </w:rPr>
              <w:t xml:space="preserve">±SD</w:t>
            </w:r>
            <w:r>
              <w:t xml:space="preserve">] </w:t>
            </w:r>
            <w:r>
              <w:t xml:space="preserve">: 16,64 </w:t>
            </w:r>
            <w:r>
              <w:t xml:space="preserve">[±1,90] </w:t>
            </w:r>
            <w:r>
              <w:t xml:space="preserve">ans).</w:t>
            </w:r>
          </w:p>
          <w:p w:rsidR="00432386" w:rsidRDefault="00432386">
            <w:pPr>
              <w:pStyle w:val="TableParagraph"/>
              <w:spacing w:before="2"/>
              <w:rPr>
                <w:b/>
              </w:rPr>
            </w:pPr>
          </w:p>
          <w:p>
            <w:pPr>
              <w:pStyle w:val="TableParagraph"/>
              <w:ind w:start="107" w:end="96"/>
              <w:jc w:val="both"/>
            </w:pPr>
            <w:r>
              <w:t xml:space="preserve">Le score moyen (±SD) d'anxiété (STAI) n'était pas statistiquement </w:t>
            </w:r>
            <w:r>
              <w:t xml:space="preserve">différent au départ par rapport au suivi (n=41, 39,43 [±10,07] </w:t>
            </w:r>
            <w:r>
              <w:t xml:space="preserve">contre </w:t>
            </w:r>
            <w:r>
              <w:t xml:space="preserve">37,95 </w:t>
            </w:r>
            <w:r>
              <w:t xml:space="preserve">[±9,38], </w:t>
            </w:r>
            <w:r>
              <w:t xml:space="preserve">p=0,276) </w:t>
            </w:r>
            <w:r>
              <w:t xml:space="preserve">(</w:t>
            </w:r>
            <w:r>
              <w:rPr>
                <w:b/>
              </w:rPr>
              <w:t xml:space="preserve">TRÈS FAIBLE)</w:t>
            </w:r>
            <w:r>
              <w:t xml:space="preserve">.</w:t>
            </w:r>
          </w:p>
          <w:p w:rsidR="00432386" w:rsidRDefault="00432386">
            <w:pPr>
              <w:pStyle w:val="TableParagraph"/>
              <w:spacing w:before="6"/>
              <w:rPr>
                <w:b/>
                <w:sz w:val="20"/>
              </w:rPr>
            </w:pPr>
          </w:p>
          <w:p>
            <w:pPr>
              <w:pStyle w:val="TableParagraph"/>
              <w:spacing w:line="252" w:lineRule="exact"/>
              <w:ind w:start="107" w:end="95"/>
              <w:jc w:val="both"/>
              <w:rPr>
                <w:b/>
              </w:rPr>
            </w:pPr>
            <w:r>
              <w:rPr>
                <w:b/>
              </w:rPr>
              <w:t xml:space="preserve">Cette étude fournit une preuve de très faible certitude que </w:t>
            </w:r>
            <w:r>
              <w:rPr>
                <w:b/>
              </w:rPr>
              <w:t xml:space="preserve">le</w:t>
            </w:r>
            <w:r>
              <w:rPr>
                <w:b/>
              </w:rPr>
              <w:t xml:space="preserve"> traitement </w:t>
            </w:r>
            <w:r>
              <w:rPr>
                <w:b/>
                <w:spacing w:val="-1"/>
              </w:rPr>
              <w:t xml:space="preserve">avec des </w:t>
            </w:r>
            <w:r>
              <w:rPr>
                <w:b/>
              </w:rPr>
              <w:t xml:space="preserve">analogues de la </w:t>
            </w:r>
            <w:r>
              <w:rPr>
                <w:b/>
              </w:rPr>
              <w:t xml:space="preserve">GnRH</w:t>
            </w:r>
            <w:r>
              <w:rPr>
                <w:b/>
              </w:rPr>
              <w:t xml:space="preserve">, </w:t>
            </w:r>
            <w:r>
              <w:rPr>
                <w:b/>
              </w:rPr>
              <w:t xml:space="preserve">avant de </w:t>
            </w:r>
            <w:r>
              <w:rPr>
                <w:b/>
              </w:rPr>
              <w:t xml:space="preserve">commencer les </w:t>
            </w:r>
            <w:r>
              <w:rPr>
                <w:b/>
              </w:rPr>
              <w:t xml:space="preserve">hormones </w:t>
            </w:r>
            <w:r>
              <w:rPr>
                <w:b/>
              </w:rPr>
              <w:t xml:space="preserve">d'affirmation du genre</w:t>
            </w:r>
            <w:r>
              <w:rPr>
                <w:b/>
              </w:rPr>
              <w:t xml:space="preserve">, </w:t>
            </w:r>
            <w:r>
              <w:rPr>
                <w:b/>
              </w:rPr>
              <w:t xml:space="preserve">n'</w:t>
            </w:r>
            <w:r>
              <w:rPr>
                <w:b/>
              </w:rPr>
              <w:t xml:space="preserve">affecte </w:t>
            </w:r>
            <w:r>
              <w:rPr>
                <w:b/>
              </w:rPr>
              <w:t xml:space="preserve">pas les </w:t>
            </w:r>
            <w:r>
              <w:rPr>
                <w:b/>
              </w:rPr>
              <w:t xml:space="preserve">niveaux d</w:t>
            </w:r>
            <w:r>
              <w:rPr>
                <w:b/>
              </w:rPr>
              <w:t xml:space="preserve">'</w:t>
            </w:r>
            <w:r>
              <w:rPr>
                <w:b/>
              </w:rPr>
              <w:t xml:space="preserve">anxiété.</w:t>
            </w:r>
          </w:p>
        </w:tc>
      </w:tr>
      <w:tr w:rsidR="00432386">
        <w:trPr>
          <w:trHeight w:val="1264"/>
        </w:trPr>
        <w:tc>
          <w:tcPr>
            <w:tcW w:w="1980" w:type="dxa"/>
          </w:tcPr>
          <w:p>
            <w:pPr>
              <w:pStyle w:val="TableParagraph"/>
              <w:ind w:start="107"/>
              <w:rPr>
                <w:b/>
              </w:rPr>
            </w:pPr>
            <w:r>
              <w:rPr>
                <w:b/>
              </w:rPr>
              <w:t xml:space="preserve">Qualité de </w:t>
            </w:r>
            <w:r>
              <w:rPr>
                <w:b/>
              </w:rPr>
              <w:t xml:space="preserve">la </w:t>
            </w:r>
            <w:r>
              <w:rPr>
                <w:b/>
              </w:rPr>
              <w:t xml:space="preserve">vie</w:t>
            </w:r>
          </w:p>
        </w:tc>
        <w:tc>
          <w:tcPr>
            <w:tcW w:w="7089" w:type="dxa"/>
          </w:tcPr>
          <w:p>
            <w:pPr>
              <w:pStyle w:val="TableParagraph"/>
              <w:ind w:start="107" w:end="94"/>
              <w:jc w:val="both"/>
            </w:pPr>
            <w:r>
              <w:t xml:space="preserve">Il s'agit d'un résultat essentiel car la dysphorie de genre chez les enfants et les </w:t>
            </w:r>
            <w:r>
              <w:t xml:space="preserve">adolescents peut être associée à une réduction significative de la </w:t>
            </w:r>
            <w:r>
              <w:t xml:space="preserve">qualité </w:t>
            </w:r>
            <w:r>
              <w:t xml:space="preserve">de </w:t>
            </w:r>
            <w:r>
              <w:t xml:space="preserve">vie </w:t>
            </w:r>
            <w:r>
              <w:t xml:space="preserve">liée à la </w:t>
            </w:r>
            <w:r>
              <w:t xml:space="preserve">santé</w:t>
            </w:r>
            <w:r>
              <w:t xml:space="preserve">.</w:t>
            </w:r>
          </w:p>
          <w:p w:rsidR="00432386" w:rsidRDefault="00432386">
            <w:pPr>
              <w:pStyle w:val="TableParagraph"/>
              <w:rPr>
                <w:b/>
              </w:rPr>
            </w:pPr>
          </w:p>
          <w:p>
            <w:pPr>
              <w:pStyle w:val="TableParagraph"/>
              <w:spacing w:line="232" w:lineRule="exact"/>
              <w:ind w:start="107"/>
              <w:jc w:val="both"/>
            </w:pPr>
            <w:r>
              <w:t xml:space="preserve">Aucune </w:t>
            </w:r>
            <w:r>
              <w:t xml:space="preserve">preuve </w:t>
            </w:r>
            <w:r>
              <w:t xml:space="preserve">n'a </w:t>
            </w:r>
            <w:r>
              <w:t xml:space="preserve">été </w:t>
            </w:r>
            <w:r>
              <w:t xml:space="preserve">identifiée.</w:t>
            </w:r>
          </w:p>
        </w:tc>
      </w:tr>
      <w:tr w:rsidR="00432386">
        <w:trPr>
          <w:trHeight w:val="518"/>
        </w:trPr>
        <w:tc>
          <w:tcPr>
            <w:tcW w:w="9069" w:type="dxa"/>
            <w:gridSpan w:val="2"/>
          </w:tcPr>
          <w:p>
            <w:pPr>
              <w:pStyle w:val="TableParagraph"/>
              <w:ind w:start="107"/>
              <w:rPr>
                <w:b/>
                <w:sz w:val="24"/>
              </w:rPr>
            </w:pPr>
            <w:r>
              <w:rPr>
                <w:b/>
                <w:sz w:val="24"/>
              </w:rPr>
              <w:t xml:space="preserve">Résultats </w:t>
            </w:r>
            <w:r>
              <w:rPr>
                <w:b/>
                <w:sz w:val="24"/>
              </w:rPr>
              <w:t xml:space="preserve">importants</w:t>
            </w:r>
          </w:p>
        </w:tc>
      </w:tr>
      <w:tr w:rsidR="00432386">
        <w:trPr>
          <w:trHeight w:val="5342"/>
        </w:trPr>
        <w:tc>
          <w:tcPr>
            <w:tcW w:w="1980" w:type="dxa"/>
          </w:tcPr>
          <w:p>
            <w:pPr>
              <w:pStyle w:val="TableParagraph"/>
              <w:ind w:start="107" w:end="217"/>
              <w:rPr>
                <w:b/>
              </w:rPr>
            </w:pPr>
            <w:r>
              <w:rPr>
                <w:b/>
              </w:rPr>
              <w:t xml:space="preserve">Impact sur l'</w:t>
            </w:r>
            <w:r>
              <w:rPr>
                <w:b/>
              </w:rPr>
              <w:t xml:space="preserve">image </w:t>
            </w:r>
            <w:r>
              <w:rPr>
                <w:b/>
              </w:rPr>
              <w:t xml:space="preserve">corporelle</w:t>
            </w:r>
          </w:p>
          <w:p w:rsidR="00432386" w:rsidRDefault="00432386">
            <w:pPr>
              <w:pStyle w:val="TableParagraph"/>
              <w:spacing w:before="10"/>
              <w:rPr>
                <w:b/>
                <w:sz w:val="21"/>
              </w:rPr>
            </w:pPr>
          </w:p>
          <w:p>
            <w:pPr>
              <w:pStyle w:val="TableParagraph"/>
              <w:spacing w:before="1"/>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ind w:start="107" w:end="94"/>
              <w:jc w:val="both"/>
            </w:pPr>
            <w:r>
              <w:t xml:space="preserve">Il s'agit d'un résultat important car certains enfants et adolescents </w:t>
            </w:r>
            <w:r>
              <w:t xml:space="preserve">souffrant de dysphorie de genre peuvent vouloir prendre des mesures pour supprimer les caractéristiques de </w:t>
            </w:r>
            <w:r>
              <w:t xml:space="preserve">leur </w:t>
            </w:r>
            <w:r>
              <w:t xml:space="preserve">apparence </w:t>
            </w:r>
            <w:r>
              <w:t xml:space="preserve">physique </w:t>
            </w:r>
            <w:r>
              <w:t xml:space="preserve">associées </w:t>
            </w:r>
            <w:r>
              <w:t xml:space="preserve">au </w:t>
            </w:r>
            <w:r>
              <w:t xml:space="preserve">sexe </w:t>
            </w:r>
            <w:r>
              <w:t xml:space="preserve">qui </w:t>
            </w:r>
            <w:r>
              <w:t xml:space="preserve">leur </w:t>
            </w:r>
            <w:r>
              <w:t xml:space="preserve">a été attribué à </w:t>
            </w:r>
            <w:r>
              <w:t xml:space="preserve">la </w:t>
            </w:r>
            <w:r>
              <w:t xml:space="preserve">naissance </w:t>
            </w:r>
            <w:r>
              <w:t xml:space="preserve">ou </w:t>
            </w:r>
            <w:r>
              <w:t xml:space="preserve">accentuer les </w:t>
            </w:r>
            <w:r>
              <w:t xml:space="preserve">caractéristiques </w:t>
            </w:r>
            <w:r>
              <w:t xml:space="preserve">physiques </w:t>
            </w:r>
            <w:r>
              <w:t xml:space="preserve">de </w:t>
            </w:r>
            <w:r>
              <w:t xml:space="preserve">leur genre désiré.</w:t>
            </w:r>
          </w:p>
          <w:p w:rsidR="00432386" w:rsidRDefault="00432386">
            <w:pPr>
              <w:pStyle w:val="TableParagraph"/>
              <w:spacing w:before="11"/>
              <w:rPr>
                <w:b/>
                <w:sz w:val="21"/>
              </w:rPr>
            </w:pPr>
          </w:p>
          <w:p>
            <w:pPr>
              <w:pStyle w:val="TableParagraph"/>
              <w:ind w:start="107" w:end="95"/>
              <w:jc w:val="both"/>
            </w:pPr>
            <w:r>
              <w:rPr>
                <w:spacing w:val="-1"/>
              </w:rPr>
              <w:t xml:space="preserve">Une </w:t>
            </w:r>
            <w:r>
              <w:t xml:space="preserve">étude </w:t>
            </w:r>
            <w:r>
              <w:t xml:space="preserve">longitudinale d'</w:t>
            </w:r>
            <w:r>
              <w:rPr>
                <w:spacing w:val="-1"/>
              </w:rPr>
              <w:t xml:space="preserve">observation </w:t>
            </w:r>
            <w:r>
              <w:rPr>
                <w:spacing w:val="-1"/>
              </w:rPr>
              <w:t xml:space="preserve">prospective </w:t>
            </w:r>
            <w:r>
              <w:rPr>
                <w:spacing w:val="-1"/>
              </w:rPr>
              <w:t xml:space="preserve">non contrôlée </w:t>
            </w:r>
            <w:r>
              <w:t xml:space="preserve">a fourni des </w:t>
            </w:r>
            <w:r>
              <w:t xml:space="preserve">preuves de l'impact sur l'image corporelle (</w:t>
            </w:r>
            <w:hyperlink r:id="rId123">
              <w:r>
                <w:rPr>
                  <w:color w:val="0000FF"/>
                  <w:u w:val="single" w:color="0000FF"/>
                </w:rPr>
                <w:t xml:space="preserve">de Vries et al. 2011</w:t>
              </w:r>
            </w:hyperlink>
            <w:r>
              <w:rPr>
                <w:color w:val="0000FF"/>
                <w:sz w:val="20"/>
                <w:u w:val="single" w:color="0000FF"/>
              </w:rPr>
              <w:t xml:space="preserve">)</w:t>
            </w:r>
            <w:r>
              <w:t xml:space="preserve">. </w:t>
            </w:r>
            <w:r>
              <w:t xml:space="preserve">L'image corporelle a été mesurée à l'aide de l'échelle d'image corporelle (BIS) qui est une </w:t>
            </w:r>
            <w:r>
              <w:t xml:space="preserve">échelle validée de 30 points couvrant 3 aspects : les </w:t>
            </w:r>
            <w:r>
              <w:t xml:space="preserve">caractéristiques corporelles </w:t>
            </w:r>
            <w:r>
              <w:t xml:space="preserve">primaires, secondaires </w:t>
            </w:r>
            <w:r>
              <w:t xml:space="preserve">et </w:t>
            </w:r>
            <w:r>
              <w:t xml:space="preserve">neutres. Des scores plus élevés représentent un degré plus élevé </w:t>
            </w:r>
            <w:r>
              <w:t xml:space="preserve">d'</w:t>
            </w:r>
            <w:r>
              <w:t xml:space="preserve">insatisfaction </w:t>
            </w:r>
            <w:r>
              <w:t xml:space="preserve">corporelle</w:t>
            </w:r>
            <w:r>
              <w:t xml:space="preserve">.</w:t>
            </w:r>
          </w:p>
          <w:p w:rsidR="00432386" w:rsidRDefault="00432386">
            <w:pPr>
              <w:pStyle w:val="TableParagraph"/>
              <w:rPr>
                <w:b/>
              </w:rPr>
            </w:pPr>
          </w:p>
          <w:p>
            <w:pPr>
              <w:pStyle w:val="TableParagraph"/>
              <w:ind w:start="107"/>
            </w:pPr>
            <w:r>
              <w:t xml:space="preserve">L'</w:t>
            </w:r>
            <w:r>
              <w:t xml:space="preserve">étude </w:t>
            </w:r>
            <w:r>
              <w:t xml:space="preserve">(</w:t>
            </w:r>
            <w:hyperlink r:id="rId124">
              <w:r>
                <w:rPr>
                  <w:color w:val="0000FF"/>
                  <w:u w:val="single" w:color="0000FF"/>
                </w:rPr>
                <w:t xml:space="preserve">de</w:t>
              </w:r>
              <w:r>
                <w:rPr>
                  <w:color w:val="0000FF"/>
                  <w:u w:val="single" w:color="0000FF"/>
                </w:rPr>
                <w:t xml:space="preserve">Vries</w:t>
              </w:r>
              <w:r>
                <w:rPr>
                  <w:color w:val="0000FF"/>
                  <w:u w:val="single" w:color="0000FF"/>
                </w:rPr>
                <w:t xml:space="preserve">et</w:t>
              </w:r>
              <w:r>
                <w:rPr>
                  <w:color w:val="0000FF"/>
                  <w:u w:val="single" w:color="0000FF"/>
                </w:rPr>
                <w:t xml:space="preserve">al.</w:t>
              </w:r>
              <w:r>
                <w:rPr>
                  <w:color w:val="0000FF"/>
                  <w:u w:val="single" w:color="0000FF"/>
                </w:rPr>
                <w:t xml:space="preserve">2011</w:t>
              </w:r>
            </w:hyperlink>
            <w:r>
              <w:t xml:space="preserve">) a </w:t>
            </w:r>
            <w:r>
              <w:t xml:space="preserve">fourni des </w:t>
            </w:r>
            <w:r>
              <w:t xml:space="preserve">preuves de </w:t>
            </w:r>
            <w:r>
              <w:t xml:space="preserve">l'</w:t>
            </w:r>
            <w:r>
              <w:t xml:space="preserve">image </w:t>
            </w:r>
            <w:r>
              <w:t xml:space="preserve">corporelle </w:t>
            </w:r>
            <w:r>
              <w:t xml:space="preserve">mesurée </w:t>
            </w:r>
            <w:r>
              <w:t xml:space="preserve">à </w:t>
            </w:r>
            <w:r>
              <w:t xml:space="preserve">deux </w:t>
            </w:r>
            <w:r>
              <w:t xml:space="preserve">moments :</w:t>
            </w:r>
          </w:p>
          <w:p>
            <w:pPr>
              <w:pStyle w:val="TableParagraph"/>
              <w:numPr>
                <w:ilvl w:val="0"/>
                <w:numId w:val="171"/>
              </w:numPr>
              <w:tabs>
                <w:tab w:val="left" w:pos="828"/>
                <w:tab w:val="left" w:pos="829"/>
              </w:tabs>
              <w:spacing w:before="3"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w:t>
            </w:r>
            <w:r>
              <w:rPr>
                <w:sz w:val="20"/>
              </w:rPr>
              <w:t xml:space="preserve">±SD</w:t>
            </w:r>
            <w:r>
              <w:t xml:space="preserve">] </w:t>
            </w:r>
            <w:r>
              <w:t xml:space="preserve">: </w:t>
            </w:r>
            <w:r>
              <w:t xml:space="preserve">14,75 </w:t>
            </w:r>
            <w:r>
              <w:t xml:space="preserve">[±1,92] </w:t>
            </w:r>
            <w:r>
              <w:t xml:space="preserve">ans), </w:t>
            </w:r>
            <w:r>
              <w:t xml:space="preserve">et</w:t>
            </w:r>
          </w:p>
          <w:p>
            <w:pPr>
              <w:pStyle w:val="TableParagraph"/>
              <w:numPr>
                <w:ilvl w:val="0"/>
                <w:numId w:val="171"/>
              </w:numPr>
              <w:tabs>
                <w:tab w:val="left" w:pos="828"/>
                <w:tab w:val="left" w:pos="829"/>
              </w:tabs>
              <w:spacing w:before="4"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w:t>
            </w:r>
            <w:r>
              <w:rPr>
                <w:sz w:val="20"/>
              </w:rPr>
              <w:t xml:space="preserve">±SD</w:t>
            </w:r>
            <w:r>
              <w:t xml:space="preserve">] </w:t>
            </w:r>
            <w:r>
              <w:t xml:space="preserve">: 16,64 </w:t>
            </w:r>
            <w:r>
              <w:t xml:space="preserve">[±1,90] </w:t>
            </w:r>
            <w:r>
              <w:t xml:space="preserve">ans).</w:t>
            </w:r>
          </w:p>
          <w:p w:rsidR="00432386" w:rsidRDefault="00432386">
            <w:pPr>
              <w:pStyle w:val="TableParagraph"/>
              <w:spacing w:before="5"/>
              <w:rPr>
                <w:b/>
                <w:sz w:val="20"/>
              </w:rPr>
            </w:pPr>
          </w:p>
          <w:p>
            <w:pPr>
              <w:pStyle w:val="TableParagraph"/>
              <w:spacing w:line="252" w:lineRule="exact"/>
              <w:ind w:start="107"/>
            </w:pPr>
            <w:r>
              <w:t xml:space="preserve">Les </w:t>
            </w:r>
            <w:r>
              <w:t xml:space="preserve">scores </w:t>
            </w:r>
            <w:r>
              <w:t xml:space="preserve">moyens </w:t>
            </w:r>
            <w:r>
              <w:t xml:space="preserve">(±SD) </w:t>
            </w:r>
            <w:r>
              <w:t xml:space="preserve">de l'</w:t>
            </w:r>
            <w:r>
              <w:t xml:space="preserve">image </w:t>
            </w:r>
            <w:r>
              <w:t xml:space="preserve">corporelle </w:t>
            </w:r>
            <w:r>
              <w:t xml:space="preserve">(BIS) </w:t>
            </w:r>
            <w:r>
              <w:t xml:space="preserve">pour </w:t>
            </w:r>
            <w:r>
              <w:t xml:space="preserve">n'</w:t>
            </w:r>
            <w:r>
              <w:t xml:space="preserve">étaient </w:t>
            </w:r>
            <w:r>
              <w:t xml:space="preserve">pas </w:t>
            </w:r>
            <w:r>
              <w:t xml:space="preserve">statistiquement </w:t>
            </w:r>
            <w:r>
              <w:t xml:space="preserve">significativement </w:t>
            </w:r>
            <w:r>
              <w:t xml:space="preserve">différents </w:t>
            </w:r>
            <w:r>
              <w:t xml:space="preserve">de la </w:t>
            </w:r>
            <w:r>
              <w:t xml:space="preserve">ligne de base </w:t>
            </w:r>
            <w:r>
              <w:t xml:space="preserve">par rapport </w:t>
            </w:r>
            <w:r>
              <w:t xml:space="preserve">au </w:t>
            </w:r>
            <w:r>
              <w:t xml:space="preserve">suivi </w:t>
            </w:r>
            <w:r>
              <w:t xml:space="preserve">pour :</w:t>
            </w:r>
          </w:p>
        </w:tc>
      </w:tr>
    </w:tbl>
    <w:p w:rsidR="00432386" w:rsidRDefault="00432386">
      <w:pPr>
        <w:spacing w:line="252"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2572"/>
        </w:trPr>
        <w:tc>
          <w:tcPr>
            <w:tcW w:w="1980" w:type="dxa"/>
          </w:tcPr>
          <w:p w:rsidR="00432386" w:rsidRDefault="00432386">
            <w:pPr>
              <w:pStyle w:val="TableParagraph"/>
              <w:rPr>
                <w:rFonts w:ascii="Times New Roman"/>
              </w:rPr>
            </w:pPr>
          </w:p>
        </w:tc>
        <w:tc>
          <w:tcPr>
            <w:tcW w:w="7089" w:type="dxa"/>
          </w:tcPr>
          <w:p>
            <w:pPr>
              <w:pStyle w:val="TableParagraph"/>
              <w:numPr>
                <w:ilvl w:val="0"/>
                <w:numId w:val="170"/>
              </w:numPr>
              <w:tabs>
                <w:tab w:val="left" w:pos="828"/>
                <w:tab w:val="left" w:pos="829"/>
              </w:tabs>
              <w:spacing w:before="1" w:line="237" w:lineRule="auto"/>
              <w:ind w:end="95"/>
            </w:pPr>
            <w:r>
              <w:t xml:space="preserve">caractéristiques </w:t>
            </w:r>
            <w:r>
              <w:t xml:space="preserve">sexuelles </w:t>
            </w:r>
            <w:r>
              <w:t xml:space="preserve">primaires </w:t>
            </w:r>
            <w:r>
              <w:t xml:space="preserve">(n=57, </w:t>
            </w:r>
            <w:r>
              <w:t xml:space="preserve">4,10 </w:t>
            </w:r>
            <w:r>
              <w:t xml:space="preserve">[±0,56] </w:t>
            </w:r>
            <w:r>
              <w:t xml:space="preserve">contre </w:t>
            </w:r>
            <w:r>
              <w:t xml:space="preserve">3,98 </w:t>
            </w:r>
            <w:r>
              <w:t xml:space="preserve">[±0,71], </w:t>
            </w:r>
            <w:r>
              <w:t xml:space="preserve">p=0,145)</w:t>
            </w:r>
          </w:p>
          <w:p>
            <w:pPr>
              <w:pStyle w:val="TableParagraph"/>
              <w:numPr>
                <w:ilvl w:val="0"/>
                <w:numId w:val="170"/>
              </w:numPr>
              <w:tabs>
                <w:tab w:val="left" w:pos="828"/>
                <w:tab w:val="left" w:pos="829"/>
              </w:tabs>
              <w:spacing w:before="4" w:line="237" w:lineRule="auto"/>
              <w:ind w:end="96"/>
            </w:pPr>
            <w:r>
              <w:t xml:space="preserve">caractéristiques </w:t>
            </w:r>
            <w:r>
              <w:t xml:space="preserve">sexuelles </w:t>
            </w:r>
            <w:r>
              <w:t xml:space="preserve">secondaires </w:t>
            </w:r>
            <w:r>
              <w:t xml:space="preserve">(n=57, </w:t>
            </w:r>
            <w:r>
              <w:t xml:space="preserve">2,74 </w:t>
            </w:r>
            <w:r>
              <w:t xml:space="preserve">[±0,65] </w:t>
            </w:r>
            <w:r>
              <w:t xml:space="preserve">contre </w:t>
            </w:r>
            <w:r>
              <w:t xml:space="preserve">2,82 </w:t>
            </w:r>
            <w:r>
              <w:t xml:space="preserve">[±0,68], </w:t>
            </w:r>
            <w:r>
              <w:t xml:space="preserve">p=0,569)</w:t>
            </w:r>
          </w:p>
          <w:p>
            <w:pPr>
              <w:pStyle w:val="TableParagraph"/>
              <w:numPr>
                <w:ilvl w:val="0"/>
                <w:numId w:val="170"/>
              </w:numPr>
              <w:tabs>
                <w:tab w:val="left" w:pos="828"/>
                <w:tab w:val="left" w:pos="829"/>
              </w:tabs>
              <w:spacing w:before="4" w:line="237" w:lineRule="auto"/>
              <w:ind w:end="100"/>
            </w:pPr>
            <w:r>
              <w:t xml:space="preserve">caractéristiques </w:t>
            </w:r>
            <w:r>
              <w:t xml:space="preserve">corporelles </w:t>
            </w:r>
            <w:r>
              <w:t xml:space="preserve">neutres </w:t>
            </w:r>
            <w:r>
              <w:t xml:space="preserve">(n=57, </w:t>
            </w:r>
            <w:r>
              <w:t xml:space="preserve">2,41 </w:t>
            </w:r>
            <w:r>
              <w:t xml:space="preserve">[±0,63] </w:t>
            </w:r>
            <w:r>
              <w:t xml:space="preserve">contre </w:t>
            </w:r>
            <w:r>
              <w:t xml:space="preserve">2,47 </w:t>
            </w:r>
            <w:r>
              <w:t xml:space="preserve">[±0,56], </w:t>
            </w:r>
            <w:r>
              <w:t xml:space="preserve">p=0,620) </w:t>
            </w:r>
            <w:r>
              <w:rPr>
                <w:b/>
              </w:rPr>
              <w:t xml:space="preserve">(TRÈS FAIBLE)</w:t>
            </w:r>
            <w:r>
              <w:t xml:space="preserve">.</w:t>
            </w:r>
          </w:p>
          <w:p w:rsidR="00432386" w:rsidRDefault="00432386">
            <w:pPr>
              <w:pStyle w:val="TableParagraph"/>
              <w:rPr>
                <w:b/>
              </w:rPr>
            </w:pPr>
          </w:p>
          <w:p>
            <w:pPr>
              <w:pStyle w:val="TableParagraph"/>
              <w:spacing w:before="1"/>
              <w:ind w:start="107"/>
              <w:rPr>
                <w:b/>
              </w:rPr>
            </w:pPr>
            <w:r>
              <w:rPr>
                <w:b/>
              </w:rPr>
              <w:t xml:space="preserve">Cette </w:t>
            </w:r>
            <w:r>
              <w:rPr>
                <w:b/>
              </w:rPr>
              <w:t xml:space="preserve">étude </w:t>
            </w:r>
            <w:r>
              <w:rPr>
                <w:b/>
              </w:rPr>
              <w:t xml:space="preserve">fournit des </w:t>
            </w:r>
            <w:r>
              <w:rPr>
                <w:b/>
              </w:rPr>
              <w:t xml:space="preserve">preuves de </w:t>
            </w:r>
            <w:r>
              <w:rPr>
                <w:b/>
              </w:rPr>
              <w:t xml:space="preserve">très </w:t>
            </w:r>
            <w:r>
              <w:rPr>
                <w:b/>
              </w:rPr>
              <w:t xml:space="preserve">faible </w:t>
            </w:r>
            <w:r>
              <w:rPr>
                <w:b/>
              </w:rPr>
              <w:t xml:space="preserve">certitude </w:t>
            </w:r>
            <w:r>
              <w:rPr>
                <w:b/>
              </w:rPr>
              <w:t xml:space="preserve">que le </w:t>
            </w:r>
            <w:r>
              <w:rPr>
                <w:b/>
              </w:rPr>
              <w:t xml:space="preserve">traitement</w:t>
            </w:r>
          </w:p>
          <w:p>
            <w:pPr>
              <w:pStyle w:val="TableParagraph"/>
              <w:spacing w:line="252" w:lineRule="exact"/>
              <w:ind w:start="107"/>
              <w:rPr>
                <w:b/>
              </w:rPr>
            </w:pPr>
            <w:r>
              <w:rPr>
                <w:b/>
              </w:rPr>
              <w:t xml:space="preserve">avec des </w:t>
            </w:r>
            <w:r>
              <w:rPr>
                <w:b/>
              </w:rPr>
              <w:t xml:space="preserve">analogues de la </w:t>
            </w:r>
            <w:r>
              <w:rPr>
                <w:b/>
              </w:rPr>
              <w:t xml:space="preserve">GnRH</w:t>
            </w:r>
            <w:r>
              <w:rPr>
                <w:b/>
              </w:rPr>
              <w:t xml:space="preserve">, </w:t>
            </w:r>
            <w:r>
              <w:rPr>
                <w:b/>
              </w:rPr>
              <w:t xml:space="preserve">avant de </w:t>
            </w:r>
            <w:r>
              <w:rPr>
                <w:b/>
              </w:rPr>
              <w:t xml:space="preserve">commencer les </w:t>
            </w:r>
            <w:r>
              <w:rPr>
                <w:b/>
              </w:rPr>
              <w:t xml:space="preserve">hormones </w:t>
            </w:r>
            <w:r>
              <w:rPr>
                <w:b/>
              </w:rPr>
              <w:t xml:space="preserve">d'affirmation du </w:t>
            </w:r>
            <w:r>
              <w:rPr>
                <w:b/>
              </w:rPr>
              <w:t xml:space="preserve">genre</w:t>
            </w:r>
            <w:r>
              <w:rPr>
                <w:b/>
              </w:rPr>
              <w:t xml:space="preserve">, </w:t>
            </w:r>
            <w:r>
              <w:rPr>
                <w:b/>
              </w:rPr>
              <w:t xml:space="preserve">n'</w:t>
            </w:r>
            <w:r>
              <w:rPr>
                <w:b/>
              </w:rPr>
              <w:t xml:space="preserve">affecte </w:t>
            </w:r>
            <w:r>
              <w:rPr>
                <w:b/>
              </w:rPr>
              <w:t xml:space="preserve">pas </w:t>
            </w:r>
            <w:r>
              <w:rPr>
                <w:b/>
              </w:rPr>
              <w:t xml:space="preserve">l'</w:t>
            </w:r>
            <w:r>
              <w:rPr>
                <w:b/>
              </w:rPr>
              <w:t xml:space="preserve">image </w:t>
            </w:r>
            <w:r>
              <w:rPr>
                <w:b/>
              </w:rPr>
              <w:t xml:space="preserve">corporelle</w:t>
            </w:r>
            <w:r>
              <w:rPr>
                <w:b/>
              </w:rPr>
              <w:t xml:space="preserve">.</w:t>
            </w:r>
          </w:p>
        </w:tc>
      </w:tr>
      <w:tr w:rsidR="00432386">
        <w:trPr>
          <w:trHeight w:val="1016"/>
        </w:trPr>
        <w:tc>
          <w:tcPr>
            <w:tcW w:w="1980" w:type="dxa"/>
            <w:tcBorders>
              <w:bottom w:val="nil"/>
            </w:tcBorders>
          </w:tcPr>
          <w:p>
            <w:pPr>
              <w:pStyle w:val="TableParagraph"/>
              <w:spacing w:before="2"/>
              <w:ind w:start="107" w:end="351"/>
              <w:rPr>
                <w:b/>
              </w:rPr>
            </w:pPr>
            <w:r>
              <w:rPr>
                <w:b/>
              </w:rPr>
              <w:t xml:space="preserve">Impact </w:t>
            </w:r>
            <w:r>
              <w:rPr>
                <w:b/>
              </w:rPr>
              <w:t xml:space="preserve">psychosocial </w:t>
            </w:r>
            <w:r>
              <w:rPr>
                <w:b/>
              </w:rPr>
              <w:t xml:space="preserve">: </w:t>
            </w:r>
            <w:r>
              <w:rPr>
                <w:b/>
              </w:rPr>
              <w:t xml:space="preserve">fonctionnement </w:t>
            </w:r>
            <w:r>
              <w:rPr>
                <w:b/>
              </w:rPr>
              <w:t xml:space="preserve">global</w:t>
            </w:r>
          </w:p>
        </w:tc>
        <w:tc>
          <w:tcPr>
            <w:tcW w:w="7089" w:type="dxa"/>
            <w:tcBorders>
              <w:bottom w:val="nil"/>
            </w:tcBorders>
          </w:tcPr>
          <w:p>
            <w:pPr>
              <w:pStyle w:val="TableParagraph"/>
              <w:spacing w:before="2"/>
              <w:ind w:start="107" w:end="95"/>
              <w:jc w:val="both"/>
            </w:pPr>
            <w:r>
              <w:t xml:space="preserve">Il s'agit </w:t>
            </w:r>
            <w:r>
              <w:t xml:space="preserve">d'un </w:t>
            </w:r>
            <w:r>
              <w:t xml:space="preserve">résultat </w:t>
            </w:r>
            <w:r>
              <w:t xml:space="preserve">important </w:t>
            </w:r>
            <w:r>
              <w:t xml:space="preserve">car </w:t>
            </w:r>
            <w:r>
              <w:t xml:space="preserve">la </w:t>
            </w:r>
            <w:r>
              <w:t xml:space="preserve">dysphorie de </w:t>
            </w:r>
            <w:r>
              <w:t xml:space="preserve">genre </w:t>
            </w:r>
            <w:r>
              <w:t xml:space="preserve">chez les </w:t>
            </w:r>
            <w:r>
              <w:t xml:space="preserve">enfants </w:t>
            </w:r>
            <w:r>
              <w:t xml:space="preserve">et les </w:t>
            </w:r>
            <w:r>
              <w:t xml:space="preserve">adolescents </w:t>
            </w:r>
            <w:r>
              <w:t xml:space="preserve">est </w:t>
            </w:r>
            <w:r>
              <w:t xml:space="preserve">associée </w:t>
            </w:r>
            <w:r>
              <w:t xml:space="preserve">à des </w:t>
            </w:r>
            <w:r>
              <w:rPr>
                <w:spacing w:val="-1"/>
              </w:rPr>
              <w:t xml:space="preserve">comportements d'</w:t>
            </w:r>
            <w:r>
              <w:t xml:space="preserve">intériorisation </w:t>
            </w:r>
            <w:r>
              <w:t xml:space="preserve">et d'</w:t>
            </w:r>
            <w:r>
              <w:t xml:space="preserve">extériorisation</w:t>
            </w:r>
            <w:r>
              <w:rPr>
                <w:spacing w:val="-1"/>
              </w:rPr>
              <w:t xml:space="preserve">, </w:t>
            </w:r>
            <w:r>
              <w:rPr>
                <w:spacing w:val="-1"/>
              </w:rPr>
              <w:t xml:space="preserve">ainsi qu'à des </w:t>
            </w:r>
            <w:r>
              <w:t xml:space="preserve">problèmes </w:t>
            </w:r>
            <w:r>
              <w:rPr>
                <w:spacing w:val="-1"/>
              </w:rPr>
              <w:t xml:space="preserve">émotionnels </w:t>
            </w:r>
            <w:r>
              <w:rPr>
                <w:spacing w:val="-1"/>
              </w:rPr>
              <w:t xml:space="preserve">et </w:t>
            </w:r>
            <w:r>
              <w:rPr>
                <w:spacing w:val="-1"/>
              </w:rPr>
              <w:t xml:space="preserve">comportementaux </w:t>
            </w:r>
            <w:r>
              <w:t xml:space="preserve">qui </w:t>
            </w:r>
            <w:r>
              <w:t xml:space="preserve">peuvent </w:t>
            </w:r>
            <w:r>
              <w:t xml:space="preserve">avoir un impact sur la santé des enfants.</w:t>
            </w:r>
          </w:p>
          <w:p>
            <w:pPr>
              <w:pStyle w:val="TableParagraph"/>
              <w:spacing w:line="235" w:lineRule="exact"/>
              <w:ind w:start="107"/>
              <w:jc w:val="both"/>
            </w:pPr>
            <w:r>
              <w:t xml:space="preserve">sur le </w:t>
            </w:r>
            <w:r>
              <w:t xml:space="preserve">fonctionnement </w:t>
            </w:r>
            <w:r>
              <w:t xml:space="preserve">social </w:t>
            </w:r>
            <w:r>
              <w:t xml:space="preserve">et </w:t>
            </w:r>
            <w:r>
              <w:t xml:space="preserve">professionnel</w:t>
            </w:r>
            <w:r>
              <w:t xml:space="preserve">.</w:t>
            </w:r>
          </w:p>
        </w:tc>
      </w:tr>
      <w:tr w:rsidR="00432386">
        <w:trPr>
          <w:trHeight w:val="2150"/>
        </w:trPr>
        <w:tc>
          <w:tcPr>
            <w:tcW w:w="1980" w:type="dxa"/>
            <w:tcBorders>
              <w:top w:val="nil"/>
              <w:bottom w:val="nil"/>
            </w:tcBorders>
          </w:tcPr>
          <w:p>
            <w:pPr>
              <w:pStyle w:val="TableParagraph"/>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rsidR="00432386" w:rsidRDefault="00432386">
            <w:pPr>
              <w:pStyle w:val="TableParagraph"/>
              <w:spacing w:before="9"/>
              <w:rPr>
                <w:b/>
                <w:sz w:val="21"/>
              </w:rPr>
            </w:pPr>
          </w:p>
          <w:p>
            <w:pPr>
              <w:pStyle w:val="TableParagraph"/>
              <w:ind w:start="107" w:end="93"/>
              <w:jc w:val="both"/>
            </w:pPr>
            <w:r>
              <w:t xml:space="preserve">Une étude de cohorte prospective, observationnelle et non contrôlée (</w:t>
            </w:r>
            <w:hyperlink r:id="rId125">
              <w:r>
                <w:rPr>
                  <w:color w:val="0000FF"/>
                  <w:u w:val="single" w:color="0000FF"/>
                </w:rPr>
                <w:t xml:space="preserve">de Vries et </w:t>
              </w:r>
            </w:hyperlink>
            <w:hyperlink r:id="rId126">
              <w:r>
                <w:rPr>
                  <w:color w:val="0000FF"/>
                  <w:u w:val="single" w:color="0000FF"/>
                </w:rPr>
                <w:t xml:space="preserve">al 2011</w:t>
              </w:r>
            </w:hyperlink>
            <w:r>
              <w:t xml:space="preserve">) et une étude de cohorte transversale prospective (</w:t>
            </w:r>
            <w:hyperlink r:id="rId127">
              <w:r>
                <w:rPr>
                  <w:color w:val="0000FF"/>
                  <w:u w:val="single" w:color="0000FF"/>
                </w:rPr>
                <w:t xml:space="preserve">Costa</w:t>
              </w:r>
              <w:r>
                <w:rPr>
                  <w:color w:val="0000FF"/>
                  <w:u w:val="single" w:color="0000FF"/>
                </w:rPr>
                <w:t xml:space="preserve">et al </w:t>
              </w:r>
            </w:hyperlink>
            <w:hyperlink r:id="rId128">
              <w:r>
                <w:rPr>
                  <w:color w:val="0000FF"/>
                  <w:u w:val="single" w:color="0000FF"/>
                </w:rPr>
                <w:t xml:space="preserve">2015</w:t>
              </w:r>
            </w:hyperlink>
            <w:r>
              <w:t xml:space="preserve">) ont fourni des preuves relatives à l'impact psychosocial en termes de </w:t>
            </w:r>
            <w:r>
              <w:t xml:space="preserve">fonctionnement </w:t>
            </w:r>
            <w:r>
              <w:t xml:space="preserve">global</w:t>
            </w:r>
            <w:r>
              <w:t xml:space="preserve">. Le </w:t>
            </w:r>
            <w:r>
              <w:t xml:space="preserve">fonctionnement </w:t>
            </w:r>
            <w:r>
              <w:t xml:space="preserve">global </w:t>
            </w:r>
            <w:r>
              <w:t xml:space="preserve">a été </w:t>
            </w:r>
            <w:r>
              <w:t xml:space="preserve">mesuré </w:t>
            </w:r>
            <w:r>
              <w:t xml:space="preserve">à l'aide de </w:t>
            </w:r>
            <w:r>
              <w:t xml:space="preserve">l'</w:t>
            </w:r>
            <w:r>
              <w:t xml:space="preserve">échelle d'évaluation globale des enfants (CGAS). L'outil CGAS est une </w:t>
            </w:r>
            <w:r>
              <w:t xml:space="preserve">mesure validée du fonctionnement global sur une échelle d'évaluation unique de 1 </w:t>
            </w:r>
            <w:r>
              <w:t xml:space="preserve">à </w:t>
            </w:r>
            <w:r>
              <w:t xml:space="preserve">100. Des </w:t>
            </w:r>
            <w:r>
              <w:t xml:space="preserve">scores </w:t>
            </w:r>
            <w:r>
              <w:t xml:space="preserve">plus faibles </w:t>
            </w:r>
            <w:r>
              <w:t xml:space="preserve">indiquent un </w:t>
            </w:r>
            <w:r>
              <w:t xml:space="preserve">fonctionnement </w:t>
            </w:r>
            <w:r>
              <w:t xml:space="preserve">moins bon</w:t>
            </w:r>
            <w:r>
              <w:t xml:space="preserve">.</w:t>
            </w:r>
          </w:p>
        </w:tc>
      </w:tr>
      <w:tr w:rsidR="00432386">
        <w:trPr>
          <w:trHeight w:val="1800"/>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pPr>
            <w:r>
              <w:t xml:space="preserve">Une </w:t>
            </w:r>
            <w:r>
              <w:t xml:space="preserve">étude </w:t>
            </w:r>
            <w:r>
              <w:t xml:space="preserve">(</w:t>
            </w:r>
            <w:hyperlink r:id="rId129">
              <w:r>
                <w:rPr>
                  <w:color w:val="0000FF"/>
                  <w:u w:val="single" w:color="0000FF"/>
                </w:rPr>
                <w:t xml:space="preserve">de</w:t>
              </w:r>
              <w:r>
                <w:rPr>
                  <w:color w:val="0000FF"/>
                  <w:u w:val="single" w:color="0000FF"/>
                </w:rPr>
                <w:t xml:space="preserve">Vries</w:t>
              </w:r>
              <w:r>
                <w:rPr>
                  <w:color w:val="0000FF"/>
                  <w:u w:val="single" w:color="0000FF"/>
                </w:rPr>
                <w:t xml:space="preserve">et</w:t>
              </w:r>
              <w:r>
                <w:rPr>
                  <w:color w:val="0000FF"/>
                  <w:u w:val="single" w:color="0000FF"/>
                </w:rPr>
                <w:t xml:space="preserve">al.</w:t>
              </w:r>
              <w:r>
                <w:rPr>
                  <w:color w:val="0000FF"/>
                  <w:u w:val="single" w:color="0000FF"/>
                </w:rPr>
                <w:t xml:space="preserve">2011</w:t>
              </w:r>
            </w:hyperlink>
            <w:r>
              <w:t xml:space="preserve">) a </w:t>
            </w:r>
            <w:r>
              <w:t xml:space="preserve">fourni des </w:t>
            </w:r>
            <w:r>
              <w:t xml:space="preserve">preuves </w:t>
            </w:r>
            <w:r>
              <w:t xml:space="preserve">du </w:t>
            </w:r>
            <w:r>
              <w:t xml:space="preserve">fonctionnement </w:t>
            </w:r>
            <w:r>
              <w:t xml:space="preserve">global </w:t>
            </w:r>
            <w:r>
              <w:t xml:space="preserve">(CGAS) </w:t>
            </w:r>
            <w:r>
              <w:t xml:space="preserve">à </w:t>
            </w:r>
            <w:r>
              <w:t xml:space="preserve">deux </w:t>
            </w:r>
            <w:r>
              <w:t xml:space="preserve">moments :</w:t>
            </w:r>
          </w:p>
          <w:p>
            <w:pPr>
              <w:pStyle w:val="TableParagraph"/>
              <w:numPr>
                <w:ilvl w:val="0"/>
                <w:numId w:val="169"/>
              </w:numPr>
              <w:tabs>
                <w:tab w:val="left" w:pos="828"/>
                <w:tab w:val="left" w:pos="829"/>
              </w:tabs>
              <w:spacing w:before="2" w:line="237" w:lineRule="auto"/>
              <w:ind w:end="94"/>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w:t>
            </w:r>
            <w:r>
              <w:rPr>
                <w:sz w:val="20"/>
              </w:rPr>
              <w:t xml:space="preserve">±SD</w:t>
            </w:r>
            <w:r>
              <w:t xml:space="preserve">] </w:t>
            </w:r>
            <w:r>
              <w:t xml:space="preserve">: </w:t>
            </w:r>
            <w:r>
              <w:t xml:space="preserve">14,75 </w:t>
            </w:r>
            <w:r>
              <w:t xml:space="preserve">[±1,92] </w:t>
            </w:r>
            <w:r>
              <w:t xml:space="preserve">ans), </w:t>
            </w:r>
            <w:r>
              <w:t xml:space="preserve">et</w:t>
            </w:r>
          </w:p>
          <w:p>
            <w:pPr>
              <w:pStyle w:val="TableParagraph"/>
              <w:numPr>
                <w:ilvl w:val="0"/>
                <w:numId w:val="169"/>
              </w:numPr>
              <w:tabs>
                <w:tab w:val="left" w:pos="828"/>
                <w:tab w:val="left" w:pos="829"/>
              </w:tabs>
              <w:spacing w:before="4" w:line="237" w:lineRule="auto"/>
              <w:ind w:end="95"/>
            </w:pPr>
            <w:r>
              <w:t xml:space="preserve">peu </w:t>
            </w:r>
            <w:r>
              <w:t xml:space="preserve">avant de </w:t>
            </w:r>
            <w:r>
              <w:t xml:space="preserve">commencer à prendre des </w:t>
            </w:r>
            <w:r>
              <w:t xml:space="preserve">hormones </w:t>
            </w:r>
            <w:r>
              <w:t xml:space="preserve">d'affirmation du genre (</w:t>
            </w:r>
            <w:r>
              <w:t xml:space="preserve">âge </w:t>
            </w:r>
            <w:r>
              <w:t xml:space="preserve">moyen </w:t>
            </w:r>
            <w:r>
              <w:t xml:space="preserve">[</w:t>
            </w:r>
            <w:r>
              <w:rPr>
                <w:sz w:val="20"/>
              </w:rPr>
              <w:t xml:space="preserve">±SD</w:t>
            </w:r>
            <w:r>
              <w:t xml:space="preserve">] </w:t>
            </w:r>
            <w:r>
              <w:t xml:space="preserve">: 16,64 </w:t>
            </w:r>
            <w:r>
              <w:t xml:space="preserve">[±1,90] </w:t>
            </w:r>
            <w:r>
              <w:t xml:space="preserve">ans).</w:t>
            </w:r>
          </w:p>
        </w:tc>
      </w:tr>
      <w:tr w:rsidR="00432386">
        <w:trPr>
          <w:trHeight w:val="1013"/>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end="94"/>
              <w:jc w:val="both"/>
            </w:pPr>
            <w:r>
              <w:t xml:space="preserve">Le </w:t>
            </w:r>
            <w:r>
              <w:t xml:space="preserve">score </w:t>
            </w:r>
            <w:r>
              <w:t xml:space="preserve">moyen </w:t>
            </w:r>
            <w:r>
              <w:t xml:space="preserve">(±SD) du </w:t>
            </w:r>
            <w:r>
              <w:t xml:space="preserve">CGAS </w:t>
            </w:r>
            <w:r>
              <w:t xml:space="preserve">était </w:t>
            </w:r>
            <w:r>
              <w:t xml:space="preserve">significativement </w:t>
            </w:r>
            <w:r>
              <w:t xml:space="preserve">plus élevé </w:t>
            </w:r>
            <w:r>
              <w:t xml:space="preserve">(amélioré) </w:t>
            </w:r>
            <w:r>
              <w:t xml:space="preserve">par rapport au </w:t>
            </w:r>
            <w:r>
              <w:t xml:space="preserve">départ </w:t>
            </w:r>
            <w:r>
              <w:t xml:space="preserve">et au </w:t>
            </w:r>
            <w:r>
              <w:t xml:space="preserve">suivi </w:t>
            </w:r>
            <w:r>
              <w:t xml:space="preserve">(n=41, </w:t>
            </w:r>
            <w:r>
              <w:t xml:space="preserve">70,24 </w:t>
            </w:r>
            <w:r>
              <w:t xml:space="preserve">[±10,12] </w:t>
            </w:r>
            <w:r>
              <w:t xml:space="preserve">contre </w:t>
            </w:r>
            <w:r>
              <w:t xml:space="preserve">73,90 </w:t>
            </w:r>
            <w:r>
              <w:t xml:space="preserve">[±9,63], </w:t>
            </w:r>
            <w:r>
              <w:t xml:space="preserve">p=0,005) </w:t>
            </w:r>
            <w:r>
              <w:rPr>
                <w:b/>
              </w:rPr>
              <w:t xml:space="preserve">(TRÈS </w:t>
            </w:r>
            <w:r>
              <w:rPr>
                <w:b/>
              </w:rPr>
              <w:t xml:space="preserve">FAIBLE)</w:t>
            </w:r>
            <w:r>
              <w:t xml:space="preserve">.</w:t>
            </w:r>
          </w:p>
        </w:tc>
      </w:tr>
      <w:tr w:rsidR="00432386">
        <w:trPr>
          <w:trHeight w:val="4360"/>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end="95"/>
              <w:jc w:val="both"/>
            </w:pPr>
            <w:r>
              <w:rPr>
                <w:spacing w:val="-1"/>
              </w:rPr>
              <w:t xml:space="preserve">Une </w:t>
            </w:r>
            <w:r>
              <w:rPr>
                <w:spacing w:val="-1"/>
              </w:rPr>
              <w:t xml:space="preserve">étude </w:t>
            </w:r>
            <w:r>
              <w:rPr>
                <w:spacing w:val="-1"/>
              </w:rPr>
              <w:t xml:space="preserve">(</w:t>
            </w:r>
            <w:hyperlink r:id="rId130">
              <w:r>
                <w:rPr>
                  <w:color w:val="0000FF"/>
                  <w:spacing w:val="-1"/>
                  <w:u w:val="single" w:color="0000FF"/>
                </w:rPr>
                <w:t xml:space="preserve">Costa</w:t>
              </w:r>
              <w:r>
                <w:rPr>
                  <w:color w:val="0000FF"/>
                  <w:spacing w:val="-1"/>
                  <w:u w:val="single" w:color="0000FF"/>
                </w:rPr>
                <w:t xml:space="preserve">et</w:t>
              </w:r>
              <w:r>
                <w:rPr>
                  <w:color w:val="0000FF"/>
                  <w:spacing w:val="-1"/>
                  <w:u w:val="single" w:color="0000FF"/>
                </w:rPr>
                <w:t xml:space="preserve">al.</w:t>
              </w:r>
              <w:r>
                <w:rPr>
                  <w:color w:val="0000FF"/>
                  <w:spacing w:val="-1"/>
                  <w:u w:val="single" w:color="0000FF"/>
                </w:rPr>
                <w:t xml:space="preserve">2015</w:t>
              </w:r>
            </w:hyperlink>
            <w:r>
              <w:rPr>
                <w:color w:val="0000FF"/>
                <w:spacing w:val="-1"/>
                <w:u w:val="single" w:color="0000FF"/>
              </w:rPr>
              <w:t xml:space="preserve">) </w:t>
            </w:r>
            <w:r>
              <w:rPr>
                <w:spacing w:val="-1"/>
              </w:rPr>
              <w:t xml:space="preserve">chez des </w:t>
            </w:r>
            <w:r>
              <w:rPr>
                <w:spacing w:val="-1"/>
              </w:rPr>
              <w:t xml:space="preserve">adolescents </w:t>
            </w:r>
            <w:r>
              <w:t xml:space="preserve">atteints de </w:t>
            </w:r>
            <w:r>
              <w:t xml:space="preserve">dysphorie </w:t>
            </w:r>
            <w:r>
              <w:t xml:space="preserve">de genre </w:t>
            </w:r>
            <w:r>
              <w:t xml:space="preserve">qui ont </w:t>
            </w:r>
            <w:r>
              <w:t xml:space="preserve">bénéficié d'un </w:t>
            </w:r>
            <w:r>
              <w:t xml:space="preserve">soutien </w:t>
            </w:r>
            <w:r>
              <w:t xml:space="preserve">psychologique </w:t>
            </w:r>
            <w:r>
              <w:t xml:space="preserve">de </w:t>
            </w:r>
            <w:r>
              <w:t xml:space="preserve">6 mois </w:t>
            </w:r>
            <w:r>
              <w:t xml:space="preserve">suivi </w:t>
            </w:r>
            <w:r>
              <w:t xml:space="preserve">soit </w:t>
            </w:r>
            <w:r>
              <w:t xml:space="preserve">d'</w:t>
            </w:r>
            <w:r>
              <w:t xml:space="preserve">analogues de la </w:t>
            </w:r>
            <w:r>
              <w:t xml:space="preserve">GnRH </w:t>
            </w:r>
            <w:r>
              <w:t xml:space="preserve">et d'un </w:t>
            </w:r>
            <w:r>
              <w:t xml:space="preserve">soutien </w:t>
            </w:r>
            <w:r>
              <w:t xml:space="preserve">psychologique </w:t>
            </w:r>
            <w:r>
              <w:t xml:space="preserve">continu </w:t>
            </w:r>
            <w:r>
              <w:t xml:space="preserve">(le </w:t>
            </w:r>
            <w:r>
              <w:t xml:space="preserve">groupe </w:t>
            </w:r>
            <w:r>
              <w:t xml:space="preserve">immédiatement </w:t>
            </w:r>
            <w:r>
              <w:t xml:space="preserve">éligible), soit d'un soutien psychologique continu uniquement (le </w:t>
            </w:r>
            <w:r>
              <w:t xml:space="preserve">groupe </w:t>
            </w:r>
            <w:r>
              <w:t xml:space="preserve">éligible </w:t>
            </w:r>
            <w:r>
              <w:t xml:space="preserve">différé </w:t>
            </w:r>
            <w:r>
              <w:t xml:space="preserve">qui </w:t>
            </w:r>
            <w:r>
              <w:t xml:space="preserve">n'a pas </w:t>
            </w:r>
            <w:r>
              <w:t xml:space="preserve">reçu d'</w:t>
            </w:r>
            <w:r>
              <w:t xml:space="preserve">analogues de la </w:t>
            </w:r>
            <w:r>
              <w:t xml:space="preserve">GnRH</w:t>
            </w:r>
            <w:r>
              <w:t xml:space="preserve">) </w:t>
            </w:r>
            <w:r>
              <w:t xml:space="preserve">a fourni des </w:t>
            </w:r>
            <w:r>
              <w:t xml:space="preserve">preuves </w:t>
            </w:r>
            <w:r>
              <w:t xml:space="preserve">du </w:t>
            </w:r>
            <w:r>
              <w:t xml:space="preserve">fonctionnement </w:t>
            </w:r>
            <w:r>
              <w:t xml:space="preserve">global </w:t>
            </w:r>
            <w:r>
              <w:t xml:space="preserve">(CGAS) </w:t>
            </w:r>
            <w:r>
              <w:t xml:space="preserve">mesuré </w:t>
            </w:r>
            <w:r>
              <w:t xml:space="preserve">à </w:t>
            </w:r>
            <w:r>
              <w:t xml:space="preserve">4 </w:t>
            </w:r>
            <w:r>
              <w:t xml:space="preserve">points de </w:t>
            </w:r>
            <w:r>
              <w:t xml:space="preserve">temps </w:t>
            </w:r>
            <w:r>
              <w:t xml:space="preserve">:</w:t>
            </w:r>
          </w:p>
          <w:p>
            <w:pPr>
              <w:pStyle w:val="TableParagraph"/>
              <w:numPr>
                <w:ilvl w:val="0"/>
                <w:numId w:val="168"/>
              </w:numPr>
              <w:tabs>
                <w:tab w:val="left" w:pos="829"/>
              </w:tabs>
              <w:spacing w:before="1" w:line="268" w:lineRule="exact"/>
              <w:ind w:hanging="362"/>
              <w:jc w:val="both"/>
            </w:pPr>
            <w:r>
              <w:t xml:space="preserve">à la </w:t>
            </w:r>
            <w:r>
              <w:t xml:space="preserve">ligne de base </w:t>
            </w:r>
            <w:r>
              <w:t xml:space="preserve">(T0) </w:t>
            </w:r>
            <w:r>
              <w:t xml:space="preserve">dans les </w:t>
            </w:r>
            <w:r>
              <w:t xml:space="preserve">deux </w:t>
            </w:r>
            <w:r>
              <w:t xml:space="preserve">groupes,</w:t>
            </w:r>
          </w:p>
          <w:p>
            <w:pPr>
              <w:pStyle w:val="TableParagraph"/>
              <w:numPr>
                <w:ilvl w:val="0"/>
                <w:numId w:val="168"/>
              </w:numPr>
              <w:tabs>
                <w:tab w:val="left" w:pos="829"/>
              </w:tabs>
              <w:spacing w:line="268" w:lineRule="exact"/>
              <w:ind w:hanging="362"/>
              <w:jc w:val="both"/>
            </w:pPr>
            <w:r>
              <w:t xml:space="preserve">après </w:t>
            </w:r>
            <w:r>
              <w:t xml:space="preserve">6 </w:t>
            </w:r>
            <w:r>
              <w:t xml:space="preserve">mois </w:t>
            </w:r>
            <w:r>
              <w:t xml:space="preserve">de </w:t>
            </w:r>
            <w:r>
              <w:t xml:space="preserve">soutien </w:t>
            </w:r>
            <w:r>
              <w:t xml:space="preserve">psychologique </w:t>
            </w:r>
            <w:r>
              <w:t xml:space="preserve">dans les </w:t>
            </w:r>
            <w:r>
              <w:t xml:space="preserve">deux </w:t>
            </w:r>
            <w:r>
              <w:t xml:space="preserve">groupes </w:t>
            </w:r>
            <w:r>
              <w:t xml:space="preserve">(T1),</w:t>
            </w:r>
          </w:p>
          <w:p>
            <w:pPr>
              <w:pStyle w:val="TableParagraph"/>
              <w:numPr>
                <w:ilvl w:val="0"/>
                <w:numId w:val="168"/>
              </w:numPr>
              <w:tabs>
                <w:tab w:val="left" w:pos="829"/>
              </w:tabs>
              <w:ind w:end="96"/>
              <w:jc w:val="both"/>
            </w:pPr>
            <w:r>
              <w:t xml:space="preserve">après </w:t>
            </w:r>
            <w:r>
              <w:t xml:space="preserve">6 </w:t>
            </w:r>
            <w:r>
              <w:t xml:space="preserve">mois </w:t>
            </w:r>
            <w:r>
              <w:t xml:space="preserve">d'</w:t>
            </w:r>
            <w:r>
              <w:t xml:space="preserve">analogues de la </w:t>
            </w:r>
            <w:r>
              <w:t xml:space="preserve">GnRH </w:t>
            </w:r>
            <w:r>
              <w:t xml:space="preserve">et </w:t>
            </w:r>
            <w:r>
              <w:t xml:space="preserve">12 </w:t>
            </w:r>
            <w:r>
              <w:t xml:space="preserve">mois </w:t>
            </w:r>
            <w:r>
              <w:t xml:space="preserve">de </w:t>
            </w:r>
            <w:r>
              <w:t xml:space="preserve">soutien psychologique dans le groupe immédiatement éligible et 12 </w:t>
            </w:r>
            <w:r>
              <w:t xml:space="preserve">mois de soutien psychologique uniquement dans le </w:t>
            </w:r>
            <w:r>
              <w:t xml:space="preserve">groupe </w:t>
            </w:r>
            <w:r>
              <w:t xml:space="preserve">éligible différé </w:t>
            </w:r>
            <w:r>
              <w:t xml:space="preserve">(T2), </w:t>
            </w:r>
            <w:r>
              <w:t xml:space="preserve">et</w:t>
            </w:r>
          </w:p>
          <w:p>
            <w:pPr>
              <w:pStyle w:val="TableParagraph"/>
              <w:numPr>
                <w:ilvl w:val="0"/>
                <w:numId w:val="168"/>
              </w:numPr>
              <w:tabs>
                <w:tab w:val="left" w:pos="829"/>
              </w:tabs>
              <w:ind w:end="95"/>
              <w:jc w:val="both"/>
            </w:pPr>
            <w:r>
              <w:t xml:space="preserve">après 18 mois de soutien psychologique et 12 mois d'</w:t>
            </w:r>
            <w:r>
              <w:t xml:space="preserve">analogues de la GnRH dans le groupe immédiatement éligible et après 18 </w:t>
            </w:r>
            <w:r>
              <w:t xml:space="preserve">mois de soutien psychologique uniquement dans le </w:t>
            </w:r>
            <w:r>
              <w:t xml:space="preserve">groupe </w:t>
            </w:r>
            <w:r>
              <w:t xml:space="preserve">éligible différé </w:t>
            </w:r>
            <w:r>
              <w:t xml:space="preserve">(T3).</w:t>
            </w:r>
          </w:p>
        </w:tc>
      </w:tr>
      <w:tr w:rsidR="00432386">
        <w:trPr>
          <w:trHeight w:val="1134"/>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2"/>
              <w:ind w:start="107" w:end="95"/>
              <w:jc w:val="both"/>
            </w:pPr>
            <w:r>
              <w:t xml:space="preserve">Le </w:t>
            </w:r>
            <w:r>
              <w:t xml:space="preserve">score </w:t>
            </w:r>
            <w:r>
              <w:t xml:space="preserve">moyen </w:t>
            </w:r>
            <w:r>
              <w:t xml:space="preserve">[±SD] </w:t>
            </w:r>
            <w:r>
              <w:t xml:space="preserve">du </w:t>
            </w:r>
            <w:r>
              <w:t xml:space="preserve">CGAS </w:t>
            </w:r>
            <w:r>
              <w:t xml:space="preserve">était </w:t>
            </w:r>
            <w:r>
              <w:t xml:space="preserve">statistiquement </w:t>
            </w:r>
            <w:r>
              <w:t xml:space="preserve">plus élevé </w:t>
            </w:r>
            <w:r>
              <w:t xml:space="preserve">(amélioré) pour tous les adolescents (y compris ceux ne recevant pas d'</w:t>
            </w:r>
            <w:r>
              <w:t xml:space="preserve">analogues de la </w:t>
            </w:r>
            <w:r>
              <w:t xml:space="preserve">GnRH</w:t>
            </w:r>
            <w:r>
              <w:t xml:space="preserve">) </w:t>
            </w:r>
            <w:r>
              <w:t xml:space="preserve">à </w:t>
            </w:r>
            <w:r>
              <w:t xml:space="preserve">T1, </w:t>
            </w:r>
            <w:r>
              <w:t xml:space="preserve">T2 </w:t>
            </w:r>
            <w:r>
              <w:t xml:space="preserve">ou </w:t>
            </w:r>
            <w:r>
              <w:t xml:space="preserve">T3 par rapport à </w:t>
            </w:r>
            <w:r>
              <w:t xml:space="preserve">la </w:t>
            </w:r>
            <w:r>
              <w:t xml:space="preserve">ligne de base </w:t>
            </w:r>
            <w:r>
              <w:t xml:space="preserve">(T0).</w:t>
            </w:r>
          </w:p>
        </w:tc>
      </w:tr>
    </w:tbl>
    <w:p w:rsidR="00432386" w:rsidRDefault="00432386">
      <w:pPr>
        <w:jc w:val="both"/>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7171"/>
        </w:trPr>
        <w:tc>
          <w:tcPr>
            <w:tcW w:w="1980" w:type="dxa"/>
          </w:tcPr>
          <w:p w:rsidR="00432386" w:rsidRDefault="00432386">
            <w:pPr>
              <w:pStyle w:val="TableParagraph"/>
              <w:rPr>
                <w:rFonts w:ascii="Times New Roman"/>
              </w:rPr>
            </w:pPr>
          </w:p>
        </w:tc>
        <w:tc>
          <w:tcPr>
            <w:tcW w:w="7089" w:type="dxa"/>
          </w:tcPr>
          <w:p>
            <w:pPr>
              <w:pStyle w:val="TableParagraph"/>
              <w:ind w:start="107"/>
            </w:pPr>
            <w:r>
              <w:t xml:space="preserve">Pour le groupe éligible immédiatement (qui a reçu des analogues de la GnRH) </w:t>
            </w:r>
            <w:r>
              <w:t xml:space="preserve">par rapport au groupe éligible tardivement (qui n'a pas reçu d'</w:t>
            </w:r>
            <w:r>
              <w:t xml:space="preserve">analogues de la </w:t>
            </w:r>
            <w:r>
              <w:t xml:space="preserve">GnRH</w:t>
            </w:r>
            <w:r>
              <w:t xml:space="preserve">), il n'y avait pas de différences statistiquement significatives dans les </w:t>
            </w:r>
            <w:r>
              <w:t xml:space="preserve">scores </w:t>
            </w:r>
            <w:r>
              <w:t xml:space="preserve">CGAS </w:t>
            </w:r>
            <w:r>
              <w:t xml:space="preserve">entre les 2 groupes aux </w:t>
            </w:r>
            <w:r>
              <w:t xml:space="preserve">points de </w:t>
            </w:r>
            <w:r>
              <w:t xml:space="preserve">référence T0 (n=201, p=0,23), T1 </w:t>
            </w:r>
            <w:r>
              <w:t xml:space="preserve">(n=201, </w:t>
            </w:r>
            <w:r>
              <w:t xml:space="preserve">p=0,73), </w:t>
            </w:r>
            <w:r>
              <w:t xml:space="preserve">T2 </w:t>
            </w:r>
            <w:r>
              <w:t xml:space="preserve">(n=121, p=0,49) </w:t>
            </w:r>
            <w:r>
              <w:t xml:space="preserve">ou </w:t>
            </w:r>
            <w:r>
              <w:t xml:space="preserve">T3 </w:t>
            </w:r>
            <w:r>
              <w:t xml:space="preserve">(n=71, </w:t>
            </w:r>
            <w:r>
              <w:t xml:space="preserve">p=0,14)</w:t>
            </w:r>
            <w:r>
              <w:t xml:space="preserve">.</w:t>
            </w:r>
          </w:p>
          <w:p w:rsidR="00432386" w:rsidRDefault="00432386">
            <w:pPr>
              <w:pStyle w:val="TableParagraph"/>
              <w:spacing w:before="10"/>
              <w:rPr>
                <w:b/>
                <w:sz w:val="21"/>
              </w:rPr>
            </w:pPr>
          </w:p>
          <w:p>
            <w:pPr>
              <w:pStyle w:val="TableParagraph"/>
              <w:ind w:start="107" w:end="118"/>
            </w:pPr>
            <w:r>
              <w:t xml:space="preserve">Pour le groupe immédiatement éligible (qui a reçu des analogues de la GnRH), </w:t>
            </w:r>
            <w:r>
              <w:t xml:space="preserve">le score CGAS moyen (±SD) n'était pas statistiquement différent </w:t>
            </w:r>
            <w:r>
              <w:t xml:space="preserve">à :</w:t>
            </w:r>
          </w:p>
          <w:p>
            <w:pPr>
              <w:pStyle w:val="TableParagraph"/>
              <w:numPr>
                <w:ilvl w:val="0"/>
                <w:numId w:val="167"/>
              </w:numPr>
              <w:tabs>
                <w:tab w:val="left" w:pos="828"/>
                <w:tab w:val="left" w:pos="829"/>
              </w:tabs>
              <w:spacing w:before="2" w:line="269" w:lineRule="exact"/>
              <w:ind w:hanging="362"/>
            </w:pPr>
            <w:r>
              <w:t xml:space="preserve">T1 </w:t>
            </w:r>
            <w:r>
              <w:t xml:space="preserve">par rapport à </w:t>
            </w:r>
            <w:r>
              <w:t xml:space="preserve">T0</w:t>
            </w:r>
          </w:p>
          <w:p>
            <w:pPr>
              <w:pStyle w:val="TableParagraph"/>
              <w:numPr>
                <w:ilvl w:val="0"/>
                <w:numId w:val="167"/>
              </w:numPr>
              <w:tabs>
                <w:tab w:val="left" w:pos="828"/>
                <w:tab w:val="left" w:pos="829"/>
              </w:tabs>
              <w:spacing w:line="268" w:lineRule="exact"/>
              <w:ind w:hanging="362"/>
            </w:pPr>
            <w:r>
              <w:t xml:space="preserve">T2 </w:t>
            </w:r>
            <w:r>
              <w:t xml:space="preserve">par rapport à </w:t>
            </w:r>
            <w:r>
              <w:t xml:space="preserve">T1</w:t>
            </w:r>
          </w:p>
          <w:p>
            <w:pPr>
              <w:pStyle w:val="TableParagraph"/>
              <w:numPr>
                <w:ilvl w:val="0"/>
                <w:numId w:val="167"/>
              </w:numPr>
              <w:tabs>
                <w:tab w:val="left" w:pos="828"/>
                <w:tab w:val="left" w:pos="829"/>
              </w:tabs>
              <w:spacing w:line="268" w:lineRule="exact"/>
              <w:ind w:hanging="362"/>
            </w:pPr>
            <w:r>
              <w:t xml:space="preserve">T3 </w:t>
            </w:r>
            <w:r>
              <w:t xml:space="preserve">par rapport à </w:t>
            </w:r>
            <w:r>
              <w:t xml:space="preserve">T2.</w:t>
            </w:r>
          </w:p>
          <w:p w:rsidR="00432386" w:rsidRDefault="00432386">
            <w:pPr>
              <w:pStyle w:val="TableParagraph"/>
              <w:spacing w:before="10"/>
              <w:rPr>
                <w:b/>
                <w:sz w:val="21"/>
              </w:rPr>
            </w:pPr>
          </w:p>
          <w:p>
            <w:pPr>
              <w:pStyle w:val="TableParagraph"/>
              <w:ind w:start="107"/>
            </w:pPr>
            <w:r>
              <w:t xml:space="preserve">Le </w:t>
            </w:r>
            <w:r>
              <w:t xml:space="preserve">score </w:t>
            </w:r>
            <w:r>
              <w:t xml:space="preserve">moyen </w:t>
            </w:r>
            <w:r>
              <w:t xml:space="preserve">(±SD) du </w:t>
            </w:r>
            <w:r>
              <w:t xml:space="preserve">CGAS </w:t>
            </w:r>
            <w:r>
              <w:t xml:space="preserve">était </w:t>
            </w:r>
            <w:r>
              <w:t xml:space="preserve">statistiquement </w:t>
            </w:r>
            <w:r>
              <w:t xml:space="preserve">plus élevé </w:t>
            </w:r>
            <w:r>
              <w:t xml:space="preserve">(amélioré) à :</w:t>
            </w:r>
          </w:p>
          <w:p>
            <w:pPr>
              <w:pStyle w:val="TableParagraph"/>
              <w:numPr>
                <w:ilvl w:val="0"/>
                <w:numId w:val="167"/>
              </w:numPr>
              <w:tabs>
                <w:tab w:val="left" w:pos="828"/>
                <w:tab w:val="left" w:pos="829"/>
              </w:tabs>
              <w:spacing w:before="2" w:line="237" w:lineRule="auto"/>
              <w:ind w:end="96"/>
            </w:pPr>
            <w:r>
              <w:rPr>
                <w:spacing w:val="-1"/>
              </w:rPr>
              <w:t xml:space="preserve">T2 </w:t>
            </w:r>
            <w:r>
              <w:rPr>
                <w:spacing w:val="-1"/>
              </w:rPr>
              <w:t xml:space="preserve">par rapport </w:t>
            </w:r>
            <w:r>
              <w:rPr>
                <w:spacing w:val="-1"/>
              </w:rPr>
              <w:t xml:space="preserve">à </w:t>
            </w:r>
            <w:r>
              <w:rPr>
                <w:spacing w:val="-1"/>
              </w:rPr>
              <w:t xml:space="preserve">T0 </w:t>
            </w:r>
            <w:r>
              <w:rPr>
                <w:spacing w:val="-1"/>
              </w:rPr>
              <w:t xml:space="preserve">(n=60, </w:t>
            </w:r>
            <w:r>
              <w:rPr>
                <w:spacing w:val="-1"/>
              </w:rPr>
              <w:t xml:space="preserve">64,70 </w:t>
            </w:r>
            <w:r>
              <w:rPr>
                <w:spacing w:val="-1"/>
              </w:rPr>
              <w:t xml:space="preserve">[±13,34] </w:t>
            </w:r>
            <w:r>
              <w:t xml:space="preserve">contre </w:t>
            </w:r>
            <w:r>
              <w:t xml:space="preserve">n=101, </w:t>
            </w:r>
            <w:r>
              <w:t xml:space="preserve">58,72 </w:t>
            </w:r>
            <w:r>
              <w:t xml:space="preserve">[±11,38], </w:t>
            </w:r>
            <w:r>
              <w:t xml:space="preserve">p=0,003)</w:t>
            </w:r>
          </w:p>
          <w:p>
            <w:pPr>
              <w:pStyle w:val="TableParagraph"/>
              <w:numPr>
                <w:ilvl w:val="0"/>
                <w:numId w:val="167"/>
              </w:numPr>
              <w:tabs>
                <w:tab w:val="left" w:pos="828"/>
                <w:tab w:val="left" w:pos="829"/>
              </w:tabs>
              <w:spacing w:before="4" w:line="237" w:lineRule="auto"/>
              <w:ind w:end="96"/>
            </w:pPr>
            <w:r>
              <w:rPr>
                <w:spacing w:val="-1"/>
              </w:rPr>
              <w:t xml:space="preserve">T3 </w:t>
            </w:r>
            <w:r>
              <w:rPr>
                <w:spacing w:val="-1"/>
              </w:rPr>
              <w:t xml:space="preserve">par rapport </w:t>
            </w:r>
            <w:r>
              <w:rPr>
                <w:spacing w:val="-1"/>
              </w:rPr>
              <w:t xml:space="preserve">à </w:t>
            </w:r>
            <w:r>
              <w:rPr>
                <w:spacing w:val="-1"/>
              </w:rPr>
              <w:t xml:space="preserve">T0 </w:t>
            </w:r>
            <w:r>
              <w:rPr>
                <w:spacing w:val="-1"/>
              </w:rPr>
              <w:t xml:space="preserve">(n=35, </w:t>
            </w:r>
            <w:r>
              <w:rPr>
                <w:spacing w:val="-1"/>
              </w:rPr>
              <w:t xml:space="preserve">67,40 </w:t>
            </w:r>
            <w:r>
              <w:rPr>
                <w:spacing w:val="-1"/>
              </w:rPr>
              <w:t xml:space="preserve">[±13,39] </w:t>
            </w:r>
            <w:r>
              <w:t xml:space="preserve">contre </w:t>
            </w:r>
            <w:r>
              <w:t xml:space="preserve">n=101, </w:t>
            </w:r>
            <w:r>
              <w:t xml:space="preserve">58,72 </w:t>
            </w:r>
            <w:r>
              <w:t xml:space="preserve">[±11,38], </w:t>
            </w:r>
            <w:r>
              <w:t xml:space="preserve">p&lt;0,001)</w:t>
            </w:r>
          </w:p>
          <w:p>
            <w:pPr>
              <w:pStyle w:val="TableParagraph"/>
              <w:numPr>
                <w:ilvl w:val="0"/>
                <w:numId w:val="167"/>
              </w:numPr>
              <w:tabs>
                <w:tab w:val="left" w:pos="828"/>
                <w:tab w:val="left" w:pos="829"/>
              </w:tabs>
              <w:spacing w:before="4" w:line="237" w:lineRule="auto"/>
              <w:ind w:end="94"/>
            </w:pPr>
            <w:r>
              <w:rPr>
                <w:spacing w:val="-1"/>
              </w:rPr>
              <w:t xml:space="preserve">T3 </w:t>
            </w:r>
            <w:r>
              <w:rPr>
                <w:spacing w:val="-1"/>
              </w:rPr>
              <w:t xml:space="preserve">par rapport </w:t>
            </w:r>
            <w:r>
              <w:rPr>
                <w:spacing w:val="-1"/>
              </w:rPr>
              <w:t xml:space="preserve">à </w:t>
            </w:r>
            <w:r>
              <w:rPr>
                <w:spacing w:val="-1"/>
              </w:rPr>
              <w:t xml:space="preserve">T1 </w:t>
            </w:r>
            <w:r>
              <w:rPr>
                <w:spacing w:val="-1"/>
              </w:rPr>
              <w:t xml:space="preserve">(n=35, </w:t>
            </w:r>
            <w:r>
              <w:rPr>
                <w:spacing w:val="-1"/>
              </w:rPr>
              <w:t xml:space="preserve">67,40 </w:t>
            </w:r>
            <w:r>
              <w:t xml:space="preserve">[±13,93] </w:t>
            </w:r>
            <w:r>
              <w:t xml:space="preserve">contre </w:t>
            </w:r>
            <w:r>
              <w:t xml:space="preserve">n=101, </w:t>
            </w:r>
            <w:r>
              <w:t xml:space="preserve">60,89 </w:t>
            </w:r>
            <w:r>
              <w:t xml:space="preserve">[±12,17], </w:t>
            </w:r>
            <w:r>
              <w:t xml:space="preserve">p&lt;0,001) (</w:t>
            </w:r>
            <w:r>
              <w:rPr>
                <w:b/>
              </w:rPr>
              <w:t xml:space="preserve">TRÈS FAIBLE).</w:t>
            </w:r>
          </w:p>
          <w:p w:rsidR="00432386" w:rsidRDefault="00432386">
            <w:pPr>
              <w:pStyle w:val="TableParagraph"/>
              <w:rPr>
                <w:b/>
              </w:rPr>
            </w:pPr>
          </w:p>
          <w:p>
            <w:pPr>
              <w:pStyle w:val="TableParagraph"/>
              <w:spacing w:before="1"/>
              <w:ind w:start="107" w:end="93"/>
              <w:jc w:val="both"/>
              <w:rPr>
                <w:b/>
              </w:rPr>
            </w:pPr>
            <w:r>
              <w:rPr>
                <w:b/>
              </w:rPr>
              <w:t xml:space="preserve">Ces études fournissent des preuves à très faible degré de certitude que, pendant le </w:t>
            </w:r>
            <w:r>
              <w:rPr>
                <w:b/>
              </w:rPr>
              <w:t xml:space="preserve">traitement par les analogues de la GnRH, le fonctionnement global peut s'améliorer </w:t>
            </w:r>
            <w:r>
              <w:rPr>
                <w:b/>
              </w:rPr>
              <w:t xml:space="preserve">avec le </w:t>
            </w:r>
            <w:r>
              <w:rPr>
                <w:b/>
              </w:rPr>
              <w:t xml:space="preserve">temps. </w:t>
            </w:r>
            <w:r>
              <w:rPr>
                <w:b/>
              </w:rPr>
              <w:t xml:space="preserve">Cependant, </w:t>
            </w:r>
            <w:r>
              <w:rPr>
                <w:b/>
              </w:rPr>
              <w:t xml:space="preserve">il </w:t>
            </w:r>
            <w:r>
              <w:rPr>
                <w:b/>
              </w:rPr>
              <w:t xml:space="preserve">n'y avait pas de </w:t>
            </w:r>
            <w:r>
              <w:rPr>
                <w:b/>
              </w:rPr>
              <w:t xml:space="preserve">différence </w:t>
            </w:r>
            <w:r>
              <w:rPr>
                <w:b/>
              </w:rPr>
              <w:t xml:space="preserve">statistiquement </w:t>
            </w:r>
            <w:r>
              <w:rPr>
                <w:b/>
              </w:rPr>
              <w:t xml:space="preserve">significative </w:t>
            </w:r>
            <w:r>
              <w:rPr>
                <w:b/>
              </w:rPr>
              <w:t xml:space="preserve">dans le fonctionnement global </w:t>
            </w:r>
            <w:r>
              <w:rPr>
                <w:b/>
              </w:rPr>
              <w:t xml:space="preserve">entre les analogues de la GnRH et le </w:t>
            </w:r>
            <w:r>
              <w:rPr>
                <w:b/>
              </w:rPr>
              <w:t xml:space="preserve">soutien </w:t>
            </w:r>
            <w:r>
              <w:rPr>
                <w:b/>
              </w:rPr>
              <w:t xml:space="preserve">psychologique </w:t>
            </w:r>
            <w:r>
              <w:rPr>
                <w:b/>
              </w:rPr>
              <w:t xml:space="preserve">par rapport </w:t>
            </w:r>
            <w:r>
              <w:rPr>
                <w:b/>
              </w:rPr>
              <w:t xml:space="preserve">au </w:t>
            </w:r>
            <w:r>
              <w:rPr>
                <w:b/>
              </w:rPr>
              <w:t xml:space="preserve">soutien </w:t>
            </w:r>
            <w:r>
              <w:rPr>
                <w:b/>
              </w:rPr>
              <w:t xml:space="preserve">psychologique </w:t>
            </w:r>
            <w:r>
              <w:rPr>
                <w:b/>
              </w:rPr>
              <w:t xml:space="preserve">seul.</w:t>
            </w:r>
          </w:p>
          <w:p>
            <w:pPr>
              <w:pStyle w:val="TableParagraph"/>
              <w:spacing w:line="232" w:lineRule="exact"/>
              <w:ind w:start="107"/>
              <w:jc w:val="both"/>
              <w:rPr>
                <w:b/>
              </w:rPr>
            </w:pPr>
            <w:r>
              <w:rPr>
                <w:b/>
              </w:rPr>
              <w:t xml:space="preserve">à </w:t>
            </w:r>
            <w:r>
              <w:rPr>
                <w:b/>
              </w:rPr>
              <w:t xml:space="preserve">tout </w:t>
            </w:r>
            <w:r>
              <w:rPr>
                <w:b/>
              </w:rPr>
              <w:t xml:space="preserve">moment</w:t>
            </w:r>
            <w:r>
              <w:rPr>
                <w:b/>
              </w:rPr>
              <w:t xml:space="preserve">.</w:t>
            </w:r>
          </w:p>
        </w:tc>
      </w:tr>
      <w:tr w:rsidR="00432386">
        <w:trPr>
          <w:trHeight w:val="6593"/>
        </w:trPr>
        <w:tc>
          <w:tcPr>
            <w:tcW w:w="1980" w:type="dxa"/>
          </w:tcPr>
          <w:p>
            <w:pPr>
              <w:pStyle w:val="TableParagraph"/>
              <w:ind w:start="107" w:end="436"/>
              <w:rPr>
                <w:b/>
              </w:rPr>
            </w:pPr>
            <w:r>
              <w:rPr>
                <w:b/>
              </w:rPr>
              <w:t xml:space="preserve">Impact </w:t>
            </w:r>
            <w:r>
              <w:rPr>
                <w:b/>
              </w:rPr>
              <w:t xml:space="preserve">psychosocial </w:t>
            </w:r>
            <w:r>
              <w:rPr>
                <w:b/>
              </w:rPr>
              <w:t xml:space="preserve">: </w:t>
            </w:r>
            <w:r>
              <w:rPr>
                <w:b/>
              </w:rPr>
              <w:t xml:space="preserve">fonctionnement </w:t>
            </w:r>
            <w:r>
              <w:rPr>
                <w:b/>
              </w:rPr>
              <w:t xml:space="preserve">psychosocial</w:t>
            </w:r>
          </w:p>
          <w:p w:rsidR="00432386" w:rsidRDefault="00432386">
            <w:pPr>
              <w:pStyle w:val="TableParagraph"/>
              <w:spacing w:before="2"/>
              <w:rPr>
                <w:b/>
              </w:rPr>
            </w:pPr>
          </w:p>
          <w:p>
            <w:pPr>
              <w:pStyle w:val="TableParagraph"/>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ind w:start="107" w:end="95"/>
              <w:jc w:val="both"/>
            </w:pPr>
            <w:r>
              <w:t xml:space="preserve">Il s'agit d'</w:t>
            </w:r>
            <w:r>
              <w:t xml:space="preserve">un </w:t>
            </w:r>
            <w:r>
              <w:t xml:space="preserve">résultat </w:t>
            </w:r>
            <w:r>
              <w:t xml:space="preserve">important </w:t>
            </w:r>
            <w:r>
              <w:t xml:space="preserve">car </w:t>
            </w:r>
            <w:r>
              <w:t xml:space="preserve">la </w:t>
            </w:r>
            <w:r>
              <w:t xml:space="preserve">dysphorie de </w:t>
            </w:r>
            <w:r>
              <w:t xml:space="preserve">genre </w:t>
            </w:r>
            <w:r>
              <w:t xml:space="preserve">chez les </w:t>
            </w:r>
            <w:r>
              <w:t xml:space="preserve">enfants </w:t>
            </w:r>
            <w:r>
              <w:t xml:space="preserve">et les </w:t>
            </w:r>
            <w:r>
              <w:t xml:space="preserve">adolescents </w:t>
            </w:r>
            <w:r>
              <w:t xml:space="preserve">est </w:t>
            </w:r>
            <w:r>
              <w:t xml:space="preserve">associée </w:t>
            </w:r>
            <w:r>
              <w:t xml:space="preserve">à des </w:t>
            </w:r>
            <w:r>
              <w:rPr>
                <w:spacing w:val="-1"/>
              </w:rPr>
              <w:t xml:space="preserve">comportements d'</w:t>
            </w:r>
            <w:r>
              <w:t xml:space="preserve">internalisation </w:t>
            </w:r>
            <w:r>
              <w:t xml:space="preserve">et d'</w:t>
            </w:r>
            <w:r>
              <w:t xml:space="preserve">externalisation</w:t>
            </w:r>
            <w:r>
              <w:rPr>
                <w:spacing w:val="-1"/>
              </w:rPr>
              <w:t xml:space="preserve">, </w:t>
            </w:r>
            <w:r>
              <w:rPr>
                <w:spacing w:val="-1"/>
              </w:rPr>
              <w:t xml:space="preserve">ainsi qu'à des </w:t>
            </w:r>
            <w:r>
              <w:t xml:space="preserve">problèmes </w:t>
            </w:r>
            <w:r>
              <w:rPr>
                <w:spacing w:val="-1"/>
              </w:rPr>
              <w:t xml:space="preserve">émotionnels </w:t>
            </w:r>
            <w:r>
              <w:rPr>
                <w:spacing w:val="-1"/>
              </w:rPr>
              <w:t xml:space="preserve">et </w:t>
            </w:r>
            <w:r>
              <w:rPr>
                <w:spacing w:val="-1"/>
              </w:rPr>
              <w:t xml:space="preserve">comportementaux </w:t>
            </w:r>
            <w:r>
              <w:t xml:space="preserve">qui </w:t>
            </w:r>
            <w:r>
              <w:t xml:space="preserve">peuvent avoir un </w:t>
            </w:r>
            <w:r>
              <w:t xml:space="preserve">impact </w:t>
            </w:r>
            <w:r>
              <w:t xml:space="preserve">sur le </w:t>
            </w:r>
            <w:r>
              <w:t xml:space="preserve">fonctionnement </w:t>
            </w:r>
            <w:r>
              <w:t xml:space="preserve">social </w:t>
            </w:r>
            <w:r>
              <w:t xml:space="preserve">et professionnel</w:t>
            </w:r>
            <w:r>
              <w:t xml:space="preserve">.</w:t>
            </w:r>
          </w:p>
          <w:p w:rsidR="00432386" w:rsidRDefault="00432386">
            <w:pPr>
              <w:pStyle w:val="TableParagraph"/>
              <w:spacing w:before="2"/>
              <w:rPr>
                <w:b/>
              </w:rPr>
            </w:pPr>
          </w:p>
          <w:p>
            <w:pPr>
              <w:pStyle w:val="TableParagraph"/>
              <w:ind w:start="107" w:end="93"/>
              <w:jc w:val="both"/>
            </w:pPr>
            <w:r>
              <w:t xml:space="preserve">Deux études ont fourni des preuves pour ce résultat. Une </w:t>
            </w:r>
            <w:r>
              <w:t xml:space="preserve">étude de cohorte prospective observationnelle </w:t>
            </w:r>
            <w:r>
              <w:t xml:space="preserve">non contrôlée </w:t>
            </w:r>
            <w:r>
              <w:t xml:space="preserve">(</w:t>
            </w:r>
            <w:hyperlink r:id="rId131">
              <w:r>
                <w:rPr>
                  <w:color w:val="0000FF"/>
                  <w:u w:val="single" w:color="0000FF"/>
                </w:rPr>
                <w:t xml:space="preserve">de Vries et al, 2011</w:t>
              </w:r>
            </w:hyperlink>
            <w:r>
              <w:t xml:space="preserve">) et </w:t>
            </w:r>
            <w:r>
              <w:t xml:space="preserve">une </w:t>
            </w:r>
            <w:r>
              <w:t xml:space="preserve">étude observationnelle transversale (</w:t>
            </w:r>
            <w:hyperlink r:id="rId132">
              <w:r>
                <w:rPr>
                  <w:color w:val="0000FF"/>
                  <w:u w:val="single" w:color="0000FF"/>
                </w:rPr>
                <w:t xml:space="preserve">Staphorsius et al. 2015</w:t>
              </w:r>
            </w:hyperlink>
            <w:r>
              <w:t xml:space="preserve">) ont évalué le </w:t>
            </w:r>
            <w:r>
              <w:t xml:space="preserve">fonctionnement psychosocial à l'aide de la Child Behaviour Checklist (CBCL) </w:t>
            </w:r>
            <w:r>
              <w:t xml:space="preserve">et du Youth Self-Report (YSR) auto-administré. La CBCL est une </w:t>
            </w:r>
            <w:r>
              <w:t xml:space="preserve">liste de contrôle </w:t>
            </w:r>
            <w:r>
              <w:t xml:space="preserve">que les </w:t>
            </w:r>
            <w:r>
              <w:t xml:space="preserve">parents </w:t>
            </w:r>
            <w:r>
              <w:t xml:space="preserve">remplissent </w:t>
            </w:r>
            <w:r>
              <w:t xml:space="preserve">pour </w:t>
            </w:r>
            <w:r>
              <w:t xml:space="preserve">détecter les </w:t>
            </w:r>
            <w:r>
              <w:t xml:space="preserve">problèmes </w:t>
            </w:r>
            <w:r>
              <w:t xml:space="preserve">émotionnels </w:t>
            </w:r>
            <w:r>
              <w:t xml:space="preserve">et </w:t>
            </w:r>
            <w:r>
              <w:t xml:space="preserve">comportementaux </w:t>
            </w:r>
            <w:r>
              <w:t xml:space="preserve">chez les </w:t>
            </w:r>
            <w:r>
              <w:t xml:space="preserve">enfants </w:t>
            </w:r>
            <w:r>
              <w:t xml:space="preserve">et les </w:t>
            </w:r>
            <w:r>
              <w:t xml:space="preserve">adolescents. L'</w:t>
            </w:r>
            <w:r>
              <w:t xml:space="preserve">YSR </w:t>
            </w:r>
            <w:r>
              <w:t xml:space="preserve">est </w:t>
            </w:r>
            <w:r>
              <w:t xml:space="preserve">similaire </w:t>
            </w:r>
            <w:r>
              <w:t xml:space="preserve">mais </w:t>
            </w:r>
            <w:r>
              <w:t xml:space="preserve">est </w:t>
            </w:r>
            <w:r>
              <w:t xml:space="preserve">auto-administré par l'</w:t>
            </w:r>
            <w:r>
              <w:t xml:space="preserve">enfant ou l'adolescent. Les échelles se composent d'un </w:t>
            </w:r>
            <w:r>
              <w:t xml:space="preserve">score </w:t>
            </w:r>
            <w:r>
              <w:t xml:space="preserve">total </w:t>
            </w:r>
            <w:r>
              <w:t xml:space="preserve">de </w:t>
            </w:r>
            <w:r>
              <w:t xml:space="preserve">problèmes</w:t>
            </w:r>
            <w:r>
              <w:t xml:space="preserve">, </w:t>
            </w:r>
            <w:r>
              <w:t xml:space="preserve">qui </w:t>
            </w:r>
            <w:r>
              <w:t xml:space="preserve">est </w:t>
            </w:r>
            <w:r>
              <w:t xml:space="preserve">la </w:t>
            </w:r>
            <w:r>
              <w:t xml:space="preserve">somme </w:t>
            </w:r>
            <w:r>
              <w:t xml:space="preserve">des </w:t>
            </w:r>
            <w:r>
              <w:t xml:space="preserve">scores </w:t>
            </w:r>
            <w:r>
              <w:t xml:space="preserve">de </w:t>
            </w:r>
            <w:r>
              <w:t xml:space="preserve">tous les </w:t>
            </w:r>
            <w:r>
              <w:t xml:space="preserve">éléments du </w:t>
            </w:r>
            <w:r>
              <w:t xml:space="preserve">problème</w:t>
            </w:r>
            <w:r>
              <w:t xml:space="preserve">. </w:t>
            </w:r>
            <w:r>
              <w:t xml:space="preserve">Une </w:t>
            </w:r>
            <w:r>
              <w:t xml:space="preserve">échelle de </w:t>
            </w:r>
            <w:r>
              <w:t xml:space="preserve">problèmes d'</w:t>
            </w:r>
            <w:r>
              <w:t xml:space="preserve">internalisation </w:t>
            </w:r>
            <w:r>
              <w:t xml:space="preserve">additionne </w:t>
            </w:r>
            <w:r>
              <w:t xml:space="preserve">les </w:t>
            </w:r>
            <w:r>
              <w:t xml:space="preserve">scores d'</w:t>
            </w:r>
            <w:r>
              <w:t xml:space="preserve">anxiété/dépression, de </w:t>
            </w:r>
            <w:r>
              <w:t xml:space="preserve">repli sur soi/dépression </w:t>
            </w:r>
            <w:r>
              <w:t xml:space="preserve">et de </w:t>
            </w:r>
            <w:r>
              <w:t xml:space="preserve">plaintes </w:t>
            </w:r>
            <w:r>
              <w:t xml:space="preserve">somatiques</w:t>
            </w:r>
            <w:r>
              <w:t xml:space="preserve">, tandis que </w:t>
            </w:r>
            <w:r>
              <w:t xml:space="preserve">l'</w:t>
            </w:r>
            <w:r>
              <w:t xml:space="preserve">échelle de problèmes d'externalisation combine le non-respect des règles et le </w:t>
            </w:r>
            <w:r>
              <w:t xml:space="preserve">comportement </w:t>
            </w:r>
            <w:r>
              <w:t xml:space="preserve">agressif</w:t>
            </w:r>
            <w:r>
              <w:t xml:space="preserve">. </w:t>
            </w:r>
            <w:r>
              <w:t xml:space="preserve">Les </w:t>
            </w:r>
            <w:r>
              <w:t xml:space="preserve">scores </w:t>
            </w:r>
            <w:r>
              <w:t xml:space="preserve">standard </w:t>
            </w:r>
            <w:r>
              <w:t xml:space="preserve">sont </w:t>
            </w:r>
            <w:r>
              <w:t xml:space="preserve">échelonnés de </w:t>
            </w:r>
            <w:r>
              <w:t xml:space="preserve">manière à ce </w:t>
            </w:r>
            <w:r>
              <w:t xml:space="preserve">que </w:t>
            </w:r>
            <w:r>
              <w:t xml:space="preserve">50 </w:t>
            </w:r>
            <w:r>
              <w:t xml:space="preserve">soit la </w:t>
            </w:r>
            <w:r>
              <w:t xml:space="preserve">moyenne </w:t>
            </w:r>
            <w:r>
              <w:t xml:space="preserve">pour l'</w:t>
            </w:r>
            <w:r>
              <w:t xml:space="preserve">âge et le sexe de l'enfant ou de l'adolescent, avec un écart-type de 10 points. Des </w:t>
            </w:r>
            <w:r>
              <w:t xml:space="preserve">scores </w:t>
            </w:r>
            <w:r>
              <w:t xml:space="preserve">plus élevés </w:t>
            </w:r>
            <w:r>
              <w:t xml:space="preserve">indiquent des problèmes plus importants, un score T supérieur à 63 </w:t>
            </w:r>
            <w:r>
              <w:t xml:space="preserve">étant</w:t>
            </w:r>
            <w:r>
              <w:t xml:space="preserve"> considéré comme se situant </w:t>
            </w:r>
            <w:r>
              <w:t xml:space="preserve">dans la </w:t>
            </w:r>
            <w:r>
              <w:t xml:space="preserve">fourchette </w:t>
            </w:r>
            <w:r>
              <w:t xml:space="preserve">clinique</w:t>
            </w:r>
            <w:r>
              <w:t xml:space="preserve">.</w:t>
            </w:r>
          </w:p>
          <w:p w:rsidR="00432386" w:rsidRDefault="00432386">
            <w:pPr>
              <w:pStyle w:val="TableParagraph"/>
              <w:spacing w:before="10"/>
              <w:rPr>
                <w:b/>
                <w:sz w:val="21"/>
              </w:rPr>
            </w:pPr>
          </w:p>
          <w:p>
            <w:pPr>
              <w:pStyle w:val="TableParagraph"/>
              <w:ind w:start="107" w:end="97"/>
              <w:jc w:val="both"/>
            </w:pPr>
            <w:r>
              <w:t xml:space="preserve">Une étude (</w:t>
            </w:r>
            <w:hyperlink r:id="rId133">
              <w:r>
                <w:rPr>
                  <w:color w:val="0000FF"/>
                  <w:u w:val="single" w:color="0000FF"/>
                </w:rPr>
                <w:t xml:space="preserve">de Vries et al. 2011</w:t>
              </w:r>
            </w:hyperlink>
            <w:r>
              <w:t xml:space="preserve">) a fourni des preuves du </w:t>
            </w:r>
            <w:r>
              <w:t xml:space="preserve">fonctionnement </w:t>
            </w:r>
            <w:r>
              <w:t xml:space="preserve">psychosocial </w:t>
            </w:r>
            <w:r>
              <w:t xml:space="preserve">(</w:t>
            </w:r>
            <w:r>
              <w:t xml:space="preserve">scores </w:t>
            </w:r>
            <w:r>
              <w:t xml:space="preserve">CBCL </w:t>
            </w:r>
            <w:r>
              <w:t xml:space="preserve">et </w:t>
            </w:r>
            <w:r>
              <w:t xml:space="preserve">YSR</w:t>
            </w:r>
            <w:r>
              <w:t xml:space="preserve">) </w:t>
            </w:r>
            <w:r>
              <w:t xml:space="preserve">à </w:t>
            </w:r>
            <w:r>
              <w:t xml:space="preserve">deux </w:t>
            </w:r>
            <w:r>
              <w:t xml:space="preserve">moments :</w:t>
            </w:r>
          </w:p>
          <w:p>
            <w:pPr>
              <w:pStyle w:val="TableParagraph"/>
              <w:numPr>
                <w:ilvl w:val="0"/>
                <w:numId w:val="166"/>
              </w:numPr>
              <w:tabs>
                <w:tab w:val="left" w:pos="828"/>
                <w:tab w:val="left" w:pos="829"/>
              </w:tabs>
              <w:spacing w:line="252" w:lineRule="exact"/>
              <w:ind w:end="93"/>
            </w:pPr>
            <w:r>
              <w:t xml:space="preserve">avant de </w:t>
            </w:r>
            <w:r>
              <w:t xml:space="preserve">commencer </w:t>
            </w:r>
            <w:r>
              <w:t xml:space="preserve">un </w:t>
            </w:r>
            <w:r>
              <w:t xml:space="preserve">analogue de la </w:t>
            </w:r>
            <w:r>
              <w:t xml:space="preserve">GnRH </w:t>
            </w:r>
            <w:r>
              <w:t xml:space="preserve">(</w:t>
            </w:r>
            <w:r>
              <w:t xml:space="preserve">âge </w:t>
            </w:r>
            <w:r>
              <w:t xml:space="preserve">moyen </w:t>
            </w:r>
            <w:r>
              <w:t xml:space="preserve">[±SD] </w:t>
            </w:r>
            <w:r>
              <w:t xml:space="preserve">: </w:t>
            </w:r>
            <w:r>
              <w:t xml:space="preserve">14,75 </w:t>
            </w:r>
            <w:r>
              <w:t xml:space="preserve">[±1,92] </w:t>
            </w:r>
            <w:r>
              <w:t xml:space="preserve">ans), </w:t>
            </w:r>
            <w:r>
              <w:t xml:space="preserve">et</w:t>
            </w:r>
          </w:p>
        </w:tc>
      </w:tr>
    </w:tbl>
    <w:p w:rsidR="00432386" w:rsidRDefault="00432386">
      <w:pPr>
        <w:spacing w:line="252"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12083"/>
        </w:trPr>
        <w:tc>
          <w:tcPr>
            <w:tcW w:w="1980" w:type="dxa"/>
          </w:tcPr>
          <w:p w:rsidR="00432386" w:rsidRDefault="00432386">
            <w:pPr>
              <w:pStyle w:val="TableParagraph"/>
              <w:rPr>
                <w:rFonts w:ascii="Times New Roman"/>
              </w:rPr>
            </w:pPr>
          </w:p>
        </w:tc>
        <w:tc>
          <w:tcPr>
            <w:tcW w:w="7089" w:type="dxa"/>
          </w:tcPr>
          <w:p>
            <w:pPr>
              <w:pStyle w:val="TableParagraph"/>
              <w:numPr>
                <w:ilvl w:val="0"/>
                <w:numId w:val="165"/>
              </w:numPr>
              <w:tabs>
                <w:tab w:val="left" w:pos="828"/>
                <w:tab w:val="left" w:pos="829"/>
              </w:tabs>
              <w:spacing w:before="1" w:line="237" w:lineRule="auto"/>
              <w:ind w:end="95"/>
            </w:pPr>
            <w:r>
              <w:t xml:space="preserve">peu avant de </w:t>
            </w:r>
            <w:r>
              <w:t xml:space="preserve">commencer à prendre des </w:t>
            </w:r>
            <w:r>
              <w:t xml:space="preserve">hormones </w:t>
            </w:r>
            <w:r>
              <w:t xml:space="preserve">d'affirmation du genre (</w:t>
            </w:r>
            <w:r>
              <w:t xml:space="preserve">âge </w:t>
            </w:r>
            <w:r>
              <w:t xml:space="preserve">moyen </w:t>
            </w:r>
            <w:r>
              <w:t xml:space="preserve">[±SD] </w:t>
            </w:r>
            <w:r>
              <w:t xml:space="preserve">: 16,64 </w:t>
            </w:r>
            <w:r>
              <w:t xml:space="preserve">[±1,90] </w:t>
            </w:r>
            <w:r>
              <w:t xml:space="preserve">ans).</w:t>
            </w:r>
          </w:p>
          <w:p w:rsidR="00432386" w:rsidRDefault="00432386">
            <w:pPr>
              <w:pStyle w:val="TableParagraph"/>
              <w:spacing w:before="1"/>
              <w:rPr>
                <w:b/>
              </w:rPr>
            </w:pPr>
          </w:p>
          <w:p>
            <w:pPr>
              <w:pStyle w:val="TableParagraph"/>
              <w:ind w:start="107" w:end="1121"/>
            </w:pPr>
            <w:r>
              <w:t xml:space="preserve">Lors du suivi, les scores moyens (±SD) de la CBCL étaient statistiquement </w:t>
            </w:r>
            <w:r>
              <w:t xml:space="preserve">significativement </w:t>
            </w:r>
            <w:r>
              <w:t xml:space="preserve">plus bas </w:t>
            </w:r>
            <w:r>
              <w:t xml:space="preserve">(améliorés) </w:t>
            </w:r>
            <w:r>
              <w:t xml:space="preserve">par rapport à </w:t>
            </w:r>
            <w:r>
              <w:t xml:space="preserve">la </w:t>
            </w:r>
            <w:r>
              <w:t xml:space="preserve">ligne de base </w:t>
            </w:r>
            <w:r>
              <w:t xml:space="preserve">pour :</w:t>
            </w:r>
          </w:p>
          <w:p>
            <w:pPr>
              <w:pStyle w:val="TableParagraph"/>
              <w:numPr>
                <w:ilvl w:val="0"/>
                <w:numId w:val="165"/>
              </w:numPr>
              <w:tabs>
                <w:tab w:val="left" w:pos="828"/>
                <w:tab w:val="left" w:pos="829"/>
              </w:tabs>
              <w:spacing w:before="5" w:line="237" w:lineRule="auto"/>
              <w:ind w:end="569"/>
            </w:pPr>
            <w:r>
              <w:t xml:space="preserve">Score T total (n=54, 60,70 [±12,76] contre 54,46 [±11,23], </w:t>
            </w:r>
            <w:r>
              <w:t xml:space="preserve">p&lt;0,001).</w:t>
            </w:r>
          </w:p>
          <w:p>
            <w:pPr>
              <w:pStyle w:val="TableParagraph"/>
              <w:numPr>
                <w:ilvl w:val="0"/>
                <w:numId w:val="165"/>
              </w:numPr>
              <w:tabs>
                <w:tab w:val="left" w:pos="828"/>
                <w:tab w:val="left" w:pos="829"/>
              </w:tabs>
              <w:spacing w:before="4" w:line="237" w:lineRule="auto"/>
              <w:ind w:end="98"/>
            </w:pPr>
            <w:r>
              <w:rPr>
                <w:spacing w:val="-1"/>
              </w:rPr>
              <w:t xml:space="preserve">Score </w:t>
            </w:r>
            <w:r>
              <w:rPr>
                <w:spacing w:val="-1"/>
              </w:rPr>
              <w:t xml:space="preserve">T </w:t>
            </w:r>
            <w:r>
              <w:rPr>
                <w:spacing w:val="-1"/>
              </w:rPr>
              <w:t xml:space="preserve">d'</w:t>
            </w:r>
            <w:r>
              <w:rPr>
                <w:spacing w:val="-1"/>
              </w:rPr>
              <w:t xml:space="preserve">internalisation </w:t>
            </w:r>
            <w:r>
              <w:rPr>
                <w:spacing w:val="-1"/>
              </w:rPr>
              <w:t xml:space="preserve">(n=54, </w:t>
            </w:r>
            <w:r>
              <w:rPr>
                <w:spacing w:val="-1"/>
              </w:rPr>
              <w:t xml:space="preserve">61,00 </w:t>
            </w:r>
            <w:r>
              <w:rPr>
                <w:spacing w:val="-1"/>
              </w:rPr>
              <w:t xml:space="preserve">[±12,21] </w:t>
            </w:r>
            <w:r>
              <w:t xml:space="preserve">contre </w:t>
            </w:r>
            <w:r>
              <w:t xml:space="preserve">52,17 </w:t>
            </w:r>
            <w:r>
              <w:t xml:space="preserve">[±9,81], </w:t>
            </w:r>
            <w:r>
              <w:t xml:space="preserve">p&lt;0,001)</w:t>
            </w:r>
          </w:p>
          <w:p>
            <w:pPr>
              <w:pStyle w:val="TableParagraph"/>
              <w:numPr>
                <w:ilvl w:val="0"/>
                <w:numId w:val="165"/>
              </w:numPr>
              <w:tabs>
                <w:tab w:val="left" w:pos="828"/>
                <w:tab w:val="left" w:pos="829"/>
              </w:tabs>
              <w:spacing w:before="3" w:line="237" w:lineRule="auto"/>
              <w:ind w:end="96"/>
            </w:pPr>
            <w:r>
              <w:t xml:space="preserve">Externalisation du </w:t>
            </w:r>
            <w:r>
              <w:t xml:space="preserve">score </w:t>
            </w:r>
            <w:r>
              <w:t xml:space="preserve">T </w:t>
            </w:r>
            <w:r>
              <w:t xml:space="preserve">(n=54, </w:t>
            </w:r>
            <w:r>
              <w:t xml:space="preserve">58,04 </w:t>
            </w:r>
            <w:r>
              <w:t xml:space="preserve">[±12,99] </w:t>
            </w:r>
            <w:r>
              <w:t xml:space="preserve">contre </w:t>
            </w:r>
            <w:r>
              <w:t xml:space="preserve">53,81 </w:t>
            </w:r>
            <w:r>
              <w:t xml:space="preserve">[±11,86], </w:t>
            </w:r>
            <w:r>
              <w:t xml:space="preserve">p=0,001).</w:t>
            </w:r>
          </w:p>
          <w:p w:rsidR="00432386" w:rsidRDefault="00432386">
            <w:pPr>
              <w:pStyle w:val="TableParagraph"/>
              <w:spacing w:before="10"/>
              <w:rPr>
                <w:b/>
                <w:sz w:val="21"/>
              </w:rPr>
            </w:pPr>
          </w:p>
          <w:p>
            <w:pPr>
              <w:pStyle w:val="TableParagraph"/>
              <w:ind w:start="107"/>
            </w:pPr>
            <w:r>
              <w:t xml:space="preserve">Lors du </w:t>
            </w:r>
            <w:r>
              <w:t xml:space="preserve">suivi, </w:t>
            </w:r>
            <w:r>
              <w:t xml:space="preserve">les </w:t>
            </w:r>
            <w:r>
              <w:t xml:space="preserve">scores </w:t>
            </w:r>
            <w:r>
              <w:t xml:space="preserve">moyens </w:t>
            </w:r>
            <w:r>
              <w:t xml:space="preserve">(±SD) </w:t>
            </w:r>
            <w:r>
              <w:t xml:space="preserve">de l'</w:t>
            </w:r>
            <w:r>
              <w:t xml:space="preserve">YSR </w:t>
            </w:r>
            <w:r>
              <w:t xml:space="preserve">étaient </w:t>
            </w:r>
            <w:r>
              <w:t xml:space="preserve">statistiquement </w:t>
            </w:r>
            <w:r>
              <w:t xml:space="preserve">significativement </w:t>
            </w:r>
            <w:r>
              <w:t xml:space="preserve">plus bas (améliorés) </w:t>
            </w:r>
            <w:r>
              <w:t xml:space="preserve">par rapport à </w:t>
            </w:r>
            <w:r>
              <w:t xml:space="preserve">la </w:t>
            </w:r>
            <w:r>
              <w:t xml:space="preserve">ligne de base </w:t>
            </w:r>
            <w:r>
              <w:t xml:space="preserve">pour :</w:t>
            </w:r>
          </w:p>
          <w:p>
            <w:pPr>
              <w:pStyle w:val="TableParagraph"/>
              <w:numPr>
                <w:ilvl w:val="0"/>
                <w:numId w:val="165"/>
              </w:numPr>
              <w:tabs>
                <w:tab w:val="left" w:pos="828"/>
                <w:tab w:val="left" w:pos="829"/>
              </w:tabs>
              <w:spacing w:before="5" w:line="237" w:lineRule="auto"/>
              <w:ind w:end="97"/>
            </w:pPr>
            <w:r>
              <w:t xml:space="preserve">Score </w:t>
            </w:r>
            <w:r>
              <w:t xml:space="preserve">T </w:t>
            </w:r>
            <w:r>
              <w:t xml:space="preserve">total </w:t>
            </w:r>
            <w:r>
              <w:t xml:space="preserve">(n=54, </w:t>
            </w:r>
            <w:r>
              <w:t xml:space="preserve">55,46 </w:t>
            </w:r>
            <w:r>
              <w:t xml:space="preserve">[±11,56] </w:t>
            </w:r>
            <w:r>
              <w:t xml:space="preserve">contre </w:t>
            </w:r>
            <w:r>
              <w:t xml:space="preserve">50,00 </w:t>
            </w:r>
            <w:r>
              <w:t xml:space="preserve">[±10,56], </w:t>
            </w:r>
            <w:r>
              <w:t xml:space="preserve">p&lt;0,001)</w:t>
            </w:r>
          </w:p>
          <w:p>
            <w:pPr>
              <w:pStyle w:val="TableParagraph"/>
              <w:numPr>
                <w:ilvl w:val="0"/>
                <w:numId w:val="165"/>
              </w:numPr>
              <w:tabs>
                <w:tab w:val="left" w:pos="828"/>
                <w:tab w:val="left" w:pos="829"/>
              </w:tabs>
              <w:spacing w:before="3" w:line="237" w:lineRule="auto"/>
              <w:ind w:end="97"/>
            </w:pPr>
            <w:r>
              <w:t xml:space="preserve">Score </w:t>
            </w:r>
            <w:r>
              <w:t xml:space="preserve">T </w:t>
            </w:r>
            <w:r>
              <w:t xml:space="preserve">d'</w:t>
            </w:r>
            <w:r>
              <w:t xml:space="preserve">internalisation </w:t>
            </w:r>
            <w:r>
              <w:t xml:space="preserve">(n=54, </w:t>
            </w:r>
            <w:r>
              <w:t xml:space="preserve">56,04 </w:t>
            </w:r>
            <w:r>
              <w:t xml:space="preserve">[±12,49] </w:t>
            </w:r>
            <w:r>
              <w:t xml:space="preserve">contre </w:t>
            </w:r>
            <w:r>
              <w:t xml:space="preserve">49,78 </w:t>
            </w:r>
            <w:r>
              <w:t xml:space="preserve">[±11,63], </w:t>
            </w:r>
            <w:r>
              <w:t xml:space="preserve">p&lt;0,001)</w:t>
            </w:r>
          </w:p>
          <w:p>
            <w:pPr>
              <w:pStyle w:val="TableParagraph"/>
              <w:numPr>
                <w:ilvl w:val="0"/>
                <w:numId w:val="165"/>
              </w:numPr>
              <w:tabs>
                <w:tab w:val="left" w:pos="828"/>
                <w:tab w:val="left" w:pos="829"/>
              </w:tabs>
              <w:spacing w:before="4" w:line="237" w:lineRule="auto"/>
              <w:ind w:end="96"/>
            </w:pPr>
            <w:r>
              <w:t xml:space="preserve">Externalisation du </w:t>
            </w:r>
            <w:r>
              <w:t xml:space="preserve">score </w:t>
            </w:r>
            <w:r>
              <w:t xml:space="preserve">T </w:t>
            </w:r>
            <w:r>
              <w:t xml:space="preserve">(n=54, </w:t>
            </w:r>
            <w:r>
              <w:t xml:space="preserve">53,30 </w:t>
            </w:r>
            <w:r>
              <w:t xml:space="preserve">[±11,87] </w:t>
            </w:r>
            <w:r>
              <w:t xml:space="preserve">contre </w:t>
            </w:r>
            <w:r>
              <w:t xml:space="preserve">49,98 </w:t>
            </w:r>
            <w:r>
              <w:t xml:space="preserve">[±9,35], </w:t>
            </w:r>
            <w:r>
              <w:t xml:space="preserve">p=0,009).</w:t>
            </w:r>
          </w:p>
          <w:p w:rsidR="00432386" w:rsidRDefault="00432386">
            <w:pPr>
              <w:pStyle w:val="TableParagraph"/>
              <w:spacing w:before="1"/>
              <w:rPr>
                <w:b/>
              </w:rPr>
            </w:pPr>
          </w:p>
          <w:p>
            <w:pPr>
              <w:pStyle w:val="TableParagraph"/>
              <w:ind w:start="107" w:end="134"/>
            </w:pPr>
            <w:r>
              <w:t xml:space="preserve">La proportion d'adolescents ayant obtenu des scores dans la fourchette clinique a diminué </w:t>
            </w:r>
            <w:r>
              <w:t xml:space="preserve">entre le début et la fin de l'étude sur l'échelle des problèmes totaux de la CBCL (44,4 % </w:t>
            </w:r>
            <w:r>
              <w:t xml:space="preserve">contre 22,2 %, p=0,001) et sur l'échelle d'internalisation de l'YSR (29,6 % </w:t>
            </w:r>
            <w:r>
              <w:t xml:space="preserve">contre </w:t>
            </w:r>
            <w:r>
              <w:t xml:space="preserve">11,1 %, p=0,017) </w:t>
            </w:r>
            <w:r>
              <w:rPr>
                <w:b/>
              </w:rPr>
              <w:t xml:space="preserve">(TRÈS FAIBLE)</w:t>
            </w:r>
            <w:r>
              <w:t xml:space="preserve">.</w:t>
            </w:r>
          </w:p>
          <w:p w:rsidR="00432386" w:rsidRDefault="00432386">
            <w:pPr>
              <w:pStyle w:val="TableParagraph"/>
              <w:rPr>
                <w:b/>
              </w:rPr>
            </w:pPr>
          </w:p>
          <w:p>
            <w:pPr>
              <w:pStyle w:val="TableParagraph"/>
              <w:ind w:start="107" w:end="221"/>
            </w:pPr>
            <w:r>
              <w:t xml:space="preserve">Une étude (</w:t>
            </w:r>
            <w:hyperlink r:id="rId134">
              <w:r>
                <w:rPr>
                  <w:color w:val="0000FF"/>
                  <w:u w:val="single" w:color="0000FF"/>
                </w:rPr>
                <w:t xml:space="preserve">Staphorsius et al. 2015</w:t>
              </w:r>
            </w:hyperlink>
            <w:r>
              <w:t xml:space="preserve">) a évalué la CBCL dans une cohorte d'</w:t>
            </w:r>
            <w:r>
              <w:t xml:space="preserve">adolescents atteints de dysphorie de genre (transfemale : n=18, </w:t>
            </w:r>
            <w:r>
              <w:t xml:space="preserve">âge </w:t>
            </w:r>
            <w:r>
              <w:t xml:space="preserve">moyen [±SD] </w:t>
            </w:r>
            <w:r>
              <w:t xml:space="preserve">15,1 [±2,4] ans et transmale : n=22</w:t>
            </w:r>
            <w:r>
              <w:t xml:space="preserve">, âge moyen [±SD] 15.8 </w:t>
            </w:r>
            <w:r>
              <w:t xml:space="preserve">[±1,9] ans) recevant des analogues de la GnRH (transfemme, n=8 et </w:t>
            </w:r>
            <w:r>
              <w:t xml:space="preserve">transmale, n=12) ou ne recevant pas d'analogues de la GnRH (transfemme, </w:t>
            </w:r>
            <w:r>
              <w:t xml:space="preserve">n=10 </w:t>
            </w:r>
            <w:r>
              <w:t xml:space="preserve">et </w:t>
            </w:r>
            <w:r>
              <w:t xml:space="preserve">transmale, </w:t>
            </w:r>
            <w:r>
              <w:t xml:space="preserve">n=10).</w:t>
            </w:r>
          </w:p>
          <w:p w:rsidR="00432386" w:rsidRDefault="00432386">
            <w:pPr>
              <w:pStyle w:val="TableParagraph"/>
              <w:spacing w:before="1"/>
              <w:rPr>
                <w:b/>
              </w:rPr>
            </w:pPr>
          </w:p>
          <w:p>
            <w:pPr>
              <w:pStyle w:val="TableParagraph"/>
              <w:ind w:start="107" w:end="913"/>
            </w:pPr>
            <w:r>
              <w:t xml:space="preserve">Les scores moyens (±SD) de la CBCL pour chaque groupe étaient (</w:t>
            </w:r>
            <w:r>
              <w:t xml:space="preserve">analyse </w:t>
            </w:r>
            <w:r>
              <w:t xml:space="preserve">statistique </w:t>
            </w:r>
            <w:r>
              <w:t xml:space="preserve">non claire</w:t>
            </w:r>
            <w:r>
              <w:t xml:space="preserve">) :</w:t>
            </w:r>
          </w:p>
          <w:p>
            <w:pPr>
              <w:pStyle w:val="TableParagraph"/>
              <w:numPr>
                <w:ilvl w:val="0"/>
                <w:numId w:val="165"/>
              </w:numPr>
              <w:tabs>
                <w:tab w:val="left" w:pos="828"/>
                <w:tab w:val="left" w:pos="829"/>
              </w:tabs>
              <w:spacing w:line="269" w:lineRule="exact"/>
              <w:ind w:hanging="362"/>
            </w:pPr>
            <w:r>
              <w:t xml:space="preserve">transfemmes </w:t>
            </w:r>
            <w:r>
              <w:t xml:space="preserve">(total) </w:t>
            </w:r>
            <w:r>
              <w:t xml:space="preserve">57,8 </w:t>
            </w:r>
            <w:r>
              <w:t xml:space="preserve">[±9,2]</w:t>
            </w:r>
          </w:p>
          <w:p>
            <w:pPr>
              <w:pStyle w:val="TableParagraph"/>
              <w:numPr>
                <w:ilvl w:val="0"/>
                <w:numId w:val="165"/>
              </w:numPr>
              <w:tabs>
                <w:tab w:val="left" w:pos="828"/>
                <w:tab w:val="left" w:pos="829"/>
              </w:tabs>
              <w:spacing w:line="268" w:lineRule="exact"/>
              <w:ind w:hanging="362"/>
            </w:pPr>
            <w:r>
              <w:t xml:space="preserve">transfemmes </w:t>
            </w:r>
            <w:r>
              <w:t xml:space="preserve">recevant des </w:t>
            </w:r>
            <w:r>
              <w:t xml:space="preserve">analogues de la </w:t>
            </w:r>
            <w:r>
              <w:t xml:space="preserve">GnRH </w:t>
            </w:r>
            <w:r>
              <w:t xml:space="preserve">57,4 </w:t>
            </w:r>
            <w:r>
              <w:t xml:space="preserve">[±9,8]</w:t>
            </w:r>
          </w:p>
          <w:p>
            <w:pPr>
              <w:pStyle w:val="TableParagraph"/>
              <w:numPr>
                <w:ilvl w:val="0"/>
                <w:numId w:val="165"/>
              </w:numPr>
              <w:tabs>
                <w:tab w:val="left" w:pos="828"/>
                <w:tab w:val="left" w:pos="829"/>
              </w:tabs>
              <w:spacing w:line="268" w:lineRule="exact"/>
              <w:ind w:hanging="362"/>
            </w:pPr>
            <w:r>
              <w:t xml:space="preserve">transfemmes </w:t>
            </w:r>
            <w:r>
              <w:t xml:space="preserve">ne </w:t>
            </w:r>
            <w:r>
              <w:t xml:space="preserve">recevant </w:t>
            </w:r>
            <w:r>
              <w:t xml:space="preserve">pas d'</w:t>
            </w:r>
            <w:r>
              <w:t xml:space="preserve">analogues de la </w:t>
            </w:r>
            <w:r>
              <w:t xml:space="preserve">GnRH </w:t>
            </w:r>
            <w:r>
              <w:t xml:space="preserve">58,2 </w:t>
            </w:r>
            <w:r>
              <w:t xml:space="preserve">[±9,3]</w:t>
            </w:r>
          </w:p>
          <w:p>
            <w:pPr>
              <w:pStyle w:val="TableParagraph"/>
              <w:numPr>
                <w:ilvl w:val="0"/>
                <w:numId w:val="165"/>
              </w:numPr>
              <w:tabs>
                <w:tab w:val="left" w:pos="828"/>
                <w:tab w:val="left" w:pos="829"/>
              </w:tabs>
              <w:spacing w:line="268" w:lineRule="exact"/>
              <w:ind w:hanging="362"/>
            </w:pPr>
            <w:r>
              <w:t xml:space="preserve">transmales </w:t>
            </w:r>
            <w:r>
              <w:t xml:space="preserve">(total) </w:t>
            </w:r>
            <w:r>
              <w:t xml:space="preserve">60,4 </w:t>
            </w:r>
            <w:r>
              <w:t xml:space="preserve">[±10,2]</w:t>
            </w:r>
          </w:p>
          <w:p>
            <w:pPr>
              <w:pStyle w:val="TableParagraph"/>
              <w:numPr>
                <w:ilvl w:val="0"/>
                <w:numId w:val="165"/>
              </w:numPr>
              <w:tabs>
                <w:tab w:val="left" w:pos="828"/>
                <w:tab w:val="left" w:pos="829"/>
              </w:tabs>
              <w:spacing w:line="268" w:lineRule="exact"/>
              <w:ind w:hanging="362"/>
            </w:pPr>
            <w:r>
              <w:t xml:space="preserve">transmales </w:t>
            </w:r>
            <w:r>
              <w:t xml:space="preserve">recevant des </w:t>
            </w:r>
            <w:r>
              <w:t xml:space="preserve">analogues de la </w:t>
            </w:r>
            <w:r>
              <w:t xml:space="preserve">GnRH </w:t>
            </w:r>
            <w:r>
              <w:t xml:space="preserve">57,5 </w:t>
            </w:r>
            <w:r>
              <w:t xml:space="preserve">[±9,4]</w:t>
            </w:r>
          </w:p>
          <w:p>
            <w:pPr>
              <w:pStyle w:val="TableParagraph"/>
              <w:numPr>
                <w:ilvl w:val="0"/>
                <w:numId w:val="165"/>
              </w:numPr>
              <w:tabs>
                <w:tab w:val="left" w:pos="828"/>
                <w:tab w:val="left" w:pos="829"/>
              </w:tabs>
              <w:spacing w:before="2" w:line="237" w:lineRule="auto"/>
              <w:ind w:end="158"/>
            </w:pPr>
            <w:r>
              <w:t xml:space="preserve">transmales ne recevant pas d'analogues de la GnRH 63,9 [±10,5] </w:t>
            </w:r>
            <w:r>
              <w:rPr>
                <w:b/>
              </w:rPr>
              <w:t xml:space="preserve">(TRÈS </w:t>
            </w:r>
            <w:r>
              <w:rPr>
                <w:b/>
              </w:rPr>
              <w:t xml:space="preserve">FAIBLE)</w:t>
            </w:r>
            <w:r>
              <w:t xml:space="preserve">.</w:t>
            </w:r>
          </w:p>
          <w:p w:rsidR="00432386" w:rsidRDefault="00432386">
            <w:pPr>
              <w:pStyle w:val="TableParagraph"/>
              <w:rPr>
                <w:b/>
              </w:rPr>
            </w:pPr>
          </w:p>
          <w:p>
            <w:pPr>
              <w:pStyle w:val="TableParagraph"/>
              <w:ind w:start="107"/>
              <w:rPr>
                <w:b/>
              </w:rPr>
            </w:pPr>
            <w:r>
              <w:rPr>
                <w:b/>
              </w:rPr>
              <w:t xml:space="preserve">Ces études fournissent des preuves à très faible degré de certitude que pendant le </w:t>
            </w:r>
            <w:r>
              <w:rPr>
                <w:b/>
              </w:rPr>
              <w:t xml:space="preserve">traitement par les analogues de la GnRH, le fonctionnement psychosocial peut s</w:t>
            </w:r>
            <w:r>
              <w:rPr>
                <w:b/>
              </w:rPr>
              <w:t xml:space="preserve">'améliorer, </w:t>
            </w:r>
            <w:r>
              <w:rPr>
                <w:b/>
              </w:rPr>
              <w:t xml:space="preserve">la </w:t>
            </w:r>
            <w:r>
              <w:rPr>
                <w:b/>
              </w:rPr>
              <w:t xml:space="preserve">proportion d</w:t>
            </w:r>
            <w:r>
              <w:rPr>
                <w:b/>
              </w:rPr>
              <w:t xml:space="preserve">'</w:t>
            </w:r>
            <w:r>
              <w:rPr>
                <w:b/>
              </w:rPr>
              <w:t xml:space="preserve">adolescents </w:t>
            </w:r>
            <w:r>
              <w:rPr>
                <w:b/>
              </w:rPr>
              <w:t xml:space="preserve">se situant dans </w:t>
            </w:r>
            <w:r>
              <w:rPr>
                <w:b/>
              </w:rPr>
              <w:t xml:space="preserve">la </w:t>
            </w:r>
            <w:r>
              <w:rPr>
                <w:b/>
              </w:rPr>
              <w:t xml:space="preserve">fourchette </w:t>
            </w:r>
            <w:r>
              <w:rPr>
                <w:b/>
              </w:rPr>
              <w:t xml:space="preserve">clinique.</w:t>
            </w:r>
          </w:p>
          <w:p>
            <w:pPr>
              <w:pStyle w:val="TableParagraph"/>
              <w:spacing w:line="232" w:lineRule="exact"/>
              <w:ind w:start="107"/>
              <w:rPr>
                <w:b/>
              </w:rPr>
            </w:pPr>
            <w:r>
              <w:rPr>
                <w:b/>
              </w:rPr>
              <w:t xml:space="preserve">pour </w:t>
            </w:r>
            <w:r>
              <w:rPr>
                <w:b/>
              </w:rPr>
              <w:t xml:space="preserve">certains </w:t>
            </w:r>
            <w:r>
              <w:rPr>
                <w:b/>
              </w:rPr>
              <w:t xml:space="preserve">scores </w:t>
            </w:r>
            <w:r>
              <w:rPr>
                <w:b/>
              </w:rPr>
              <w:t xml:space="preserve">CBCL </w:t>
            </w:r>
            <w:r>
              <w:rPr>
                <w:b/>
              </w:rPr>
              <w:t xml:space="preserve">et </w:t>
            </w:r>
            <w:r>
              <w:rPr>
                <w:b/>
              </w:rPr>
              <w:t xml:space="preserve">YSR </w:t>
            </w:r>
            <w:r>
              <w:rPr>
                <w:b/>
              </w:rPr>
              <w:t xml:space="preserve">diminuant </w:t>
            </w:r>
            <w:r>
              <w:rPr>
                <w:b/>
              </w:rPr>
              <w:t xml:space="preserve">avec le </w:t>
            </w:r>
            <w:r>
              <w:rPr>
                <w:b/>
              </w:rPr>
              <w:t xml:space="preserve">temps.</w:t>
            </w:r>
          </w:p>
        </w:tc>
      </w:tr>
      <w:tr w:rsidR="00432386">
        <w:trPr>
          <w:trHeight w:val="1770"/>
        </w:trPr>
        <w:tc>
          <w:tcPr>
            <w:tcW w:w="1980" w:type="dxa"/>
          </w:tcPr>
          <w:p>
            <w:pPr>
              <w:pStyle w:val="TableParagraph"/>
              <w:ind w:start="107" w:end="180"/>
              <w:rPr>
                <w:b/>
              </w:rPr>
            </w:pPr>
            <w:r>
              <w:rPr>
                <w:b/>
              </w:rPr>
              <w:t xml:space="preserve">Engagement </w:t>
            </w:r>
            <w:r>
              <w:rPr>
                <w:b/>
              </w:rPr>
              <w:t xml:space="preserve">avec les </w:t>
            </w:r>
            <w:r>
              <w:rPr>
                <w:b/>
              </w:rPr>
              <w:t xml:space="preserve">services de soins de </w:t>
            </w:r>
            <w:r>
              <w:rPr>
                <w:b/>
              </w:rPr>
              <w:t xml:space="preserve">santé</w:t>
            </w:r>
          </w:p>
          <w:p w:rsidR="00432386" w:rsidRDefault="00432386">
            <w:pPr>
              <w:pStyle w:val="TableParagraph"/>
              <w:rPr>
                <w:b/>
              </w:rPr>
            </w:pPr>
          </w:p>
          <w:p>
            <w:pPr>
              <w:pStyle w:val="TableParagraph"/>
              <w:ind w:start="107" w:end="326"/>
              <w:rPr>
                <w:b/>
              </w:rPr>
            </w:pPr>
            <w:r>
              <w:rPr>
                <w:b/>
              </w:rPr>
              <w:t xml:space="preserve">Certitude de la </w:t>
            </w:r>
            <w:r>
              <w:rPr>
                <w:b/>
              </w:rPr>
              <w:t xml:space="preserve">preuve : </w:t>
            </w:r>
            <w:r>
              <w:rPr>
                <w:b/>
              </w:rPr>
              <w:t xml:space="preserve">très</w:t>
            </w:r>
          </w:p>
          <w:p>
            <w:pPr>
              <w:pStyle w:val="TableParagraph"/>
              <w:spacing w:before="1" w:line="232" w:lineRule="exact"/>
              <w:ind w:start="107"/>
              <w:rPr>
                <w:b/>
              </w:rPr>
            </w:pPr>
            <w:r>
              <w:rPr>
                <w:b/>
              </w:rPr>
              <w:t xml:space="preserve">faible</w:t>
            </w:r>
          </w:p>
        </w:tc>
        <w:tc>
          <w:tcPr>
            <w:tcW w:w="7089" w:type="dxa"/>
          </w:tcPr>
          <w:p>
            <w:pPr>
              <w:pStyle w:val="TableParagraph"/>
              <w:ind w:start="107" w:end="96"/>
              <w:jc w:val="both"/>
            </w:pPr>
            <w:r>
              <w:t xml:space="preserve">Il s'agit d'un résultat important car </w:t>
            </w:r>
            <w:r>
              <w:t xml:space="preserve">l'</w:t>
            </w:r>
            <w:r>
              <w:t xml:space="preserve">engagement des patients dans les </w:t>
            </w:r>
            <w:r>
              <w:t xml:space="preserve">services de soins de </w:t>
            </w:r>
            <w:r>
              <w:t xml:space="preserve">santé aura un </w:t>
            </w:r>
            <w:r>
              <w:t xml:space="preserve">impact </w:t>
            </w:r>
            <w:r>
              <w:t xml:space="preserve">sur </w:t>
            </w:r>
            <w:r>
              <w:t xml:space="preserve">leurs </w:t>
            </w:r>
            <w:r>
              <w:t xml:space="preserve">résultats </w:t>
            </w:r>
            <w:r>
              <w:t xml:space="preserve">cliniques</w:t>
            </w:r>
            <w:r>
              <w:t xml:space="preserve">.</w:t>
            </w:r>
          </w:p>
          <w:p w:rsidR="00432386" w:rsidRDefault="00432386">
            <w:pPr>
              <w:pStyle w:val="TableParagraph"/>
              <w:spacing w:before="1"/>
              <w:rPr>
                <w:b/>
              </w:rPr>
            </w:pPr>
          </w:p>
          <w:p>
            <w:pPr>
              <w:pStyle w:val="TableParagraph"/>
              <w:ind w:start="107" w:end="94"/>
              <w:jc w:val="both"/>
            </w:pPr>
            <w:r>
              <w:t xml:space="preserve">Deux </w:t>
            </w:r>
            <w:r>
              <w:t xml:space="preserve">études de </w:t>
            </w:r>
            <w:r>
              <w:t xml:space="preserve">cohorte </w:t>
            </w:r>
            <w:r>
              <w:t xml:space="preserve">observationnelles </w:t>
            </w:r>
            <w:r>
              <w:t xml:space="preserve">non contrôlées </w:t>
            </w:r>
            <w:r>
              <w:t xml:space="preserve">ont fourni des </w:t>
            </w:r>
            <w:r>
              <w:t xml:space="preserve">preuves </w:t>
            </w:r>
            <w:r>
              <w:t xml:space="preserve">relatives à la perte de suivi, qui pourrait être un marqueur de l'engagement dans </w:t>
            </w:r>
            <w:r>
              <w:t xml:space="preserve">les </w:t>
            </w:r>
            <w:r>
              <w:t xml:space="preserve">services de </w:t>
            </w:r>
            <w:r>
              <w:t xml:space="preserve">soins de </w:t>
            </w:r>
            <w:r>
              <w:t xml:space="preserve">santé </w:t>
            </w:r>
            <w:r>
              <w:t xml:space="preserve">(</w:t>
            </w:r>
            <w:hyperlink r:id="rId135">
              <w:r>
                <w:rPr>
                  <w:color w:val="0000FF"/>
                  <w:u w:val="single" w:color="0000FF"/>
                </w:rPr>
                <w:t xml:space="preserve">Brik</w:t>
              </w:r>
              <w:r>
                <w:rPr>
                  <w:color w:val="0000FF"/>
                  <w:u w:val="single" w:color="0000FF"/>
                </w:rPr>
                <w:t xml:space="preserve">et</w:t>
              </w:r>
              <w:r>
                <w:rPr>
                  <w:color w:val="0000FF"/>
                  <w:u w:val="single" w:color="0000FF"/>
                </w:rPr>
                <w:t xml:space="preserve">al.</w:t>
              </w:r>
              <w:r>
                <w:rPr>
                  <w:color w:val="0000FF"/>
                  <w:u w:val="single" w:color="0000FF"/>
                </w:rPr>
                <w:t xml:space="preserve">2018 </w:t>
              </w:r>
            </w:hyperlink>
            <w:r>
              <w:t xml:space="preserve">et </w:t>
            </w:r>
            <w:hyperlink r:id="rId136">
              <w:r>
                <w:rPr>
                  <w:color w:val="0000FF"/>
                  <w:u w:val="single" w:color="0000FF"/>
                </w:rPr>
                <w:t xml:space="preserve">Costa et</w:t>
              </w:r>
              <w:r>
                <w:rPr>
                  <w:color w:val="0000FF"/>
                  <w:u w:val="single" w:color="0000FF"/>
                </w:rPr>
                <w:t xml:space="preserve">al.</w:t>
              </w:r>
              <w:r>
                <w:rPr>
                  <w:color w:val="0000FF"/>
                  <w:u w:val="single" w:color="0000FF"/>
                </w:rPr>
                <w:t xml:space="preserve">2015</w:t>
              </w:r>
            </w:hyperlink>
            <w:r>
              <w:t xml:space="preserve">).</w:t>
            </w:r>
          </w:p>
        </w:tc>
      </w:tr>
    </w:tbl>
    <w:p w:rsidR="00432386" w:rsidRDefault="00BE015C">
      <w:pPr>
        <w:rPr>
          <w:sz w:val="2"/>
          <w:szCs w:val="2"/>
        </w:rPr>
      </w:pPr>
      <w:r>
        <w:pict>
          <v:rect id="docshape3" style="position:absolute;margin-left:398.7pt;margin-top:743.75pt;width:3.1pt;height:.85pt;z-index:-23843840;mso-position-horizontal-relative:page;mso-position-vertical-relative:page" o:spid="_x0000_s1046" fillcolor="black" stroked="f">
            <w10:wrap anchorx="page" anchory="page"/>
          </v:rect>
        </w:pict>
      </w:r>
    </w:p>
    <w:p w:rsidR="00432386" w:rsidRDefault="00432386">
      <w:pPr>
        <w:rPr>
          <w:sz w:val="2"/>
          <w:szCs w:val="2"/>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4553"/>
        </w:trPr>
        <w:tc>
          <w:tcPr>
            <w:tcW w:w="1980" w:type="dxa"/>
          </w:tcPr>
          <w:p w:rsidR="00432386" w:rsidRDefault="00432386">
            <w:pPr>
              <w:pStyle w:val="TableParagraph"/>
              <w:rPr>
                <w:rFonts w:ascii="Times New Roman"/>
              </w:rPr>
            </w:pPr>
          </w:p>
        </w:tc>
        <w:tc>
          <w:tcPr>
            <w:tcW w:w="7089" w:type="dxa"/>
          </w:tcPr>
          <w:p>
            <w:pPr>
              <w:pStyle w:val="TableParagraph"/>
              <w:ind w:start="107" w:end="96"/>
              <w:jc w:val="both"/>
            </w:pPr>
            <w:r>
              <w:t xml:space="preserve">Dans une étude rétrospective (</w:t>
            </w:r>
            <w:hyperlink r:id="rId137">
              <w:r>
                <w:rPr>
                  <w:color w:val="0000FF"/>
                  <w:u w:val="single" w:color="0000FF"/>
                </w:rPr>
                <w:t xml:space="preserve">Brik et al.</w:t>
              </w:r>
              <w:r>
                <w:rPr>
                  <w:color w:val="0000FF"/>
                  <w:u w:val="single" w:color="0000FF"/>
                </w:rPr>
                <w:t xml:space="preserve">2018</w:t>
              </w:r>
            </w:hyperlink>
            <w:r>
              <w:t xml:space="preserve">), 9 adolescents (9/214, </w:t>
            </w:r>
            <w:r>
              <w:t xml:space="preserve">4,2 %) qui avaient cessé de se présenter aux rendez-vous ont été exclus de </w:t>
            </w:r>
            <w:r>
              <w:t xml:space="preserve">l</w:t>
            </w:r>
            <w:r>
              <w:t xml:space="preserve">'</w:t>
            </w:r>
            <w:r>
              <w:t xml:space="preserve">étude </w:t>
            </w:r>
            <w:r>
              <w:t xml:space="preserve">entre </w:t>
            </w:r>
            <w:r>
              <w:t xml:space="preserve">novembre </w:t>
            </w:r>
            <w:r>
              <w:t xml:space="preserve">2010 </w:t>
            </w:r>
            <w:r>
              <w:t xml:space="preserve">et </w:t>
            </w:r>
            <w:r>
              <w:t xml:space="preserve">juillet 2019 </w:t>
            </w:r>
            <w:r>
              <w:rPr>
                <w:b/>
              </w:rPr>
              <w:t xml:space="preserve">(TRÈS </w:t>
            </w:r>
            <w:r>
              <w:rPr>
                <w:b/>
              </w:rPr>
              <w:t xml:space="preserve">FAIBLE)</w:t>
            </w:r>
            <w:r>
              <w:t xml:space="preserve">.</w:t>
            </w:r>
          </w:p>
          <w:p w:rsidR="00432386" w:rsidRDefault="00432386">
            <w:pPr>
              <w:pStyle w:val="TableParagraph"/>
              <w:spacing w:before="10"/>
              <w:rPr>
                <w:b/>
                <w:sz w:val="21"/>
              </w:rPr>
            </w:pPr>
          </w:p>
          <w:p>
            <w:pPr>
              <w:pStyle w:val="TableParagraph"/>
              <w:ind w:start="107" w:end="92"/>
              <w:jc w:val="both"/>
            </w:pPr>
            <w:r>
              <w:t xml:space="preserve">Une </w:t>
            </w:r>
            <w:r>
              <w:t xml:space="preserve">étude </w:t>
            </w:r>
            <w:r>
              <w:t xml:space="preserve">prospective </w:t>
            </w:r>
            <w:r>
              <w:t xml:space="preserve">(</w:t>
            </w:r>
            <w:hyperlink r:id="rId138">
              <w:r>
                <w:rPr>
                  <w:color w:val="0000FF"/>
                  <w:u w:val="single" w:color="0000FF"/>
                </w:rPr>
                <w:t xml:space="preserve">Costa</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présentait des </w:t>
            </w:r>
            <w:r>
              <w:t xml:space="preserve">preuves </w:t>
            </w:r>
            <w:r>
              <w:t xml:space="preserve">d'</w:t>
            </w:r>
            <w:r>
              <w:t xml:space="preserve">une </w:t>
            </w:r>
            <w:r>
              <w:t xml:space="preserve">importante </w:t>
            </w:r>
            <w:r>
              <w:t xml:space="preserve">perte de </w:t>
            </w:r>
            <w:r>
              <w:t xml:space="preserve">suivi au fil du temps. La taille de l'échantillon au départ (T0) et à 6 mois </w:t>
            </w:r>
            <w:r>
              <w:t xml:space="preserve">(T1) </w:t>
            </w:r>
            <w:r>
              <w:t xml:space="preserve">était de </w:t>
            </w:r>
            <w:r>
              <w:t xml:space="preserve">201, </w:t>
            </w:r>
            <w:r>
              <w:t xml:space="preserve">qui a </w:t>
            </w:r>
            <w:r>
              <w:t xml:space="preserve">chuté </w:t>
            </w:r>
            <w:r>
              <w:t xml:space="preserve">de </w:t>
            </w:r>
            <w:r>
              <w:t xml:space="preserve">39,8% </w:t>
            </w:r>
            <w:r>
              <w:t xml:space="preserve">à </w:t>
            </w:r>
            <w:r>
              <w:t xml:space="preserve">121 </w:t>
            </w:r>
            <w:r>
              <w:t xml:space="preserve">après </w:t>
            </w:r>
            <w:r>
              <w:t xml:space="preserve">12 </w:t>
            </w:r>
            <w:r>
              <w:t xml:space="preserve">mois </w:t>
            </w:r>
            <w:r>
              <w:t xml:space="preserve">(T2) </w:t>
            </w:r>
            <w:r>
              <w:t xml:space="preserve">et </w:t>
            </w:r>
            <w:r>
              <w:t xml:space="preserve">de 64,7% à 71 lors du suivi de 18 mois (T3). Aucune explication des </w:t>
            </w:r>
            <w:r>
              <w:t xml:space="preserve">raisons </w:t>
            </w:r>
            <w:r>
              <w:t xml:space="preserve">de la </w:t>
            </w:r>
            <w:r>
              <w:t xml:space="preserve">perte </w:t>
            </w:r>
            <w:r>
              <w:t xml:space="preserve">de </w:t>
            </w:r>
            <w:r>
              <w:t xml:space="preserve">suivi </w:t>
            </w:r>
            <w:r>
              <w:t xml:space="preserve">n'est </w:t>
            </w:r>
            <w:r>
              <w:t xml:space="preserve">rapportée </w:t>
            </w:r>
            <w:r>
              <w:rPr>
                <w:b/>
              </w:rPr>
              <w:t xml:space="preserve">(TRÈS </w:t>
            </w:r>
            <w:r>
              <w:rPr>
                <w:b/>
              </w:rPr>
              <w:t xml:space="preserve">FAIBLE)</w:t>
            </w:r>
            <w:r>
              <w:t xml:space="preserve">.</w:t>
            </w:r>
          </w:p>
          <w:p w:rsidR="00432386" w:rsidRDefault="00432386">
            <w:pPr>
              <w:pStyle w:val="TableParagraph"/>
              <w:spacing w:before="1"/>
              <w:rPr>
                <w:b/>
              </w:rPr>
            </w:pPr>
          </w:p>
          <w:p>
            <w:pPr>
              <w:pStyle w:val="TableParagraph"/>
              <w:ind w:start="107" w:end="95"/>
              <w:jc w:val="both"/>
              <w:rPr>
                <w:sz w:val="20"/>
              </w:rPr>
            </w:pPr>
            <w:r>
              <w:t xml:space="preserve">En raison de leur conception, aucune perte de suivi n'a été signalée dans les </w:t>
            </w:r>
            <w:r>
              <w:rPr>
                <w:spacing w:val="-1"/>
              </w:rPr>
              <w:t xml:space="preserve">3 </w:t>
            </w:r>
            <w:r>
              <w:t xml:space="preserve">autres </w:t>
            </w:r>
            <w:r>
              <w:rPr>
                <w:spacing w:val="-1"/>
              </w:rPr>
              <w:t xml:space="preserve">études d'</w:t>
            </w:r>
            <w:r>
              <w:rPr>
                <w:spacing w:val="-1"/>
              </w:rPr>
              <w:t xml:space="preserve">efficacité </w:t>
            </w:r>
            <w:r>
              <w:rPr>
                <w:spacing w:val="-1"/>
              </w:rPr>
              <w:t xml:space="preserve">(</w:t>
            </w:r>
            <w:hyperlink r:id="rId139">
              <w:r>
                <w:rPr>
                  <w:color w:val="0000FF"/>
                  <w:spacing w:val="-1"/>
                  <w:u w:val="single" w:color="0000FF"/>
                </w:rPr>
                <w:t xml:space="preserve">de</w:t>
              </w:r>
              <w:r>
                <w:rPr>
                  <w:color w:val="0000FF"/>
                  <w:spacing w:val="-1"/>
                  <w:u w:val="single" w:color="0000FF"/>
                </w:rPr>
                <w:t xml:space="preserve">Vries</w:t>
              </w:r>
              <w:r>
                <w:rPr>
                  <w:color w:val="0000FF"/>
                  <w:spacing w:val="-1"/>
                  <w:u w:val="single" w:color="0000FF"/>
                </w:rPr>
                <w:t xml:space="preserve">et</w:t>
              </w:r>
              <w:r>
                <w:rPr>
                  <w:color w:val="0000FF"/>
                  <w:u w:val="single" w:color="0000FF"/>
                </w:rPr>
                <w:t xml:space="preserve">al</w:t>
              </w:r>
              <w:r>
                <w:rPr>
                  <w:color w:val="0000FF"/>
                  <w:u w:val="single" w:color="0000FF"/>
                </w:rPr>
                <w:t xml:space="preserve">2011 </w:t>
              </w:r>
            </w:hyperlink>
            <w:r>
              <w:t xml:space="preserve">; </w:t>
            </w:r>
            <w:hyperlink r:id="rId140">
              <w:r>
                <w:rPr>
                  <w:color w:val="0000FF"/>
                  <w:u w:val="single" w:color="0000FF"/>
                </w:rPr>
                <w:t xml:space="preserve">Khatchadourian</w:t>
              </w:r>
              <w:r>
                <w:rPr>
                  <w:color w:val="0000FF"/>
                  <w:u w:val="single" w:color="0000FF"/>
                </w:rPr>
                <w:t xml:space="preserve">et</w:t>
              </w:r>
              <w:r>
                <w:rPr>
                  <w:color w:val="0000FF"/>
                  <w:u w:val="single" w:color="0000FF"/>
                </w:rPr>
                <w:t xml:space="preserve">al.</w:t>
              </w:r>
              <w:r>
                <w:rPr>
                  <w:color w:val="0000FF"/>
                  <w:u w:val="single" w:color="0000FF"/>
                </w:rPr>
                <w:t xml:space="preserve">2014 </w:t>
              </w:r>
            </w:hyperlink>
            <w:r>
              <w:t xml:space="preserve">; </w:t>
            </w:r>
            <w:hyperlink r:id="rId141">
              <w:r>
                <w:rPr>
                  <w:color w:val="0000FF"/>
                  <w:u w:val="single" w:color="0000FF"/>
                </w:rPr>
                <w:t xml:space="preserve">Staphorsius</w:t>
              </w:r>
              <w:r>
                <w:rPr>
                  <w:color w:val="0000FF"/>
                  <w:u w:val="single" w:color="0000FF"/>
                </w:rPr>
                <w:t xml:space="preserve">et</w:t>
              </w:r>
              <w:r>
                <w:rPr>
                  <w:color w:val="0000FF"/>
                  <w:u w:val="single" w:color="0000FF"/>
                </w:rPr>
                <w:t xml:space="preserve">al.</w:t>
              </w:r>
              <w:r>
                <w:rPr>
                  <w:color w:val="0000FF"/>
                  <w:u w:val="single" w:color="0000FF"/>
                </w:rPr>
                <w:t xml:space="preserve">2015</w:t>
              </w:r>
            </w:hyperlink>
            <w:r>
              <w:rPr>
                <w:sz w:val="20"/>
              </w:rPr>
              <w:t xml:space="preserve">).</w:t>
            </w:r>
          </w:p>
          <w:p w:rsidR="00432386" w:rsidRDefault="00432386">
            <w:pPr>
              <w:pStyle w:val="TableParagraph"/>
              <w:spacing w:before="1"/>
              <w:rPr>
                <w:b/>
              </w:rPr>
            </w:pPr>
          </w:p>
          <w:p>
            <w:pPr>
              <w:pStyle w:val="TableParagraph"/>
              <w:ind w:start="107" w:end="93"/>
              <w:jc w:val="both"/>
              <w:rPr>
                <w:b/>
              </w:rPr>
            </w:pPr>
            <w:r>
              <w:rPr>
                <w:b/>
              </w:rPr>
              <w:t xml:space="preserve">Ces études fournissent des preuves de très faible niveau de certitude concernant la perte de </w:t>
            </w:r>
            <w:r>
              <w:rPr>
                <w:b/>
                <w:spacing w:val="-1"/>
              </w:rPr>
              <w:t xml:space="preserve">suivi</w:t>
            </w:r>
            <w:r>
              <w:rPr>
                <w:b/>
                <w:spacing w:val="-1"/>
              </w:rPr>
              <w:t xml:space="preserve">, </w:t>
            </w:r>
            <w:r>
              <w:rPr>
                <w:b/>
              </w:rPr>
              <w:t xml:space="preserve">qui </w:t>
            </w:r>
            <w:r>
              <w:rPr>
                <w:b/>
              </w:rPr>
              <w:t xml:space="preserve">pourrait </w:t>
            </w:r>
            <w:r>
              <w:rPr>
                <w:b/>
              </w:rPr>
              <w:t xml:space="preserve">être </w:t>
            </w:r>
            <w:r>
              <w:rPr>
                <w:b/>
              </w:rPr>
              <w:t xml:space="preserve">un </w:t>
            </w:r>
            <w:r>
              <w:rPr>
                <w:b/>
              </w:rPr>
              <w:t xml:space="preserve">marqueur </w:t>
            </w:r>
            <w:r>
              <w:rPr>
                <w:b/>
              </w:rPr>
              <w:t xml:space="preserve">de l'</w:t>
            </w:r>
            <w:r>
              <w:rPr>
                <w:b/>
              </w:rPr>
              <w:t xml:space="preserve">engagement dans </w:t>
            </w:r>
            <w:r>
              <w:rPr>
                <w:b/>
              </w:rPr>
              <w:t xml:space="preserve">les </w:t>
            </w:r>
            <w:r>
              <w:rPr>
                <w:b/>
              </w:rPr>
              <w:t xml:space="preserve">services de soins de santé, </w:t>
            </w:r>
            <w:r>
              <w:rPr>
                <w:b/>
              </w:rPr>
              <w:t xml:space="preserve">pendant le </w:t>
            </w:r>
            <w:r>
              <w:rPr>
                <w:b/>
              </w:rPr>
              <w:t xml:space="preserve">traitement </w:t>
            </w:r>
            <w:r>
              <w:rPr>
                <w:b/>
              </w:rPr>
              <w:t xml:space="preserve">par les </w:t>
            </w:r>
            <w:r>
              <w:rPr>
                <w:b/>
              </w:rPr>
              <w:t xml:space="preserve">analogues de la </w:t>
            </w:r>
            <w:r>
              <w:rPr>
                <w:b/>
              </w:rPr>
              <w:t xml:space="preserve">GnRH</w:t>
            </w:r>
            <w:r>
              <w:rPr>
                <w:b/>
              </w:rPr>
              <w:t xml:space="preserve">. En raison </w:t>
            </w:r>
            <w:r>
              <w:rPr>
                <w:b/>
              </w:rPr>
              <w:t xml:space="preserve">de </w:t>
            </w:r>
            <w:r>
              <w:rPr>
                <w:b/>
              </w:rPr>
              <w:t xml:space="preserve">la </w:t>
            </w:r>
            <w:r>
              <w:rPr>
                <w:b/>
              </w:rPr>
              <w:t xml:space="preserve">grande</w:t>
            </w:r>
          </w:p>
          <w:p>
            <w:pPr>
              <w:pStyle w:val="TableParagraph"/>
              <w:spacing w:line="232" w:lineRule="exact"/>
              <w:ind w:start="107"/>
              <w:jc w:val="both"/>
              <w:rPr>
                <w:b/>
              </w:rPr>
            </w:pPr>
            <w:r>
              <w:rPr>
                <w:b/>
              </w:rPr>
              <w:t xml:space="preserve">En raison de la </w:t>
            </w:r>
            <w:r>
              <w:rPr>
                <w:b/>
              </w:rPr>
              <w:t xml:space="preserve">variation </w:t>
            </w:r>
            <w:r>
              <w:rPr>
                <w:b/>
              </w:rPr>
              <w:t xml:space="preserve">des </w:t>
            </w:r>
            <w:r>
              <w:rPr>
                <w:b/>
              </w:rPr>
              <w:t xml:space="preserve">taux </w:t>
            </w:r>
            <w:r>
              <w:rPr>
                <w:b/>
              </w:rPr>
              <w:t xml:space="preserve">entre les </w:t>
            </w:r>
            <w:r>
              <w:rPr>
                <w:b/>
              </w:rPr>
              <w:t xml:space="preserve">études</w:t>
            </w:r>
            <w:r>
              <w:rPr>
                <w:b/>
              </w:rPr>
              <w:t xml:space="preserve">, aucune </w:t>
            </w:r>
            <w:r>
              <w:rPr>
                <w:b/>
              </w:rPr>
              <w:t xml:space="preserve">conclusion </w:t>
            </w:r>
            <w:r>
              <w:rPr>
                <w:b/>
              </w:rPr>
              <w:t xml:space="preserve">n'a </w:t>
            </w:r>
            <w:r>
              <w:rPr>
                <w:b/>
              </w:rPr>
              <w:t xml:space="preserve">pu </w:t>
            </w:r>
            <w:r>
              <w:rPr>
                <w:b/>
              </w:rPr>
              <w:t xml:space="preserve">être </w:t>
            </w:r>
            <w:r>
              <w:rPr>
                <w:b/>
              </w:rPr>
              <w:t xml:space="preserve">tirée.</w:t>
            </w:r>
          </w:p>
        </w:tc>
      </w:tr>
      <w:tr w:rsidR="00432386">
        <w:trPr>
          <w:trHeight w:val="1012"/>
        </w:trPr>
        <w:tc>
          <w:tcPr>
            <w:tcW w:w="1980" w:type="dxa"/>
          </w:tcPr>
          <w:p>
            <w:pPr>
              <w:pStyle w:val="TableParagraph"/>
              <w:ind w:start="107" w:end="94"/>
              <w:rPr>
                <w:b/>
              </w:rPr>
            </w:pPr>
            <w:r>
              <w:rPr>
                <w:b/>
              </w:rPr>
              <w:t xml:space="preserve">Impact sur l'étendue </w:t>
            </w:r>
            <w:r>
              <w:rPr>
                <w:b/>
              </w:rPr>
              <w:t xml:space="preserve">et la </w:t>
            </w:r>
            <w:r>
              <w:rPr>
                <w:b/>
              </w:rPr>
              <w:t xml:space="preserve">satisfaction de </w:t>
            </w:r>
            <w:r>
              <w:rPr>
                <w:b/>
              </w:rPr>
              <w:t xml:space="preserve">la</w:t>
            </w:r>
          </w:p>
          <w:p>
            <w:pPr>
              <w:pStyle w:val="TableParagraph"/>
              <w:spacing w:before="1" w:line="232" w:lineRule="exact"/>
              <w:ind w:start="107"/>
              <w:rPr>
                <w:b/>
              </w:rPr>
            </w:pPr>
            <w:r>
              <w:rPr>
                <w:b/>
              </w:rPr>
              <w:t xml:space="preserve">chirurgie</w:t>
            </w:r>
          </w:p>
        </w:tc>
        <w:tc>
          <w:tcPr>
            <w:tcW w:w="7089" w:type="dxa"/>
          </w:tcPr>
          <w:p>
            <w:pPr>
              <w:pStyle w:val="TableParagraph"/>
              <w:ind w:start="107"/>
            </w:pPr>
            <w:r>
              <w:t xml:space="preserve">Il s'agit d</w:t>
            </w:r>
            <w:r>
              <w:t xml:space="preserve">'</w:t>
            </w:r>
            <w:r>
              <w:t xml:space="preserve">un </w:t>
            </w:r>
            <w:r>
              <w:t xml:space="preserve">résultat </w:t>
            </w:r>
            <w:r>
              <w:t xml:space="preserve">important </w:t>
            </w:r>
            <w:r>
              <w:t xml:space="preserve">car </w:t>
            </w:r>
            <w:r>
              <w:t xml:space="preserve">certains </w:t>
            </w:r>
            <w:r>
              <w:t xml:space="preserve">enfants </w:t>
            </w:r>
            <w:r>
              <w:t xml:space="preserve">et </w:t>
            </w:r>
            <w:r>
              <w:t xml:space="preserve">adolescents </w:t>
            </w:r>
            <w:r>
              <w:t xml:space="preserve">souffrant de </w:t>
            </w:r>
            <w:r>
              <w:t xml:space="preserve">dysphorie de </w:t>
            </w:r>
            <w:r>
              <w:t xml:space="preserve">genre </w:t>
            </w:r>
            <w:r>
              <w:t xml:space="preserve">peuvent </w:t>
            </w:r>
            <w:r>
              <w:t xml:space="preserve">passer à </w:t>
            </w:r>
            <w:r>
              <w:t xml:space="preserve">la </w:t>
            </w:r>
            <w:r>
              <w:t xml:space="preserve">chirurgie de transition.</w:t>
            </w:r>
          </w:p>
          <w:p w:rsidR="00432386" w:rsidRDefault="00432386">
            <w:pPr>
              <w:pStyle w:val="TableParagraph"/>
              <w:spacing w:before="1"/>
              <w:rPr>
                <w:b/>
              </w:rPr>
            </w:pPr>
          </w:p>
          <w:p>
            <w:pPr>
              <w:pStyle w:val="TableParagraph"/>
              <w:spacing w:line="232" w:lineRule="exact"/>
              <w:ind w:start="107"/>
            </w:pPr>
            <w:r>
              <w:t xml:space="preserve">Aucune </w:t>
            </w:r>
            <w:r>
              <w:t xml:space="preserve">preuve </w:t>
            </w:r>
            <w:r>
              <w:t xml:space="preserve">n'a </w:t>
            </w:r>
            <w:r>
              <w:t xml:space="preserve">été </w:t>
            </w:r>
            <w:r>
              <w:t xml:space="preserve">identifiée.</w:t>
            </w:r>
          </w:p>
        </w:tc>
      </w:tr>
      <w:tr w:rsidR="00432386">
        <w:trPr>
          <w:trHeight w:val="8364"/>
        </w:trPr>
        <w:tc>
          <w:tcPr>
            <w:tcW w:w="1980" w:type="dxa"/>
          </w:tcPr>
          <w:p>
            <w:pPr>
              <w:pStyle w:val="TableParagraph"/>
              <w:ind w:start="107" w:end="840"/>
              <w:rPr>
                <w:b/>
              </w:rPr>
            </w:pPr>
            <w:r>
              <w:rPr>
                <w:b/>
              </w:rPr>
              <w:t xml:space="preserve">Arrêt du </w:t>
            </w:r>
            <w:r>
              <w:rPr>
                <w:b/>
              </w:rPr>
              <w:t xml:space="preserve">traitement</w:t>
            </w:r>
          </w:p>
          <w:p w:rsidR="00432386" w:rsidRDefault="00432386">
            <w:pPr>
              <w:pStyle w:val="TableParagraph"/>
              <w:spacing w:before="10"/>
              <w:rPr>
                <w:b/>
                <w:sz w:val="21"/>
              </w:rPr>
            </w:pPr>
          </w:p>
          <w:p>
            <w:pPr>
              <w:pStyle w:val="TableParagraph"/>
              <w:spacing w:before="1"/>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ind w:start="107" w:end="98"/>
              <w:jc w:val="both"/>
            </w:pPr>
            <w:r>
              <w:t xml:space="preserve">Il s'agit d'un résultat important car il existe une incertitude quant à la </w:t>
            </w:r>
            <w:r>
              <w:t xml:space="preserve">sécurité et aux effets indésirables à court et à long terme des analogues de la GnRH chez les </w:t>
            </w:r>
            <w:r>
              <w:t xml:space="preserve">enfants </w:t>
            </w:r>
            <w:r>
              <w:t xml:space="preserve">et les </w:t>
            </w:r>
            <w:r>
              <w:t xml:space="preserve">adolescents </w:t>
            </w:r>
            <w:r>
              <w:t xml:space="preserve">atteints de </w:t>
            </w:r>
            <w:r>
              <w:t xml:space="preserve">dysphorie de genre.</w:t>
            </w:r>
          </w:p>
          <w:p w:rsidR="00432386" w:rsidRDefault="00432386">
            <w:pPr>
              <w:pStyle w:val="TableParagraph"/>
              <w:rPr>
                <w:b/>
              </w:rPr>
            </w:pPr>
          </w:p>
          <w:p>
            <w:pPr>
              <w:pStyle w:val="TableParagraph"/>
              <w:ind w:start="107" w:end="95"/>
              <w:jc w:val="both"/>
            </w:pPr>
            <w:r>
              <w:t xml:space="preserve">Deux études de cohorte observationnelles, rétrospectives et non contrôlées ont fourni des </w:t>
            </w:r>
            <w:r>
              <w:t xml:space="preserve">preuves </w:t>
            </w:r>
            <w:r>
              <w:t xml:space="preserve">relatives </w:t>
            </w:r>
            <w:r>
              <w:t xml:space="preserve">à l'</w:t>
            </w:r>
            <w:r>
              <w:t xml:space="preserve">arrêt des </w:t>
            </w:r>
            <w:r>
              <w:t xml:space="preserve">analogues de la </w:t>
            </w:r>
            <w:r>
              <w:t xml:space="preserve">GnRH</w:t>
            </w:r>
            <w:r>
              <w:t xml:space="preserve">. L'</w:t>
            </w:r>
            <w:r>
              <w:t xml:space="preserve">une de ces </w:t>
            </w:r>
            <w:r>
              <w:t xml:space="preserve">études </w:t>
            </w:r>
            <w:r>
              <w:t xml:space="preserve">présentait un </w:t>
            </w:r>
            <w:r>
              <w:t xml:space="preserve">rapport </w:t>
            </w:r>
            <w:r>
              <w:t xml:space="preserve">complet </w:t>
            </w:r>
            <w:r>
              <w:t xml:space="preserve">de </w:t>
            </w:r>
            <w:r>
              <w:t xml:space="preserve">la </w:t>
            </w:r>
            <w:r>
              <w:t xml:space="preserve">cohorte </w:t>
            </w:r>
            <w:r>
              <w:t xml:space="preserve">(</w:t>
            </w:r>
            <w:hyperlink r:id="rId142">
              <w:r>
                <w:rPr>
                  <w:color w:val="0000FF"/>
                  <w:u w:val="single" w:color="0000FF"/>
                </w:rPr>
                <w:t xml:space="preserve">Brik</w:t>
              </w:r>
              <w:r>
                <w:rPr>
                  <w:color w:val="0000FF"/>
                  <w:u w:val="single" w:color="0000FF"/>
                </w:rPr>
                <w:t xml:space="preserve">et</w:t>
              </w:r>
              <w:r>
                <w:rPr>
                  <w:color w:val="0000FF"/>
                  <w:u w:val="single" w:color="0000FF"/>
                </w:rPr>
                <w:t xml:space="preserve">al.</w:t>
              </w:r>
              <w:r>
                <w:rPr>
                  <w:color w:val="0000FF"/>
                  <w:u w:val="single" w:color="0000FF"/>
                </w:rPr>
                <w:t xml:space="preserve">2018</w:t>
              </w:r>
            </w:hyperlink>
            <w:r>
              <w:t xml:space="preserve">), l'</w:t>
            </w:r>
            <w:r>
              <w:t xml:space="preserve">autre </w:t>
            </w:r>
            <w:r>
              <w:t xml:space="preserve">(</w:t>
            </w:r>
            <w:hyperlink r:id="rId143">
              <w:r>
                <w:rPr>
                  <w:color w:val="0000FF"/>
                  <w:u w:val="single" w:color="0000FF"/>
                </w:rPr>
                <w:t xml:space="preserve">Khatchadourian</w:t>
              </w:r>
              <w:r>
                <w:rPr>
                  <w:color w:val="0000FF"/>
                  <w:u w:val="single" w:color="0000FF"/>
                </w:rPr>
                <w:t xml:space="preserve">et al. 2014</w:t>
              </w:r>
            </w:hyperlink>
            <w:r>
              <w:t xml:space="preserve">) présentait un rapport incomplet de sa cohorte, </w:t>
            </w:r>
            <w:r>
              <w:t xml:space="preserve">en particulier </w:t>
            </w:r>
            <w:r>
              <w:t xml:space="preserve">pour les </w:t>
            </w:r>
            <w:r>
              <w:t xml:space="preserve">femmes transfemmes </w:t>
            </w:r>
            <w:r>
              <w:t xml:space="preserve">où les </w:t>
            </w:r>
            <w:r>
              <w:t xml:space="preserve">résultats </w:t>
            </w:r>
            <w:r>
              <w:t xml:space="preserve">de </w:t>
            </w:r>
            <w:r>
              <w:t xml:space="preserve">seulement </w:t>
            </w:r>
            <w:r>
              <w:t xml:space="preserve">4/11 </w:t>
            </w:r>
            <w:r>
              <w:t xml:space="preserve">ont été </w:t>
            </w:r>
            <w:r>
              <w:t xml:space="preserve">rapportés.</w:t>
            </w:r>
          </w:p>
          <w:p w:rsidR="00432386" w:rsidRDefault="00432386">
            <w:pPr>
              <w:pStyle w:val="TableParagraph"/>
              <w:spacing w:before="1"/>
              <w:rPr>
                <w:b/>
              </w:rPr>
            </w:pPr>
          </w:p>
          <w:p>
            <w:pPr>
              <w:pStyle w:val="TableParagraph"/>
              <w:ind w:start="107" w:end="94"/>
              <w:jc w:val="both"/>
            </w:pPr>
            <w:r>
              <w:t xml:space="preserve">Brik et al. 2018 ont rapporté de manière narrative les raisons de l'arrêt des </w:t>
            </w:r>
            <w:r>
              <w:t xml:space="preserve">analogues de la </w:t>
            </w:r>
            <w:r>
              <w:t xml:space="preserve">GnRH </w:t>
            </w:r>
            <w:r>
              <w:t xml:space="preserve">dans une cohorte de 143 adolescents (38 transfemmes et 105 </w:t>
            </w:r>
            <w:r>
              <w:t xml:space="preserve">transmales). L'âge médian au début du traitement par analogues de la GnRH était de 15,0 </w:t>
            </w:r>
            <w:r>
              <w:t xml:space="preserve">ans (fourchette, 11,1-18,6 ans) chez les transfemmes et de 16,1 ans (fourchette, </w:t>
            </w:r>
            <w:r>
              <w:t xml:space="preserve">10,1-17,9 ans) chez les transmales. Parmi ces adolescents, </w:t>
            </w:r>
            <w:r>
              <w:t xml:space="preserve">125 (87%, 36 </w:t>
            </w:r>
            <w:r>
              <w:t xml:space="preserve">transfemmes, 89 transmales) ont ensuite commencé à prendre des </w:t>
            </w:r>
            <w:r>
              <w:t xml:space="preserve">hormones </w:t>
            </w:r>
            <w:r>
              <w:t xml:space="preserve">d'affirmation du genre </w:t>
            </w:r>
            <w:r>
              <w:t xml:space="preserve">après </w:t>
            </w:r>
            <w:r>
              <w:t xml:space="preserve">1,0 </w:t>
            </w:r>
            <w:r>
              <w:t xml:space="preserve">(0,5-3,8) </w:t>
            </w:r>
            <w:r>
              <w:t xml:space="preserve">et </w:t>
            </w:r>
            <w:r>
              <w:t xml:space="preserve">0,8 </w:t>
            </w:r>
            <w:r>
              <w:t xml:space="preserve">(0,3-3,7) </w:t>
            </w:r>
            <w:r>
              <w:t xml:space="preserve">ans </w:t>
            </w:r>
            <w:r>
              <w:t xml:space="preserve">d'</w:t>
            </w:r>
            <w:r>
              <w:t xml:space="preserve">analogues de la </w:t>
            </w:r>
            <w:r>
              <w:t xml:space="preserve">GnRH</w:t>
            </w:r>
            <w:r>
              <w:t xml:space="preserve">. </w:t>
            </w:r>
            <w:r>
              <w:t xml:space="preserve">Au </w:t>
            </w:r>
            <w:r>
              <w:t xml:space="preserve">moment </w:t>
            </w:r>
            <w:r>
              <w:t xml:space="preserve">de la </w:t>
            </w:r>
            <w:r>
              <w:t xml:space="preserve">collecte des </w:t>
            </w:r>
            <w:r>
              <w:t xml:space="preserve">données</w:t>
            </w:r>
            <w:r>
              <w:t xml:space="preserve">, </w:t>
            </w:r>
            <w:r>
              <w:t xml:space="preserve">la </w:t>
            </w:r>
            <w:r>
              <w:t xml:space="preserve">durée </w:t>
            </w:r>
            <w:r>
              <w:t xml:space="preserve">médiane </w:t>
            </w:r>
            <w:r>
              <w:t xml:space="preserve">d'</w:t>
            </w:r>
            <w:r>
              <w:t xml:space="preserve">utilisation des </w:t>
            </w:r>
            <w:r>
              <w:t xml:space="preserve">analogues de la </w:t>
            </w:r>
            <w:r>
              <w:t xml:space="preserve">GnRH </w:t>
            </w:r>
            <w:r>
              <w:t xml:space="preserve">était de </w:t>
            </w:r>
            <w:r>
              <w:t xml:space="preserve">2,1 </w:t>
            </w:r>
            <w:r>
              <w:t xml:space="preserve">ans </w:t>
            </w:r>
            <w:r>
              <w:t xml:space="preserve">(1,6-2,8).</w:t>
            </w:r>
          </w:p>
          <w:p w:rsidR="00432386" w:rsidRDefault="00432386">
            <w:pPr>
              <w:pStyle w:val="TableParagraph"/>
              <w:rPr>
                <w:b/>
              </w:rPr>
            </w:pPr>
          </w:p>
          <w:p>
            <w:pPr>
              <w:pStyle w:val="TableParagraph"/>
              <w:ind w:start="107" w:end="95"/>
              <w:jc w:val="both"/>
            </w:pPr>
            <w:r>
              <w:t xml:space="preserve">Au cours de </w:t>
            </w:r>
            <w:r>
              <w:t xml:space="preserve">la </w:t>
            </w:r>
            <w:r>
              <w:t xml:space="preserve">période de </w:t>
            </w:r>
            <w:r>
              <w:t xml:space="preserve">suivi, </w:t>
            </w:r>
            <w:r>
              <w:t xml:space="preserve">6,3 % </w:t>
            </w:r>
            <w:r>
              <w:t xml:space="preserve">(9/143) </w:t>
            </w:r>
            <w:r>
              <w:t xml:space="preserve">des </w:t>
            </w:r>
            <w:r>
              <w:t xml:space="preserve">adolescents </w:t>
            </w:r>
            <w:r>
              <w:t xml:space="preserve">avaient </w:t>
            </w:r>
            <w:r>
              <w:t xml:space="preserve">arrêté les analogues de la GnRH après une durée médiane de 0,8 an </w:t>
            </w:r>
            <w:r>
              <w:t xml:space="preserve">(plage de </w:t>
            </w:r>
            <w:r>
              <w:t xml:space="preserve">0,1 </w:t>
            </w:r>
            <w:r>
              <w:t xml:space="preserve">à </w:t>
            </w:r>
            <w:r>
              <w:t xml:space="preserve">3,0). </w:t>
            </w:r>
            <w:r>
              <w:t xml:space="preserve">Les </w:t>
            </w:r>
            <w:r>
              <w:t xml:space="preserve">pourcentages </w:t>
            </w:r>
            <w:r>
              <w:t xml:space="preserve">et les </w:t>
            </w:r>
            <w:r>
              <w:t xml:space="preserve">raisons </w:t>
            </w:r>
            <w:r>
              <w:t xml:space="preserve">de l'</w:t>
            </w:r>
            <w:r>
              <w:t xml:space="preserve">arrêt </w:t>
            </w:r>
            <w:r>
              <w:t xml:space="preserve">étaient les suivants :</w:t>
            </w:r>
          </w:p>
          <w:p>
            <w:pPr>
              <w:pStyle w:val="TableParagraph"/>
              <w:numPr>
                <w:ilvl w:val="0"/>
                <w:numId w:val="164"/>
              </w:numPr>
              <w:tabs>
                <w:tab w:val="left" w:pos="829"/>
              </w:tabs>
              <w:spacing w:before="4" w:line="237" w:lineRule="auto"/>
              <w:ind w:end="96"/>
              <w:jc w:val="both"/>
            </w:pPr>
            <w:r>
              <w:t xml:space="preserve">2,8% (4/143) ont arrêté les analogues de la GnRH alors qu'ils souhaitaient </w:t>
            </w:r>
            <w:r>
              <w:t xml:space="preserve">poursuivre les </w:t>
            </w:r>
            <w:r>
              <w:t xml:space="preserve">traitements </w:t>
            </w:r>
            <w:r>
              <w:t xml:space="preserve">endocriniens </w:t>
            </w:r>
            <w:r>
              <w:t xml:space="preserve">pour la </w:t>
            </w:r>
            <w:r>
              <w:t xml:space="preserve">dysphorie de </w:t>
            </w:r>
            <w:r>
              <w:t xml:space="preserve">genre </w:t>
            </w:r>
            <w:r>
              <w:t xml:space="preserve">:</w:t>
            </w:r>
          </w:p>
          <w:p>
            <w:pPr>
              <w:pStyle w:val="TableParagraph"/>
              <w:numPr>
                <w:ilvl w:val="1"/>
                <w:numId w:val="164"/>
              </w:numPr>
              <w:tabs>
                <w:tab w:val="left" w:pos="1549"/>
              </w:tabs>
              <w:spacing w:before="7" w:line="230" w:lineRule="auto"/>
              <w:ind w:end="96"/>
              <w:jc w:val="both"/>
            </w:pPr>
            <w:r>
              <w:t xml:space="preserve">1 transmale arrêté en raison d'une augmentation des problèmes d'humeur, des </w:t>
            </w:r>
            <w:r>
              <w:t xml:space="preserve">pensées </w:t>
            </w:r>
            <w:r>
              <w:t xml:space="preserve">suicidaires </w:t>
            </w:r>
            <w:r>
              <w:t xml:space="preserve">et de la </w:t>
            </w:r>
            <w:r>
              <w:t xml:space="preserve">confusion </w:t>
            </w:r>
            <w:r>
              <w:t xml:space="preserve">attribuée </w:t>
            </w:r>
            <w:r>
              <w:t xml:space="preserve">aux </w:t>
            </w:r>
            <w:r>
              <w:t xml:space="preserve">analogues de la </w:t>
            </w:r>
            <w:r>
              <w:t xml:space="preserve">GnRH.</w:t>
            </w:r>
          </w:p>
          <w:p>
            <w:pPr>
              <w:pStyle w:val="TableParagraph"/>
              <w:numPr>
                <w:ilvl w:val="1"/>
                <w:numId w:val="164"/>
              </w:numPr>
              <w:tabs>
                <w:tab w:val="left" w:pos="1549"/>
              </w:tabs>
              <w:spacing w:before="16" w:line="223" w:lineRule="auto"/>
              <w:ind w:end="95"/>
              <w:jc w:val="both"/>
            </w:pPr>
            <w:r>
              <w:t xml:space="preserve">1 transmale a souffert de bouffées de chaleur, d'une augmentation des migraines, de la peur </w:t>
            </w:r>
            <w:r>
              <w:t xml:space="preserve">des </w:t>
            </w:r>
            <w:r>
              <w:t xml:space="preserve">injections, du </w:t>
            </w:r>
            <w:r>
              <w:t xml:space="preserve">stress </w:t>
            </w:r>
            <w:r>
              <w:t xml:space="preserve">à l'</w:t>
            </w:r>
            <w:r>
              <w:t xml:space="preserve">école </w:t>
            </w:r>
            <w:r>
              <w:t xml:space="preserve">et d'un </w:t>
            </w:r>
            <w:r>
              <w:t xml:space="preserve">problème médical </w:t>
            </w:r>
            <w:r>
              <w:t xml:space="preserve">non lié.</w:t>
            </w:r>
          </w:p>
          <w:p>
            <w:pPr>
              <w:pStyle w:val="TableParagraph"/>
              <w:spacing w:line="252" w:lineRule="exact"/>
              <w:ind w:start="1548" w:end="95"/>
              <w:jc w:val="both"/>
            </w:pPr>
            <w:r>
              <w:t xml:space="preserve">et </w:t>
            </w:r>
            <w:r>
              <w:t xml:space="preserve">a </w:t>
            </w:r>
            <w:r>
              <w:t xml:space="preserve">arrêté </w:t>
            </w:r>
            <w:r>
              <w:t xml:space="preserve">temporairement </w:t>
            </w:r>
            <w:r>
              <w:t xml:space="preserve">le </w:t>
            </w:r>
            <w:r>
              <w:t xml:space="preserve">traitement </w:t>
            </w:r>
            <w:r>
              <w:t xml:space="preserve">(après </w:t>
            </w:r>
            <w:r>
              <w:t xml:space="preserve">4 </w:t>
            </w:r>
            <w:r>
              <w:t xml:space="preserve">mois) </w:t>
            </w:r>
            <w:r>
              <w:t xml:space="preserve">pour le </w:t>
            </w:r>
            <w:r>
              <w:t xml:space="preserve">reprendre </w:t>
            </w:r>
            <w:r>
              <w:t xml:space="preserve">5 </w:t>
            </w:r>
            <w:r>
              <w:t xml:space="preserve">mois </w:t>
            </w:r>
            <w:r>
              <w:t xml:space="preserve">plus tard.</w:t>
            </w:r>
          </w:p>
        </w:tc>
      </w:tr>
    </w:tbl>
    <w:p w:rsidR="00432386" w:rsidRDefault="00432386">
      <w:pPr>
        <w:spacing w:line="252" w:lineRule="exact"/>
        <w:jc w:val="both"/>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1765"/>
        </w:trPr>
        <w:tc>
          <w:tcPr>
            <w:tcW w:w="1980" w:type="dxa"/>
            <w:vMerge w:val="restart"/>
          </w:tcPr>
          <w:p w:rsidR="00432386" w:rsidRDefault="00432386">
            <w:pPr>
              <w:pStyle w:val="TableParagraph"/>
              <w:rPr>
                <w:rFonts w:ascii="Times New Roman"/>
              </w:rPr>
            </w:pPr>
          </w:p>
        </w:tc>
        <w:tc>
          <w:tcPr>
            <w:tcW w:w="7089" w:type="dxa"/>
            <w:tcBorders>
              <w:bottom w:val="nil"/>
            </w:tcBorders>
          </w:tcPr>
          <w:p>
            <w:pPr>
              <w:pStyle w:val="TableParagraph"/>
              <w:numPr>
                <w:ilvl w:val="0"/>
                <w:numId w:val="163"/>
              </w:numPr>
              <w:tabs>
                <w:tab w:val="left" w:pos="1549"/>
              </w:tabs>
              <w:spacing w:before="5" w:line="232" w:lineRule="auto"/>
              <w:ind w:end="98"/>
              <w:jc w:val="both"/>
            </w:pPr>
            <w:r>
              <w:t xml:space="preserve">1 transmale a eu des sautes d'humeur 4 mois après avoir commencé les </w:t>
            </w:r>
            <w:r>
              <w:t xml:space="preserve">analogues de la </w:t>
            </w:r>
            <w:r>
              <w:t xml:space="preserve">GnRH</w:t>
            </w:r>
            <w:r>
              <w:t xml:space="preserve">. </w:t>
            </w:r>
            <w:r>
              <w:t xml:space="preserve">Après </w:t>
            </w:r>
            <w:r>
              <w:t xml:space="preserve">2,2 </w:t>
            </w:r>
            <w:r>
              <w:t xml:space="preserve">ans, elle </w:t>
            </w:r>
            <w:r>
              <w:t xml:space="preserve">a eu des </w:t>
            </w:r>
            <w:r>
              <w:t xml:space="preserve">nausées sévères </w:t>
            </w:r>
            <w:r>
              <w:t xml:space="preserve">inexpliquées </w:t>
            </w:r>
            <w:r>
              <w:t xml:space="preserve">et une </w:t>
            </w:r>
            <w:r>
              <w:t xml:space="preserve">perte de poids</w:t>
            </w:r>
            <w:r>
              <w:t xml:space="preserve"> rapide</w:t>
            </w:r>
            <w:r>
              <w:t xml:space="preserve">. Elle a arrêté les </w:t>
            </w:r>
            <w:r>
              <w:t xml:space="preserve">analogues de la </w:t>
            </w:r>
            <w:r>
              <w:t xml:space="preserve">GnRH </w:t>
            </w:r>
            <w:r>
              <w:t xml:space="preserve">après </w:t>
            </w:r>
            <w:r>
              <w:t xml:space="preserve">2,4 </w:t>
            </w:r>
            <w:r>
              <w:t xml:space="preserve">ans.</w:t>
            </w:r>
          </w:p>
          <w:p>
            <w:pPr>
              <w:pStyle w:val="TableParagraph"/>
              <w:numPr>
                <w:ilvl w:val="0"/>
                <w:numId w:val="163"/>
              </w:numPr>
              <w:tabs>
                <w:tab w:val="left" w:pos="1549"/>
              </w:tabs>
              <w:spacing w:before="17" w:line="223" w:lineRule="auto"/>
              <w:ind w:end="95"/>
              <w:jc w:val="both"/>
            </w:pPr>
            <w:r>
              <w:t xml:space="preserve">1 </w:t>
            </w:r>
            <w:r>
              <w:t xml:space="preserve">transmale </w:t>
            </w:r>
            <w:r>
              <w:t xml:space="preserve">a arrêté les </w:t>
            </w:r>
            <w:r>
              <w:t xml:space="preserve">analogues de la </w:t>
            </w:r>
            <w:r>
              <w:t xml:space="preserve">GnRH en </w:t>
            </w:r>
            <w:r>
              <w:t xml:space="preserve">raison de l</w:t>
            </w:r>
            <w:r>
              <w:t xml:space="preserve">'</w:t>
            </w:r>
            <w:r>
              <w:t xml:space="preserve">impossibilité </w:t>
            </w:r>
            <w:r>
              <w:t xml:space="preserve">de </w:t>
            </w:r>
            <w:r>
              <w:t xml:space="preserve">collecter </w:t>
            </w:r>
            <w:r>
              <w:t xml:space="preserve">régulièrement </w:t>
            </w:r>
            <w:r>
              <w:t xml:space="preserve">les </w:t>
            </w:r>
            <w:r>
              <w:t xml:space="preserve">médicaments </w:t>
            </w:r>
            <w:r>
              <w:t xml:space="preserve">et de </w:t>
            </w:r>
            <w:r>
              <w:t xml:space="preserve">se rendre à l'hôpital.</w:t>
            </w:r>
          </w:p>
          <w:p>
            <w:pPr>
              <w:pStyle w:val="TableParagraph"/>
              <w:spacing w:before="4" w:line="228" w:lineRule="exact"/>
              <w:ind w:start="1548"/>
              <w:jc w:val="both"/>
            </w:pPr>
            <w:r>
              <w:t xml:space="preserve">rendez-vous pour </w:t>
            </w:r>
            <w:r>
              <w:t xml:space="preserve">les </w:t>
            </w:r>
            <w:r>
              <w:t xml:space="preserve">injections.</w:t>
            </w:r>
          </w:p>
        </w:tc>
      </w:tr>
      <w:tr w:rsidR="00432386">
        <w:trPr>
          <w:trHeight w:val="9452"/>
        </w:trPr>
        <w:tc>
          <w:tcPr>
            <w:tcW w:w="1980" w:type="dxa"/>
            <w:vMerge/>
            <w:tcBorders>
              <w:top w:val="nil"/>
            </w:tcBorders>
          </w:tcPr>
          <w:p w:rsidR="00432386" w:rsidRDefault="00432386">
            <w:pPr>
              <w:rPr>
                <w:sz w:val="2"/>
                <w:szCs w:val="2"/>
              </w:rPr>
            </w:pPr>
          </w:p>
        </w:tc>
        <w:tc>
          <w:tcPr>
            <w:tcW w:w="7089" w:type="dxa"/>
            <w:tcBorders>
              <w:top w:val="nil"/>
            </w:tcBorders>
          </w:tcPr>
          <w:p>
            <w:pPr>
              <w:pStyle w:val="TableParagraph"/>
              <w:numPr>
                <w:ilvl w:val="0"/>
                <w:numId w:val="162"/>
              </w:numPr>
              <w:tabs>
                <w:tab w:val="left" w:pos="829"/>
              </w:tabs>
              <w:ind w:end="94"/>
              <w:jc w:val="both"/>
            </w:pPr>
            <w:r>
              <w:t xml:space="preserve">3,5% </w:t>
            </w:r>
            <w:r>
              <w:t xml:space="preserve">(5/143) ont </w:t>
            </w:r>
            <w:r>
              <w:t xml:space="preserve">arrêté le </w:t>
            </w:r>
            <w:r>
              <w:t xml:space="preserve">traitement </w:t>
            </w:r>
            <w:r>
              <w:t xml:space="preserve">parce qu'</w:t>
            </w:r>
            <w:r>
              <w:t xml:space="preserve">ils </w:t>
            </w:r>
            <w:r>
              <w:t xml:space="preserve">ne </w:t>
            </w:r>
            <w:r>
              <w:t xml:space="preserve">souhaitaient </w:t>
            </w:r>
            <w:r>
              <w:t xml:space="preserve">plus </w:t>
            </w:r>
            <w:r>
              <w:t xml:space="preserve">recevoir </w:t>
            </w:r>
            <w:r>
              <w:t xml:space="preserve">de </w:t>
            </w:r>
            <w:r>
              <w:t xml:space="preserve">traitement d'</w:t>
            </w:r>
            <w:r>
              <w:t xml:space="preserve">affirmation du genre </w:t>
            </w:r>
            <w:r>
              <w:t xml:space="preserve">pour </w:t>
            </w:r>
            <w:r>
              <w:t xml:space="preserve">diverses </w:t>
            </w:r>
            <w:r>
              <w:t xml:space="preserve">raisons </w:t>
            </w:r>
            <w:r>
              <w:rPr>
                <w:b/>
              </w:rPr>
              <w:t xml:space="preserve">(TRÈS </w:t>
            </w:r>
            <w:r>
              <w:rPr>
                <w:b/>
              </w:rPr>
              <w:t xml:space="preserve">FAIBLE)</w:t>
            </w:r>
            <w:r>
              <w:t xml:space="preserve">.</w:t>
            </w:r>
          </w:p>
          <w:p w:rsidR="00432386" w:rsidRDefault="00432386">
            <w:pPr>
              <w:pStyle w:val="TableParagraph"/>
              <w:spacing w:before="5"/>
              <w:rPr>
                <w:b/>
                <w:sz w:val="19"/>
              </w:rPr>
            </w:pPr>
          </w:p>
          <w:p>
            <w:pPr>
              <w:pStyle w:val="TableParagraph"/>
              <w:ind w:start="107" w:end="95"/>
              <w:jc w:val="both"/>
            </w:pPr>
            <w:r>
              <w:rPr>
                <w:spacing w:val="-1"/>
              </w:rPr>
              <w:t xml:space="preserve">Khatchadourian </w:t>
            </w:r>
            <w:r>
              <w:rPr>
                <w:spacing w:val="-1"/>
              </w:rPr>
              <w:t xml:space="preserve">et </w:t>
            </w:r>
            <w:r>
              <w:rPr>
                <w:spacing w:val="-1"/>
              </w:rPr>
              <w:t xml:space="preserve">al. </w:t>
            </w:r>
            <w:r>
              <w:rPr>
                <w:spacing w:val="-1"/>
              </w:rPr>
              <w:t xml:space="preserve">2014 </w:t>
            </w:r>
            <w:r>
              <w:t xml:space="preserve">ont rapporté </w:t>
            </w:r>
            <w:r>
              <w:rPr>
                <w:spacing w:val="-1"/>
              </w:rPr>
              <w:t xml:space="preserve">de manière narrative </w:t>
            </w:r>
            <w:r>
              <w:t xml:space="preserve">les </w:t>
            </w:r>
            <w:r>
              <w:t xml:space="preserve">raisons </w:t>
            </w:r>
            <w:r>
              <w:t xml:space="preserve">de l'</w:t>
            </w:r>
            <w:r>
              <w:t xml:space="preserve">arrêt des </w:t>
            </w:r>
            <w:r>
              <w:t xml:space="preserve">analogues de la GnRH dans une cohorte de 26 adolescents (15 transmales et 11 </w:t>
            </w:r>
            <w:r>
              <w:t xml:space="preserve">transfemales), </w:t>
            </w:r>
            <w:r>
              <w:t xml:space="preserve">42% </w:t>
            </w:r>
            <w:r>
              <w:t xml:space="preserve">(11/26) ont </w:t>
            </w:r>
            <w:r>
              <w:t xml:space="preserve">arrêté les </w:t>
            </w:r>
            <w:r>
              <w:t xml:space="preserve">analogues de la </w:t>
            </w:r>
            <w:r>
              <w:t xml:space="preserve">GnRH </w:t>
            </w:r>
            <w:r>
              <w:t xml:space="preserve">pendant le </w:t>
            </w:r>
            <w:r>
              <w:t xml:space="preserve">suivi </w:t>
            </w:r>
            <w:r>
              <w:t xml:space="preserve">entre </w:t>
            </w:r>
            <w:r>
              <w:t xml:space="preserve">1998 </w:t>
            </w:r>
            <w:r>
              <w:t xml:space="preserve">et 2011.</w:t>
            </w:r>
          </w:p>
          <w:p w:rsidR="00432386" w:rsidRDefault="00432386">
            <w:pPr>
              <w:pStyle w:val="TableParagraph"/>
              <w:rPr>
                <w:b/>
              </w:rPr>
            </w:pPr>
          </w:p>
          <w:p>
            <w:pPr>
              <w:pStyle w:val="TableParagraph"/>
              <w:ind w:start="107"/>
            </w:pPr>
            <w:r>
              <w:t xml:space="preserve">Sur </w:t>
            </w:r>
            <w:r>
              <w:t xml:space="preserve">15 </w:t>
            </w:r>
            <w:r>
              <w:t xml:space="preserve">transmales </w:t>
            </w:r>
            <w:r>
              <w:t xml:space="preserve">recevant des </w:t>
            </w:r>
            <w:r>
              <w:t xml:space="preserve">analogues de la </w:t>
            </w:r>
            <w:r>
              <w:t xml:space="preserve">GnRH</w:t>
            </w:r>
            <w:r>
              <w:t xml:space="preserve">, </w:t>
            </w:r>
            <w:r>
              <w:t xml:space="preserve">14 ont </w:t>
            </w:r>
            <w:r>
              <w:t xml:space="preserve">reçu de la </w:t>
            </w:r>
            <w:r>
              <w:t xml:space="preserve">testostérone </w:t>
            </w:r>
            <w:r>
              <w:t xml:space="preserve">pendant </w:t>
            </w:r>
            <w:r>
              <w:t xml:space="preserve">la </w:t>
            </w:r>
            <w:r>
              <w:t xml:space="preserve">période d'observation, dont </w:t>
            </w:r>
            <w:r>
              <w:t xml:space="preserve">:</w:t>
            </w:r>
          </w:p>
          <w:p>
            <w:pPr>
              <w:pStyle w:val="TableParagraph"/>
              <w:numPr>
                <w:ilvl w:val="0"/>
                <w:numId w:val="162"/>
              </w:numPr>
              <w:tabs>
                <w:tab w:val="left" w:pos="828"/>
                <w:tab w:val="left" w:pos="829"/>
              </w:tabs>
              <w:spacing w:before="1" w:line="269" w:lineRule="exact"/>
              <w:ind w:hanging="362"/>
            </w:pPr>
            <w:r>
              <w:t xml:space="preserve">7 </w:t>
            </w:r>
            <w:r>
              <w:t xml:space="preserve">ont continué les </w:t>
            </w:r>
            <w:r>
              <w:t xml:space="preserve">analogues de la </w:t>
            </w:r>
            <w:r>
              <w:t xml:space="preserve">GnRH </w:t>
            </w:r>
            <w:r>
              <w:t xml:space="preserve">après avoir </w:t>
            </w:r>
            <w:r>
              <w:t xml:space="preserve">commencé la </w:t>
            </w:r>
            <w:r>
              <w:t xml:space="preserve">testostérone</w:t>
            </w:r>
          </w:p>
          <w:p>
            <w:pPr>
              <w:pStyle w:val="TableParagraph"/>
              <w:numPr>
                <w:ilvl w:val="0"/>
                <w:numId w:val="162"/>
              </w:numPr>
              <w:tabs>
                <w:tab w:val="left" w:pos="828"/>
                <w:tab w:val="left" w:pos="829"/>
              </w:tabs>
              <w:spacing w:line="268" w:lineRule="exact"/>
              <w:ind w:hanging="362"/>
            </w:pPr>
            <w:r>
              <w:t xml:space="preserve">7 ont </w:t>
            </w:r>
            <w:r>
              <w:t xml:space="preserve">cessé de prendre </w:t>
            </w:r>
            <w:r>
              <w:t xml:space="preserve">des analogues de la </w:t>
            </w:r>
            <w:r>
              <w:t xml:space="preserve">GnRH </w:t>
            </w:r>
            <w:r>
              <w:t xml:space="preserve">après </w:t>
            </w:r>
            <w:r>
              <w:t xml:space="preserve">une période </w:t>
            </w:r>
            <w:r>
              <w:t xml:space="preserve">médiane </w:t>
            </w:r>
            <w:r>
              <w:t xml:space="preserve">de </w:t>
            </w:r>
            <w:r>
              <w:t xml:space="preserve">3,0 </w:t>
            </w:r>
            <w:r>
              <w:t xml:space="preserve">ans </w:t>
            </w:r>
            <w:r>
              <w:t xml:space="preserve">(intervalle</w:t>
            </w:r>
          </w:p>
          <w:p>
            <w:pPr>
              <w:pStyle w:val="TableParagraph"/>
              <w:numPr>
                <w:ilvl w:val="1"/>
                <w:numId w:val="161"/>
              </w:numPr>
              <w:tabs>
                <w:tab w:val="left" w:pos="1196"/>
              </w:tabs>
              <w:spacing w:line="251" w:lineRule="exact"/>
            </w:pPr>
            <w:r>
              <w:t xml:space="preserve">à </w:t>
            </w:r>
            <w:r>
              <w:t xml:space="preserve">9,2 </w:t>
            </w:r>
            <w:r>
              <w:t xml:space="preserve">ans), </w:t>
            </w:r>
            <w:r>
              <w:t xml:space="preserve">dont :</w:t>
            </w:r>
          </w:p>
          <w:p>
            <w:pPr>
              <w:pStyle w:val="TableParagraph"/>
              <w:numPr>
                <w:ilvl w:val="2"/>
                <w:numId w:val="161"/>
              </w:numPr>
              <w:tabs>
                <w:tab w:val="left" w:pos="1549"/>
                <w:tab w:val="left" w:pos="1975"/>
                <w:tab w:val="left" w:pos="3061"/>
                <w:tab w:val="left" w:pos="3805"/>
                <w:tab w:val="left" w:pos="5417"/>
                <w:tab w:val="left" w:pos="6086"/>
              </w:tabs>
              <w:spacing w:before="12" w:line="223" w:lineRule="auto"/>
              <w:ind w:end="97"/>
            </w:pPr>
            <w:r>
              <w:t xml:space="preserve">5stoppedafterhysterectomyand</w:t>
            </w:r>
            <w:r>
              <w:tab/>
            </w:r>
            <w:r>
              <w:t xml:space="preserve">salpingo-ovariectomie</w:t>
            </w:r>
          </w:p>
          <w:p>
            <w:pPr>
              <w:pStyle w:val="TableParagraph"/>
              <w:numPr>
                <w:ilvl w:val="2"/>
                <w:numId w:val="161"/>
              </w:numPr>
              <w:tabs>
                <w:tab w:val="left" w:pos="1549"/>
              </w:tabs>
              <w:spacing w:before="17" w:line="223" w:lineRule="auto"/>
              <w:ind w:end="94"/>
            </w:pPr>
            <w:r>
              <w:t xml:space="preserve">1 </w:t>
            </w:r>
            <w:r>
              <w:t xml:space="preserve">arrêt </w:t>
            </w:r>
            <w:r>
              <w:t xml:space="preserve">après </w:t>
            </w:r>
            <w:r>
              <w:t xml:space="preserve">2,2 </w:t>
            </w:r>
            <w:r>
              <w:t xml:space="preserve">ans </w:t>
            </w:r>
            <w:r>
              <w:t xml:space="preserve">(transition </w:t>
            </w:r>
            <w:r>
              <w:t xml:space="preserve">vers des </w:t>
            </w:r>
            <w:r>
              <w:t xml:space="preserve">hormones d'affirmation du </w:t>
            </w:r>
            <w:r>
              <w:t xml:space="preserve">genre</w:t>
            </w:r>
            <w:r>
              <w:t xml:space="preserve">)</w:t>
            </w:r>
          </w:p>
          <w:p>
            <w:pPr>
              <w:pStyle w:val="TableParagraph"/>
              <w:numPr>
                <w:ilvl w:val="2"/>
                <w:numId w:val="161"/>
              </w:numPr>
              <w:tabs>
                <w:tab w:val="left" w:pos="1549"/>
              </w:tabs>
              <w:spacing w:before="16" w:line="223" w:lineRule="auto"/>
              <w:ind w:end="99"/>
            </w:pPr>
            <w:r>
              <w:t xml:space="preserve">1 </w:t>
            </w:r>
            <w:r>
              <w:t xml:space="preserve">a arrêté </w:t>
            </w:r>
            <w:r>
              <w:t xml:space="preserve">après </w:t>
            </w:r>
            <w:r>
              <w:t xml:space="preserve">&lt;2 </w:t>
            </w:r>
            <w:r>
              <w:t xml:space="preserve">mois </w:t>
            </w:r>
            <w:r>
              <w:rPr>
                <w:spacing w:val="15"/>
              </w:rPr>
              <w:t xml:space="preserve">à cause </w:t>
            </w:r>
            <w:r>
              <w:t xml:space="preserve">de l'</w:t>
            </w:r>
            <w:r>
              <w:t xml:space="preserve">humeur </w:t>
            </w:r>
            <w:r>
              <w:rPr>
                <w:spacing w:val="13"/>
              </w:rPr>
              <w:t xml:space="preserve">et de la </w:t>
            </w:r>
            <w:r>
              <w:t xml:space="preserve">labilité émotionnelle </w:t>
            </w:r>
            <w:r>
              <w:t xml:space="preserve">(</w:t>
            </w:r>
            <w:r>
              <w:rPr>
                <w:b/>
              </w:rPr>
              <w:t xml:space="preserve">TRÈS FAIBLE).</w:t>
            </w:r>
          </w:p>
          <w:p w:rsidR="00432386" w:rsidRDefault="00432386">
            <w:pPr>
              <w:pStyle w:val="TableParagraph"/>
              <w:spacing w:before="2"/>
              <w:rPr>
                <w:b/>
              </w:rPr>
            </w:pPr>
          </w:p>
          <w:p>
            <w:pPr>
              <w:pStyle w:val="TableParagraph"/>
              <w:ind w:start="107"/>
            </w:pPr>
            <w:r>
              <w:t xml:space="preserve">Sur les </w:t>
            </w:r>
            <w:r>
              <w:t xml:space="preserve">11 </w:t>
            </w:r>
            <w:r>
              <w:t xml:space="preserve">transfemmes </w:t>
            </w:r>
            <w:r>
              <w:t xml:space="preserve">recevant des </w:t>
            </w:r>
            <w:r>
              <w:t xml:space="preserve">analogues de la </w:t>
            </w:r>
            <w:r>
              <w:t xml:space="preserve">GnRH</w:t>
            </w:r>
            <w:r>
              <w:t xml:space="preserve">, </w:t>
            </w:r>
            <w:r>
              <w:t xml:space="preserve">5 </w:t>
            </w:r>
            <w:r>
              <w:t xml:space="preserve">ont reçu des </w:t>
            </w:r>
            <w:r>
              <w:t xml:space="preserve">œstrogènes </w:t>
            </w:r>
            <w:r>
              <w:t xml:space="preserve">pendant </w:t>
            </w:r>
            <w:r>
              <w:t xml:space="preserve">la </w:t>
            </w:r>
            <w:r>
              <w:t xml:space="preserve">période d'observation, dont </w:t>
            </w:r>
            <w:r>
              <w:t xml:space="preserve">:</w:t>
            </w:r>
          </w:p>
          <w:p>
            <w:pPr>
              <w:pStyle w:val="TableParagraph"/>
              <w:numPr>
                <w:ilvl w:val="0"/>
                <w:numId w:val="160"/>
              </w:numPr>
              <w:tabs>
                <w:tab w:val="left" w:pos="828"/>
                <w:tab w:val="left" w:pos="829"/>
              </w:tabs>
              <w:spacing w:before="3" w:line="268" w:lineRule="exact"/>
              <w:ind w:hanging="362"/>
            </w:pPr>
            <w:r>
              <w:t xml:space="preserve">4 </w:t>
            </w:r>
            <w:r>
              <w:t xml:space="preserve">ont continué les </w:t>
            </w:r>
            <w:r>
              <w:t xml:space="preserve">analogues de </w:t>
            </w:r>
            <w:r>
              <w:t xml:space="preserve">GnRH </w:t>
            </w:r>
            <w:r>
              <w:t xml:space="preserve">après </w:t>
            </w:r>
            <w:r>
              <w:t xml:space="preserve">avoir commencé les </w:t>
            </w:r>
            <w:r>
              <w:t xml:space="preserve">œstrogènes</w:t>
            </w:r>
          </w:p>
          <w:p>
            <w:pPr>
              <w:pStyle w:val="TableParagraph"/>
              <w:numPr>
                <w:ilvl w:val="0"/>
                <w:numId w:val="160"/>
              </w:numPr>
              <w:tabs>
                <w:tab w:val="left" w:pos="828"/>
                <w:tab w:val="left" w:pos="829"/>
              </w:tabs>
              <w:spacing w:before="1" w:line="237" w:lineRule="auto"/>
              <w:ind w:end="94"/>
            </w:pPr>
            <w:r>
              <w:t xml:space="preserve">1 </w:t>
            </w:r>
            <w:r>
              <w:t xml:space="preserve">a arrêté les </w:t>
            </w:r>
            <w:r>
              <w:t xml:space="preserve">analogues de la </w:t>
            </w:r>
            <w:r>
              <w:t xml:space="preserve">GnRH </w:t>
            </w:r>
            <w:r>
              <w:t xml:space="preserve">lors de la prise d'</w:t>
            </w:r>
            <w:r>
              <w:t xml:space="preserve">œstrogènes </w:t>
            </w:r>
            <w:r>
              <w:t xml:space="preserve">(aucune </w:t>
            </w:r>
            <w:r>
              <w:t xml:space="preserve">raison </w:t>
            </w:r>
            <w:r>
              <w:t xml:space="preserve">signalée) </w:t>
            </w:r>
            <w:r>
              <w:rPr>
                <w:b/>
              </w:rPr>
              <w:t xml:space="preserve">(TRÈS FAIBLE)</w:t>
            </w:r>
            <w:r>
              <w:t xml:space="preserve">.</w:t>
            </w:r>
          </w:p>
          <w:p w:rsidR="00432386" w:rsidRDefault="00432386">
            <w:pPr>
              <w:pStyle w:val="TableParagraph"/>
              <w:spacing w:before="1"/>
              <w:rPr>
                <w:b/>
              </w:rPr>
            </w:pPr>
          </w:p>
          <w:p>
            <w:pPr>
              <w:pStyle w:val="TableParagraph"/>
              <w:ind w:start="107"/>
            </w:pPr>
            <w:r>
              <w:t xml:space="preserve">Sur </w:t>
            </w:r>
            <w:r>
              <w:t xml:space="preserve">les </w:t>
            </w:r>
            <w:r>
              <w:t xml:space="preserve">6 </w:t>
            </w:r>
            <w:r>
              <w:t xml:space="preserve">autres </w:t>
            </w:r>
            <w:r>
              <w:t xml:space="preserve">transfemmes </w:t>
            </w:r>
            <w:r>
              <w:t xml:space="preserve">prenant des </w:t>
            </w:r>
            <w:r>
              <w:t xml:space="preserve">analogues de la </w:t>
            </w:r>
            <w:r>
              <w:t xml:space="preserve">GnRH </w:t>
            </w:r>
            <w:r>
              <w:t xml:space="preserve">:</w:t>
            </w:r>
          </w:p>
          <w:p>
            <w:pPr>
              <w:pStyle w:val="TableParagraph"/>
              <w:numPr>
                <w:ilvl w:val="0"/>
                <w:numId w:val="160"/>
              </w:numPr>
              <w:tabs>
                <w:tab w:val="left" w:pos="828"/>
                <w:tab w:val="left" w:pos="829"/>
              </w:tabs>
              <w:spacing w:before="3" w:line="237" w:lineRule="auto"/>
              <w:ind w:end="98"/>
            </w:pPr>
            <w:r>
              <w:rPr>
                <w:spacing w:val="-1"/>
              </w:rPr>
              <w:t xml:space="preserve">1 a </w:t>
            </w:r>
            <w:r>
              <w:rPr>
                <w:spacing w:val="-1"/>
              </w:rPr>
              <w:t xml:space="preserve">arrêté les </w:t>
            </w:r>
            <w:r>
              <w:rPr>
                <w:spacing w:val="-1"/>
              </w:rPr>
              <w:t xml:space="preserve">analogues de la </w:t>
            </w:r>
            <w:r>
              <w:rPr>
                <w:spacing w:val="-1"/>
              </w:rPr>
              <w:t xml:space="preserve">GnRH </w:t>
            </w:r>
            <w:r>
              <w:t xml:space="preserve">après </w:t>
            </w:r>
            <w:r>
              <w:t xml:space="preserve">quelques </w:t>
            </w:r>
            <w:r>
              <w:t xml:space="preserve">mois </w:t>
            </w:r>
            <w:r>
              <w:t xml:space="preserve">en raison d</w:t>
            </w:r>
            <w:r>
              <w:t xml:space="preserve">'une </w:t>
            </w:r>
            <w:r>
              <w:t xml:space="preserve">labilité </w:t>
            </w:r>
            <w:r>
              <w:t xml:space="preserve">émotionnelle.</w:t>
            </w:r>
          </w:p>
          <w:p>
            <w:pPr>
              <w:pStyle w:val="TableParagraph"/>
              <w:numPr>
                <w:ilvl w:val="0"/>
                <w:numId w:val="160"/>
              </w:numPr>
              <w:tabs>
                <w:tab w:val="left" w:pos="828"/>
                <w:tab w:val="left" w:pos="829"/>
              </w:tabs>
              <w:spacing w:before="3" w:line="237" w:lineRule="auto"/>
              <w:ind w:end="94"/>
            </w:pPr>
            <w:r>
              <w:t xml:space="preserve">1 </w:t>
            </w:r>
            <w:r>
              <w:t xml:space="preserve">a arrêté les </w:t>
            </w:r>
            <w:r>
              <w:t xml:space="preserve">analogues de la </w:t>
            </w:r>
            <w:r>
              <w:t xml:space="preserve">GnRH </w:t>
            </w:r>
            <w:r>
              <w:t xml:space="preserve">avant de </w:t>
            </w:r>
            <w:r>
              <w:t xml:space="preserve">prendre des </w:t>
            </w:r>
            <w:r>
              <w:t xml:space="preserve">œstrogènes </w:t>
            </w:r>
            <w:r>
              <w:t xml:space="preserve">(l'</w:t>
            </w:r>
            <w:r>
              <w:t xml:space="preserve">année </w:t>
            </w:r>
            <w:r>
              <w:t xml:space="preserve">suivante</w:t>
            </w:r>
            <w:r>
              <w:t xml:space="preserve">, retardée en raison </w:t>
            </w:r>
            <w:r>
              <w:t xml:space="preserve">d'un </w:t>
            </w:r>
            <w:r>
              <w:t xml:space="preserve">fort </w:t>
            </w:r>
            <w:r>
              <w:t xml:space="preserve">tabagisme)</w:t>
            </w:r>
          </w:p>
          <w:p>
            <w:pPr>
              <w:pStyle w:val="TableParagraph"/>
              <w:numPr>
                <w:ilvl w:val="0"/>
                <w:numId w:val="160"/>
              </w:numPr>
              <w:tabs>
                <w:tab w:val="left" w:pos="828"/>
                <w:tab w:val="left" w:pos="829"/>
              </w:tabs>
              <w:spacing w:before="4" w:line="237" w:lineRule="auto"/>
              <w:ind w:end="96"/>
            </w:pPr>
            <w:r>
              <w:rPr>
                <w:spacing w:val="-1"/>
              </w:rPr>
              <w:t xml:space="preserve">1 a </w:t>
            </w:r>
            <w:r>
              <w:rPr>
                <w:spacing w:val="-1"/>
              </w:rPr>
              <w:t xml:space="preserve">arrêté les </w:t>
            </w:r>
            <w:r>
              <w:rPr>
                <w:spacing w:val="-1"/>
              </w:rPr>
              <w:t xml:space="preserve">analogues de la </w:t>
            </w:r>
            <w:r>
              <w:rPr>
                <w:spacing w:val="-1"/>
              </w:rPr>
              <w:t xml:space="preserve">GnRH </w:t>
            </w:r>
            <w:r>
              <w:t xml:space="preserve">après </w:t>
            </w:r>
            <w:r>
              <w:t xml:space="preserve">13 </w:t>
            </w:r>
            <w:r>
              <w:t xml:space="preserve">mois </w:t>
            </w:r>
            <w:r>
              <w:t xml:space="preserve">parce qu'</w:t>
            </w:r>
            <w:r>
              <w:t xml:space="preserve">il </w:t>
            </w:r>
            <w:r>
              <w:t xml:space="preserve">ne </w:t>
            </w:r>
            <w:r>
              <w:t xml:space="preserve">poursuivait </w:t>
            </w:r>
            <w:r>
              <w:t xml:space="preserve">pas </w:t>
            </w:r>
            <w:r>
              <w:t xml:space="preserve">la </w:t>
            </w:r>
            <w:r>
              <w:t xml:space="preserve">transition </w:t>
            </w:r>
            <w:r>
              <w:rPr>
                <w:b/>
              </w:rPr>
              <w:t xml:space="preserve">(TRES FAIBLE)</w:t>
            </w:r>
            <w:r>
              <w:t xml:space="preserve">.</w:t>
            </w:r>
          </w:p>
          <w:p w:rsidR="00432386" w:rsidRDefault="00432386">
            <w:pPr>
              <w:pStyle w:val="TableParagraph"/>
              <w:spacing w:before="6"/>
              <w:rPr>
                <w:b/>
                <w:sz w:val="20"/>
              </w:rPr>
            </w:pPr>
          </w:p>
          <w:p>
            <w:pPr>
              <w:pStyle w:val="TableParagraph"/>
              <w:spacing w:line="252" w:lineRule="exact"/>
              <w:ind w:start="107" w:end="93"/>
              <w:rPr>
                <w:b/>
              </w:rPr>
            </w:pPr>
            <w:r>
              <w:rPr>
                <w:b/>
              </w:rPr>
              <w:t xml:space="preserve">Ces études fournissent des preuves à très faible degré de certitude concernant le nombre </w:t>
            </w:r>
            <w:r>
              <w:rPr>
                <w:b/>
                <w:spacing w:val="-1"/>
              </w:rPr>
              <w:t xml:space="preserve">d</w:t>
            </w:r>
            <w:r>
              <w:rPr>
                <w:b/>
              </w:rPr>
              <w:t xml:space="preserve">'</w:t>
            </w:r>
            <w:r>
              <w:rPr>
                <w:b/>
                <w:spacing w:val="-1"/>
              </w:rPr>
              <w:t xml:space="preserve">adolescents </w:t>
            </w:r>
            <w:r>
              <w:rPr>
                <w:b/>
                <w:spacing w:val="-1"/>
              </w:rPr>
              <w:t xml:space="preserve">qui </w:t>
            </w:r>
            <w:r>
              <w:rPr>
                <w:b/>
              </w:rPr>
              <w:t xml:space="preserve">arrêtent les </w:t>
            </w:r>
            <w:r>
              <w:rPr>
                <w:b/>
              </w:rPr>
              <w:t xml:space="preserve">analogues de la </w:t>
            </w:r>
            <w:r>
              <w:rPr>
                <w:b/>
              </w:rPr>
              <w:t xml:space="preserve">GnRH </w:t>
            </w:r>
            <w:r>
              <w:rPr>
                <w:b/>
              </w:rPr>
              <w:t xml:space="preserve">et </w:t>
            </w:r>
            <w:r>
              <w:rPr>
                <w:b/>
              </w:rPr>
              <w:t xml:space="preserve">les </w:t>
            </w:r>
            <w:r>
              <w:rPr>
                <w:b/>
              </w:rPr>
              <w:t xml:space="preserve">raisons </w:t>
            </w:r>
            <w:r>
              <w:rPr>
                <w:b/>
              </w:rPr>
              <w:t xml:space="preserve">de cet </w:t>
            </w:r>
            <w:r>
              <w:rPr>
                <w:b/>
              </w:rPr>
              <w:t xml:space="preserve">arrêt.</w:t>
            </w:r>
          </w:p>
        </w:tc>
      </w:tr>
    </w:tbl>
    <w:p>
      <w:pPr>
        <w:pStyle w:val="Corpsdetexte"/>
        <w:spacing w:before="0" w:line="252" w:lineRule="exact"/>
      </w:pPr>
      <w:r>
        <w:rPr>
          <w:b/>
        </w:rPr>
        <w:t xml:space="preserve">Abréviations : </w:t>
      </w:r>
      <w:r>
        <w:t xml:space="preserve">GnRH, </w:t>
      </w:r>
      <w:r>
        <w:t xml:space="preserve">hormone de </w:t>
      </w:r>
      <w:r>
        <w:t xml:space="preserve">libération de la </w:t>
      </w:r>
      <w:r>
        <w:t xml:space="preserve">gonadotrophine </w:t>
      </w:r>
      <w:r>
        <w:t xml:space="preserve">; </w:t>
      </w:r>
      <w:r>
        <w:t xml:space="preserve">SD, </w:t>
      </w:r>
      <w:r>
        <w:t xml:space="preserve">écart-type.</w:t>
      </w:r>
    </w:p>
    <w:p w:rsidR="00432386" w:rsidRDefault="00432386">
      <w:pPr>
        <w:pStyle w:val="Corpsdetexte"/>
        <w:spacing w:before="6"/>
        <w:ind w:start="0"/>
        <w:rPr>
          <w:sz w:val="28"/>
        </w:rPr>
      </w:pPr>
    </w:p>
    <w:p>
      <w:pPr>
        <w:pStyle w:val="Titre1"/>
        <w:spacing w:before="1" w:line="276" w:lineRule="auto"/>
        <w:ind w:end="559"/>
      </w:pPr>
      <w:r>
        <w:rPr>
          <w:color w:val="4F81BC"/>
        </w:rPr>
        <w:t xml:space="preserve">Chez les enfants et les adolescents souffrant de dysphorie de genre, quelle est la </w:t>
      </w:r>
      <w:r>
        <w:rPr>
          <w:color w:val="4F81BC"/>
        </w:rPr>
        <w:t xml:space="preserve">sécurité à </w:t>
      </w:r>
      <w:r>
        <w:rPr>
          <w:color w:val="4F81BC"/>
        </w:rPr>
        <w:t xml:space="preserve">court et </w:t>
      </w:r>
      <w:r>
        <w:rPr>
          <w:color w:val="4F81BC"/>
        </w:rPr>
        <w:t xml:space="preserve">à long terme des analogues de la GnRH par rapport à une ou une combinaison de </w:t>
      </w:r>
      <w:r>
        <w:rPr>
          <w:color w:val="4F81BC"/>
        </w:rPr>
        <w:t xml:space="preserve">soutien psychologique, de transition sociale vers le genre désiré ou d'aucune </w:t>
      </w:r>
      <w:r>
        <w:rPr>
          <w:color w:val="4F81BC"/>
        </w:rPr>
        <w:t xml:space="preserve">intervention ?</w:t>
      </w:r>
    </w:p>
    <w:p w:rsidR="00432386" w:rsidRDefault="00432386">
      <w:pPr>
        <w:pStyle w:val="Corpsdetexte"/>
        <w:spacing w:before="3"/>
        <w:ind w:start="0"/>
        <w:rPr>
          <w:b/>
          <w:sz w:val="17"/>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277"/>
        </w:trPr>
        <w:tc>
          <w:tcPr>
            <w:tcW w:w="1980" w:type="dxa"/>
          </w:tcPr>
          <w:p>
            <w:pPr>
              <w:pStyle w:val="TableParagraph"/>
              <w:spacing w:before="2" w:line="255" w:lineRule="exact"/>
              <w:ind w:start="107"/>
              <w:rPr>
                <w:b/>
                <w:sz w:val="24"/>
              </w:rPr>
            </w:pPr>
            <w:r>
              <w:rPr>
                <w:b/>
                <w:sz w:val="24"/>
              </w:rPr>
              <w:t xml:space="preserve">Résultat</w:t>
            </w:r>
          </w:p>
        </w:tc>
        <w:tc>
          <w:tcPr>
            <w:tcW w:w="7089" w:type="dxa"/>
          </w:tcPr>
          <w:p>
            <w:pPr>
              <w:pStyle w:val="TableParagraph"/>
              <w:spacing w:before="2" w:line="255" w:lineRule="exact"/>
              <w:ind w:start="107"/>
              <w:rPr>
                <w:b/>
                <w:sz w:val="24"/>
              </w:rPr>
            </w:pPr>
            <w:r>
              <w:rPr>
                <w:b/>
                <w:sz w:val="24"/>
              </w:rPr>
              <w:t xml:space="preserve">Déclaration de </w:t>
            </w:r>
            <w:r>
              <w:rPr>
                <w:b/>
                <w:sz w:val="24"/>
              </w:rPr>
              <w:t xml:space="preserve">preuves</w:t>
            </w:r>
          </w:p>
        </w:tc>
      </w:tr>
    </w:tbl>
    <w:p w:rsidR="00432386" w:rsidRDefault="00432386">
      <w:pPr>
        <w:spacing w:line="255" w:lineRule="exact"/>
        <w:rPr>
          <w:sz w:val="24"/>
        </w:rPr>
        <w:sectPr w:rsidR="00432386">
          <w:type w:val="continuous"/>
          <w:pgSz w:w="11910" w:h="16840"/>
          <w:pgMar w:top="1260" w:right="980" w:bottom="1729"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515"/>
        </w:trPr>
        <w:tc>
          <w:tcPr>
            <w:tcW w:w="9069" w:type="dxa"/>
            <w:gridSpan w:val="2"/>
          </w:tcPr>
          <w:p>
            <w:pPr>
              <w:pStyle w:val="TableParagraph"/>
              <w:ind w:start="107"/>
              <w:rPr>
                <w:b/>
                <w:sz w:val="24"/>
              </w:rPr>
            </w:pPr>
            <w:r>
              <w:rPr>
                <w:b/>
                <w:color w:val="4F81BC"/>
                <w:sz w:val="24"/>
              </w:rPr>
              <w:lastRenderedPageBreak/>
              <w:t xml:space="preserve">Sécurité</w:t>
            </w:r>
          </w:p>
        </w:tc>
      </w:tr>
      <w:tr w:rsidR="00432386">
        <w:trPr>
          <w:trHeight w:val="763"/>
        </w:trPr>
        <w:tc>
          <w:tcPr>
            <w:tcW w:w="1980" w:type="dxa"/>
            <w:tcBorders>
              <w:bottom w:val="nil"/>
            </w:tcBorders>
          </w:tcPr>
          <w:p>
            <w:pPr>
              <w:pStyle w:val="TableParagraph"/>
              <w:spacing w:before="2"/>
              <w:ind w:start="107" w:end="193"/>
              <w:rPr>
                <w:b/>
              </w:rPr>
            </w:pPr>
            <w:r>
              <w:rPr>
                <w:b/>
              </w:rPr>
              <w:t xml:space="preserve">Modification de la </w:t>
            </w:r>
            <w:r>
              <w:rPr>
                <w:b/>
              </w:rPr>
              <w:t xml:space="preserve">densité </w:t>
            </w:r>
            <w:r>
              <w:rPr>
                <w:b/>
              </w:rPr>
              <w:t xml:space="preserve">osseuse </w:t>
            </w:r>
            <w:r>
              <w:rPr>
                <w:b/>
              </w:rPr>
              <w:t xml:space="preserve">: </w:t>
            </w:r>
            <w:r>
              <w:rPr>
                <w:b/>
              </w:rPr>
              <w:t xml:space="preserve">lombaire</w:t>
            </w:r>
          </w:p>
        </w:tc>
        <w:tc>
          <w:tcPr>
            <w:tcW w:w="7089" w:type="dxa"/>
            <w:tcBorders>
              <w:bottom w:val="nil"/>
            </w:tcBorders>
          </w:tcPr>
          <w:p>
            <w:pPr>
              <w:pStyle w:val="TableParagraph"/>
              <w:spacing w:line="252" w:lineRule="exact"/>
              <w:ind w:start="107" w:end="94"/>
              <w:jc w:val="both"/>
            </w:pPr>
            <w:r>
              <w:t xml:space="preserve">Il s'agit d'un résultat important car la puberté est une période importante pour le </w:t>
            </w:r>
            <w:r>
              <w:t xml:space="preserve">développement </w:t>
            </w:r>
            <w:r>
              <w:t xml:space="preserve">osseux </w:t>
            </w:r>
            <w:r>
              <w:t xml:space="preserve">et la </w:t>
            </w:r>
            <w:r>
              <w:t xml:space="preserve">suppression de la </w:t>
            </w:r>
            <w:r>
              <w:t xml:space="preserve">puberté </w:t>
            </w:r>
            <w:r>
              <w:t xml:space="preserve">peut </w:t>
            </w:r>
            <w:r>
              <w:t xml:space="preserve">affecter le </w:t>
            </w:r>
            <w:r>
              <w:t xml:space="preserve">développement </w:t>
            </w:r>
            <w:r>
              <w:t xml:space="preserve">osseux</w:t>
            </w:r>
            <w:r>
              <w:t xml:space="preserve">, </w:t>
            </w:r>
            <w:r>
              <w:t xml:space="preserve">comme le </w:t>
            </w:r>
            <w:r>
              <w:t xml:space="preserve">montrent </w:t>
            </w:r>
            <w:r>
              <w:t xml:space="preserve">les modifications de </w:t>
            </w:r>
            <w:r>
              <w:t xml:space="preserve">la </w:t>
            </w:r>
            <w:r>
              <w:t xml:space="preserve">densité </w:t>
            </w:r>
            <w:r>
              <w:t xml:space="preserve">osseuse lombaire</w:t>
            </w:r>
            <w:r>
              <w:t xml:space="preserve">.</w:t>
            </w:r>
          </w:p>
        </w:tc>
      </w:tr>
      <w:tr w:rsidR="00432386">
        <w:trPr>
          <w:trHeight w:val="2150"/>
        </w:trPr>
        <w:tc>
          <w:tcPr>
            <w:tcW w:w="1980" w:type="dxa"/>
            <w:tcBorders>
              <w:top w:val="nil"/>
              <w:bottom w:val="nil"/>
            </w:tcBorders>
          </w:tcPr>
          <w:p>
            <w:pPr>
              <w:pStyle w:val="TableParagraph"/>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rsidR="00432386" w:rsidRDefault="00432386">
            <w:pPr>
              <w:pStyle w:val="TableParagraph"/>
              <w:spacing w:before="7"/>
              <w:rPr>
                <w:b/>
                <w:sz w:val="21"/>
              </w:rPr>
            </w:pPr>
          </w:p>
          <w:p>
            <w:pPr>
              <w:pStyle w:val="TableParagraph"/>
              <w:spacing w:before="1"/>
              <w:ind w:start="107" w:end="94"/>
              <w:jc w:val="both"/>
            </w:pPr>
            <w:r>
              <w:t xml:space="preserve">Trois </w:t>
            </w:r>
            <w:r>
              <w:t xml:space="preserve">études </w:t>
            </w:r>
            <w:r>
              <w:t xml:space="preserve">non contrôlées, </w:t>
            </w:r>
            <w:r>
              <w:t xml:space="preserve">observationnelles et </w:t>
            </w:r>
            <w:r>
              <w:t xml:space="preserve">rétrospectives </w:t>
            </w:r>
            <w:r>
              <w:t xml:space="preserve">ont fourni des </w:t>
            </w:r>
            <w:r>
              <w:t xml:space="preserve">preuves relatives à l'effet des analogues de la GnRH sur la densité osseuse </w:t>
            </w:r>
            <w:r>
              <w:t xml:space="preserve">(basée sur la DMOA lombaire) entre le début de l'utilisation d'un analogue de la GnRH et </w:t>
            </w:r>
            <w:r>
              <w:t xml:space="preserve">à des intervalles de 1 et 2 ans (</w:t>
            </w:r>
            <w:hyperlink r:id="rId144">
              <w:r>
                <w:rPr>
                  <w:color w:val="0000FF"/>
                  <w:u w:val="single" w:color="0000FF"/>
                </w:rPr>
                <w:t xml:space="preserve">Joseph et al. 2019</w:t>
              </w:r>
            </w:hyperlink>
            <w:r>
              <w:t xml:space="preserve">), et entre le début de l'utilisation des </w:t>
            </w:r>
            <w:r>
              <w:t xml:space="preserve">analogues de la GnRH et le début de l'utilisation d'hormones d'affirmation du genre (</w:t>
            </w:r>
            <w:hyperlink r:id="rId145">
              <w:r>
                <w:rPr>
                  <w:color w:val="0000FF"/>
                  <w:u w:val="single" w:color="0000FF"/>
                </w:rPr>
                <w:t xml:space="preserve">Klink et al. </w:t>
              </w:r>
            </w:hyperlink>
            <w:hyperlink r:id="rId146">
              <w:r>
                <w:rPr>
                  <w:color w:val="0000FF"/>
                  <w:u w:val="single" w:color="0000FF"/>
                </w:rPr>
                <w:t xml:space="preserve">2015 </w:t>
              </w:r>
            </w:hyperlink>
            <w:r>
              <w:t xml:space="preserve">et </w:t>
            </w:r>
            <w:hyperlink r:id="rId147">
              <w:r>
                <w:rPr>
                  <w:color w:val="0000FF"/>
                  <w:u w:val="single" w:color="0000FF"/>
                </w:rPr>
                <w:t xml:space="preserve">Vlot et al. 2017</w:t>
              </w:r>
            </w:hyperlink>
            <w:r>
              <w:t xml:space="preserve">). Tous les résultats ont été rapportés séparément 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tc>
      </w:tr>
      <w:tr w:rsidR="00432386">
        <w:trPr>
          <w:trHeight w:val="2024"/>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2"/>
              <w:ind w:start="107" w:end="95"/>
              <w:jc w:val="both"/>
            </w:pPr>
            <w:r>
              <w:t xml:space="preserve">La </w:t>
            </w:r>
            <w:r>
              <w:t xml:space="preserve">BMAD </w:t>
            </w:r>
            <w:r>
              <w:t xml:space="preserve">est </w:t>
            </w:r>
            <w:r>
              <w:t xml:space="preserve">une </w:t>
            </w:r>
            <w:r>
              <w:t xml:space="preserve">valeur de </w:t>
            </w:r>
            <w:r>
              <w:t xml:space="preserve">la </w:t>
            </w:r>
            <w:r>
              <w:t xml:space="preserve">DMO </w:t>
            </w:r>
            <w:r>
              <w:t xml:space="preserve">ajustée en fonction de la </w:t>
            </w:r>
            <w:r>
              <w:t xml:space="preserve">taille</w:t>
            </w:r>
            <w:r>
              <w:t xml:space="preserve">, qui intègre les </w:t>
            </w:r>
            <w:r>
              <w:t xml:space="preserve">mesures de la </w:t>
            </w:r>
            <w:r>
              <w:t xml:space="preserve">taille </w:t>
            </w:r>
            <w:r>
              <w:t xml:space="preserve">corporelle </w:t>
            </w:r>
            <w:r>
              <w:t xml:space="preserve">en utilisant les </w:t>
            </w:r>
            <w:r>
              <w:t xml:space="preserve">normes </w:t>
            </w:r>
            <w:r>
              <w:t xml:space="preserve">britanniques </w:t>
            </w:r>
            <w:r>
              <w:t xml:space="preserve">chez les </w:t>
            </w:r>
            <w:r>
              <w:t xml:space="preserve">adolescents </w:t>
            </w:r>
            <w:r>
              <w:t xml:space="preserve">en croissance</w:t>
            </w:r>
            <w:r>
              <w:t xml:space="preserve">. </w:t>
            </w:r>
            <w:r>
              <w:t xml:space="preserve">Elle </w:t>
            </w:r>
            <w:r>
              <w:t xml:space="preserve">a été </w:t>
            </w:r>
            <w:r>
              <w:t xml:space="preserve">rapportée </w:t>
            </w:r>
            <w:r>
              <w:t xml:space="preserve">en </w:t>
            </w:r>
            <w:r>
              <w:t xml:space="preserve">g/cm3 </w:t>
            </w:r>
            <w:r>
              <w:t xml:space="preserve">et </w:t>
            </w:r>
            <w:r>
              <w:t xml:space="preserve">sous forme de </w:t>
            </w:r>
            <w:r>
              <w:t xml:space="preserve">z-scores. Les </w:t>
            </w:r>
            <w:r>
              <w:t xml:space="preserve">scores Z </w:t>
            </w:r>
            <w:r>
              <w:t xml:space="preserve">indiquent </w:t>
            </w:r>
            <w:r>
              <w:t xml:space="preserve">le </w:t>
            </w:r>
            <w:r>
              <w:t xml:space="preserve">nombre d'</w:t>
            </w:r>
            <w:r>
              <w:t xml:space="preserve">écarts </w:t>
            </w:r>
            <w:r>
              <w:t xml:space="preserve">types </w:t>
            </w:r>
            <w:r>
              <w:t xml:space="preserve">par rapport à la moyenne d'une mesure. Un score z de 0 est égal </w:t>
            </w:r>
            <w:r>
              <w:t xml:space="preserve">à la moyenne, un score z de -1 est égal à un écart-type en dessous de la </w:t>
            </w:r>
            <w:r>
              <w:t xml:space="preserve">moyenne, et un score z de +1 est égal à un </w:t>
            </w:r>
            <w:r>
              <w:t xml:space="preserve">écart-type au-dessus de la </w:t>
            </w:r>
            <w:r>
              <w:t xml:space="preserve">moyenne.</w:t>
            </w:r>
          </w:p>
        </w:tc>
      </w:tr>
      <w:tr w:rsidR="00432386">
        <w:trPr>
          <w:trHeight w:val="4344"/>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end="95"/>
              <w:jc w:val="both"/>
            </w:pPr>
            <w:r>
              <w:t xml:space="preserve">Une </w:t>
            </w:r>
            <w:r>
              <w:t xml:space="preserve">étude </w:t>
            </w:r>
            <w:r>
              <w:t xml:space="preserve">observationnelle </w:t>
            </w:r>
            <w:r>
              <w:t xml:space="preserve">rétrospective </w:t>
            </w:r>
            <w:r>
              <w:t xml:space="preserve">(</w:t>
            </w:r>
            <w:hyperlink r:id="rId148">
              <w:r>
                <w:rPr>
                  <w:color w:val="0000FF"/>
                  <w:u w:val="single" w:color="0000FF"/>
                </w:rPr>
                <w:t xml:space="preserve">Joseph</w:t>
              </w:r>
              <w:r>
                <w:rPr>
                  <w:color w:val="0000FF"/>
                  <w:u w:val="single" w:color="0000FF"/>
                </w:rPr>
                <w:t xml:space="preserve">et</w:t>
              </w:r>
              <w:r>
                <w:rPr>
                  <w:color w:val="0000FF"/>
                  <w:u w:val="single" w:color="0000FF"/>
                </w:rPr>
                <w:t xml:space="preserve">al.</w:t>
              </w:r>
              <w:r>
                <w:rPr>
                  <w:color w:val="0000FF"/>
                  <w:u w:val="single" w:color="0000FF"/>
                </w:rPr>
                <w:t xml:space="preserve">2019</w:t>
              </w:r>
            </w:hyperlink>
            <w:r>
              <w:t xml:space="preserve">, </w:t>
            </w:r>
            <w:r>
              <w:t xml:space="preserve">n=70) a </w:t>
            </w:r>
            <w:r>
              <w:t xml:space="preserve">fourni des </w:t>
            </w:r>
            <w:r>
              <w:t xml:space="preserve">preuves </w:t>
            </w:r>
            <w:r>
              <w:t xml:space="preserve">non comparatives </w:t>
            </w:r>
            <w:r>
              <w:t xml:space="preserve">sur le </w:t>
            </w:r>
            <w:r>
              <w:t xml:space="preserve">changement de </w:t>
            </w:r>
            <w:r>
              <w:t xml:space="preserve">l'</w:t>
            </w:r>
            <w:r>
              <w:t xml:space="preserve">augmentation de la </w:t>
            </w:r>
            <w:r>
              <w:t xml:space="preserve">BMAD </w:t>
            </w:r>
            <w:r>
              <w:t xml:space="preserve">lombaire </w:t>
            </w:r>
            <w:r>
              <w:t xml:space="preserve">en utilisant les </w:t>
            </w:r>
            <w:r>
              <w:t xml:space="preserve">scores z.</w:t>
            </w:r>
          </w:p>
          <w:p>
            <w:pPr>
              <w:pStyle w:val="TableParagraph"/>
              <w:numPr>
                <w:ilvl w:val="0"/>
                <w:numId w:val="159"/>
              </w:numPr>
              <w:tabs>
                <w:tab w:val="left" w:pos="829"/>
              </w:tabs>
              <w:spacing w:before="2"/>
              <w:ind w:end="92"/>
              <w:jc w:val="both"/>
            </w:pPr>
            <w:r>
              <w:rPr>
                <w:spacing w:val="-1"/>
              </w:rPr>
              <w:t xml:space="preserve">Le </w:t>
            </w:r>
            <w:r>
              <w:rPr>
                <w:spacing w:val="-1"/>
              </w:rPr>
              <w:t xml:space="preserve">z-score </w:t>
            </w:r>
            <w:r>
              <w:rPr>
                <w:spacing w:val="-1"/>
              </w:rPr>
              <w:t xml:space="preserve">pour le </w:t>
            </w:r>
            <w:r>
              <w:rPr>
                <w:spacing w:val="-1"/>
              </w:rPr>
              <w:t xml:space="preserve">BMAD </w:t>
            </w:r>
            <w:r>
              <w:rPr>
                <w:spacing w:val="-1"/>
              </w:rPr>
              <w:t xml:space="preserve">lombaire </w:t>
            </w:r>
            <w:r>
              <w:rPr>
                <w:spacing w:val="-1"/>
              </w:rPr>
              <w:t xml:space="preserve">était </w:t>
            </w:r>
            <w:r>
              <w:t xml:space="preserve">significativement </w:t>
            </w:r>
            <w:r>
              <w:t xml:space="preserve">plus bas </w:t>
            </w:r>
            <w:r>
              <w:t xml:space="preserve">à </w:t>
            </w:r>
            <w:r>
              <w:t xml:space="preserve">2 ans par rapport à la ligne de base chez les transfemmes (z-score </w:t>
            </w:r>
            <w:r>
              <w:t xml:space="preserve">[</w:t>
            </w:r>
            <w:r>
              <w:rPr>
                <w:sz w:val="20"/>
              </w:rPr>
              <w:t xml:space="preserve">±SD</w:t>
            </w:r>
            <w:r>
              <w:t xml:space="preserve">] : ligne de base 0,486 [0,809], 2 ans -0,279 [0,930], p=0,000) </w:t>
            </w:r>
            <w:r>
              <w:t xml:space="preserve">et les </w:t>
            </w:r>
            <w:r>
              <w:t xml:space="preserve">transmales </w:t>
            </w:r>
            <w:r>
              <w:t xml:space="preserve">(ligne de base </w:t>
            </w:r>
            <w:r>
              <w:t xml:space="preserve">-0,361 </w:t>
            </w:r>
            <w:r>
              <w:t xml:space="preserve">[1,439], </w:t>
            </w:r>
            <w:r>
              <w:t xml:space="preserve">2 </w:t>
            </w:r>
            <w:r>
              <w:t xml:space="preserve">ans </w:t>
            </w:r>
            <w:r>
              <w:t xml:space="preserve">-0,913 </w:t>
            </w:r>
            <w:r>
              <w:t xml:space="preserve">[1,318], </w:t>
            </w:r>
            <w:r>
              <w:t xml:space="preserve">p=0,001) </w:t>
            </w:r>
            <w:r>
              <w:rPr>
                <w:b/>
              </w:rPr>
              <w:t xml:space="preserve">(TRÈS </w:t>
            </w:r>
            <w:r>
              <w:rPr>
                <w:b/>
              </w:rPr>
              <w:t xml:space="preserve">FAIBLE)</w:t>
            </w:r>
            <w:r>
              <w:t xml:space="preserve">.</w:t>
            </w:r>
          </w:p>
          <w:p>
            <w:pPr>
              <w:pStyle w:val="TableParagraph"/>
              <w:numPr>
                <w:ilvl w:val="0"/>
                <w:numId w:val="159"/>
              </w:numPr>
              <w:tabs>
                <w:tab w:val="left" w:pos="829"/>
              </w:tabs>
              <w:ind w:end="93"/>
              <w:jc w:val="both"/>
            </w:pPr>
            <w:r>
              <w:rPr>
                <w:spacing w:val="-1"/>
              </w:rPr>
              <w:t xml:space="preserve">Le </w:t>
            </w:r>
            <w:r>
              <w:rPr>
                <w:spacing w:val="-1"/>
              </w:rPr>
              <w:t xml:space="preserve">z-score </w:t>
            </w:r>
            <w:r>
              <w:rPr>
                <w:spacing w:val="-1"/>
              </w:rPr>
              <w:t xml:space="preserve">pour le </w:t>
            </w:r>
            <w:r>
              <w:rPr>
                <w:spacing w:val="-1"/>
              </w:rPr>
              <w:t xml:space="preserve">BMAD </w:t>
            </w:r>
            <w:r>
              <w:rPr>
                <w:spacing w:val="-1"/>
              </w:rPr>
              <w:t xml:space="preserve">lombaire </w:t>
            </w:r>
            <w:r>
              <w:rPr>
                <w:spacing w:val="-1"/>
              </w:rPr>
              <w:t xml:space="preserve">était </w:t>
            </w:r>
            <w:r>
              <w:t xml:space="preserve">significativement </w:t>
            </w:r>
            <w:r>
              <w:t xml:space="preserve">plus bas </w:t>
            </w:r>
            <w:r>
              <w:t xml:space="preserve">à </w:t>
            </w:r>
            <w:r>
              <w:t xml:space="preserve">1 an </w:t>
            </w:r>
            <w:r>
              <w:t xml:space="preserve">par rapport à la ligne de base chez les transfemmes (ligne de base </w:t>
            </w:r>
            <w:r>
              <w:t xml:space="preserve">0,859 [0,154], 1 an -0,228 [1,027], p=0,000) et les transmales </w:t>
            </w:r>
            <w:r>
              <w:t xml:space="preserve">(ligne de base </w:t>
            </w:r>
            <w:r>
              <w:t xml:space="preserve">-0,186 </w:t>
            </w:r>
            <w:r>
              <w:t xml:space="preserve">[1,230], </w:t>
            </w:r>
            <w:r>
              <w:t xml:space="preserve">1 </w:t>
            </w:r>
            <w:r>
              <w:t xml:space="preserve">an </w:t>
            </w:r>
            <w:r>
              <w:t xml:space="preserve">-0,541 </w:t>
            </w:r>
            <w:r>
              <w:t xml:space="preserve">[1,396], </w:t>
            </w:r>
            <w:r>
              <w:t xml:space="preserve">p=0,006) </w:t>
            </w:r>
            <w:r>
              <w:rPr>
                <w:b/>
              </w:rPr>
              <w:t xml:space="preserve">(TRÈS </w:t>
            </w:r>
            <w:r>
              <w:rPr>
                <w:b/>
              </w:rPr>
              <w:t xml:space="preserve">FAIBLE)</w:t>
            </w:r>
            <w:r>
              <w:t xml:space="preserve">.</w:t>
            </w:r>
          </w:p>
          <w:p>
            <w:pPr>
              <w:pStyle w:val="TableParagraph"/>
              <w:numPr>
                <w:ilvl w:val="0"/>
                <w:numId w:val="159"/>
              </w:numPr>
              <w:tabs>
                <w:tab w:val="left" w:pos="829"/>
              </w:tabs>
              <w:spacing w:line="237" w:lineRule="auto"/>
              <w:ind w:end="97"/>
              <w:jc w:val="both"/>
            </w:pPr>
            <w:r>
              <w:t xml:space="preserve">Les valeurs </w:t>
            </w:r>
            <w:r>
              <w:t xml:space="preserve">réelles </w:t>
            </w:r>
            <w:r>
              <w:t xml:space="preserve">de </w:t>
            </w:r>
            <w:r>
              <w:t xml:space="preserve">BMAD </w:t>
            </w:r>
            <w:r>
              <w:t xml:space="preserve">lombaire </w:t>
            </w:r>
            <w:r>
              <w:t xml:space="preserve">en </w:t>
            </w:r>
            <w:r>
              <w:t xml:space="preserve">g/cm3 </w:t>
            </w:r>
            <w:r>
              <w:t xml:space="preserve">n'</w:t>
            </w:r>
            <w:r>
              <w:t xml:space="preserve">étaient </w:t>
            </w:r>
            <w:r>
              <w:t xml:space="preserve">pas </w:t>
            </w:r>
            <w:r>
              <w:t xml:space="preserve">statistiquement </w:t>
            </w:r>
            <w:r>
              <w:t xml:space="preserve">significativement différentes entre la ligne de base et 1 ou 2 ans chez les </w:t>
            </w:r>
            <w:r>
              <w:t xml:space="preserve">transfemmes </w:t>
            </w:r>
            <w:r>
              <w:t xml:space="preserve">ou les </w:t>
            </w:r>
            <w:r>
              <w:t xml:space="preserve">transmales </w:t>
            </w:r>
            <w:r>
              <w:rPr>
                <w:b/>
              </w:rPr>
              <w:t xml:space="preserve">(TRÈS FAIBLE)</w:t>
            </w:r>
            <w:r>
              <w:t xml:space="preserve">.</w:t>
            </w:r>
          </w:p>
        </w:tc>
      </w:tr>
      <w:tr w:rsidR="00432386">
        <w:trPr>
          <w:trHeight w:val="1519"/>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3"/>
              <w:ind w:start="107" w:end="94"/>
              <w:jc w:val="both"/>
            </w:pPr>
            <w:r>
              <w:t xml:space="preserve">Deux </w:t>
            </w:r>
            <w:r>
              <w:t xml:space="preserve">études d</w:t>
            </w:r>
            <w:r>
              <w:t xml:space="preserve">'observation </w:t>
            </w:r>
            <w:r>
              <w:t xml:space="preserve">rétrospectives </w:t>
            </w:r>
            <w:r>
              <w:t xml:space="preserve">(</w:t>
            </w:r>
            <w:hyperlink r:id="rId149">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 </w:t>
              </w:r>
            </w:hyperlink>
            <w:r>
              <w:t xml:space="preserve">et </w:t>
            </w:r>
            <w:hyperlink r:id="rId150">
              <w:r>
                <w:rPr>
                  <w:color w:val="0000FF"/>
                  <w:u w:val="single" w:color="0000FF"/>
                </w:rPr>
                <w:t xml:space="preserve">Vlot</w:t>
              </w:r>
              <w:r>
                <w:rPr>
                  <w:color w:val="0000FF"/>
                  <w:u w:val="single" w:color="0000FF"/>
                </w:rPr>
                <w:t xml:space="preserve">et</w:t>
              </w:r>
              <w:r>
                <w:rPr>
                  <w:color w:val="0000FF"/>
                  <w:u w:val="single" w:color="0000FF"/>
                </w:rPr>
                <w:t xml:space="preserve">al. </w:t>
              </w:r>
            </w:hyperlink>
            <w:hyperlink r:id="rId151">
              <w:r>
                <w:rPr>
                  <w:color w:val="0000FF"/>
                  <w:u w:val="single" w:color="0000FF"/>
                </w:rPr>
                <w:t xml:space="preserve">2017</w:t>
              </w:r>
            </w:hyperlink>
            <w:r>
              <w:t xml:space="preserve">, </w:t>
            </w:r>
            <w:r>
              <w:t xml:space="preserve">n=104 </w:t>
            </w:r>
            <w:r>
              <w:t xml:space="preserve">au </w:t>
            </w:r>
            <w:r>
              <w:t xml:space="preserve">total) </w:t>
            </w:r>
            <w:r>
              <w:t xml:space="preserve">ont fourni des </w:t>
            </w:r>
            <w:r>
              <w:t xml:space="preserve">preuves </w:t>
            </w:r>
            <w:r>
              <w:t xml:space="preserve">non comparatives </w:t>
            </w:r>
            <w:r>
              <w:t xml:space="preserve">sur le </w:t>
            </w:r>
            <w:r>
              <w:t xml:space="preserve">changement de </w:t>
            </w:r>
            <w:r>
              <w:t xml:space="preserve">la </w:t>
            </w:r>
            <w:r>
              <w:t xml:space="preserve">DMOA lombaire entre le début de la prise d'analogues de la GnRH et le début de la prise d'</w:t>
            </w:r>
            <w:r>
              <w:t xml:space="preserve">hormones </w:t>
            </w:r>
            <w:r>
              <w:t xml:space="preserve">d'affirmation du </w:t>
            </w:r>
            <w:r>
              <w:t xml:space="preserve">genre</w:t>
            </w:r>
            <w:r>
              <w:t xml:space="preserve">. </w:t>
            </w:r>
            <w:r>
              <w:t xml:space="preserve">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tc>
      </w:tr>
      <w:tr w:rsidR="00432386">
        <w:trPr>
          <w:trHeight w:val="2653"/>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3"/>
              <w:ind w:start="107" w:end="93"/>
              <w:jc w:val="both"/>
              <w:rPr>
                <w:sz w:val="20"/>
              </w:rPr>
            </w:pPr>
            <w:r>
              <w:t xml:space="preserve">Dans Klink et al. 2015, le z-score pour la BMAD lombaire n'était pas statistiquement </w:t>
            </w:r>
            <w:r>
              <w:t xml:space="preserve">différent entre le début des analogues de la GnRH et le début des </w:t>
            </w:r>
            <w:r>
              <w:t xml:space="preserve">hormones d'</w:t>
            </w:r>
            <w:r>
              <w:t xml:space="preserve">affirmation du genre </w:t>
            </w:r>
            <w:r>
              <w:t xml:space="preserve">chez les </w:t>
            </w:r>
            <w:r>
              <w:t xml:space="preserve">transfemmes</w:t>
            </w:r>
            <w:r>
              <w:t xml:space="preserve">, mais </w:t>
            </w:r>
            <w:r>
              <w:t xml:space="preserve">était </w:t>
            </w:r>
            <w:r>
              <w:t xml:space="preserve">statistiquement </w:t>
            </w:r>
            <w:r>
              <w:t xml:space="preserve">plus faible </w:t>
            </w:r>
            <w:r>
              <w:t xml:space="preserve">lors du </w:t>
            </w:r>
            <w:r>
              <w:t xml:space="preserve">début des </w:t>
            </w:r>
            <w:r>
              <w:t xml:space="preserve">hormones d'</w:t>
            </w:r>
            <w:r>
              <w:t xml:space="preserve">affirmation du genre </w:t>
            </w:r>
            <w:r>
              <w:t xml:space="preserve">chez les </w:t>
            </w:r>
            <w:r>
              <w:t xml:space="preserve">transmaliens </w:t>
            </w:r>
            <w:r>
              <w:t xml:space="preserve">(z-score </w:t>
            </w:r>
            <w:r>
              <w:t xml:space="preserve">moyen </w:t>
            </w:r>
            <w:r>
              <w:t xml:space="preserve">[</w:t>
            </w:r>
            <w:r>
              <w:rPr>
                <w:sz w:val="20"/>
              </w:rPr>
              <w:t xml:space="preserve">±SD</w:t>
            </w:r>
            <w:r>
              <w:t xml:space="preserve">] : </w:t>
            </w:r>
            <w:r>
              <w:t xml:space="preserve">analogue de la </w:t>
            </w:r>
            <w:r>
              <w:t xml:space="preserve">GnRH </w:t>
            </w:r>
            <w:r>
              <w:t xml:space="preserve">0,28 </w:t>
            </w:r>
            <w:r>
              <w:t xml:space="preserve">[</w:t>
            </w:r>
            <w:r>
              <w:rPr>
                <w:sz w:val="20"/>
              </w:rPr>
              <w:t xml:space="preserve">±0</w:t>
            </w:r>
            <w:r>
              <w:t xml:space="preserve">,90], </w:t>
            </w:r>
            <w:r>
              <w:rPr>
                <w:spacing w:val="-1"/>
              </w:rPr>
              <w:t xml:space="preserve">hormone d'</w:t>
            </w:r>
            <w:r>
              <w:rPr>
                <w:spacing w:val="-1"/>
              </w:rPr>
              <w:t xml:space="preserve">affirmation du </w:t>
            </w:r>
            <w:r>
              <w:t xml:space="preserve">genre </w:t>
            </w:r>
            <w:r>
              <w:rPr>
                <w:spacing w:val="-1"/>
              </w:rPr>
              <w:t xml:space="preserve">-0,50 </w:t>
            </w:r>
            <w:r>
              <w:t xml:space="preserve">[</w:t>
            </w:r>
            <w:r>
              <w:rPr>
                <w:sz w:val="20"/>
              </w:rPr>
              <w:t xml:space="preserve">±0</w:t>
            </w:r>
            <w:r>
              <w:t xml:space="preserve">,81], </w:t>
            </w:r>
            <w:r>
              <w:t xml:space="preserve">p=0,004). </w:t>
            </w:r>
            <w:r>
              <w:t xml:space="preserve">Les </w:t>
            </w:r>
            <w:r>
              <w:t xml:space="preserve">valeurs </w:t>
            </w:r>
            <w:r>
              <w:t xml:space="preserve">réelles </w:t>
            </w:r>
            <w:r>
              <w:t xml:space="preserve">de </w:t>
            </w:r>
            <w:r>
              <w:t xml:space="preserve">BMAD </w:t>
            </w:r>
            <w:r>
              <w:t xml:space="preserve">lombaire </w:t>
            </w:r>
            <w:r>
              <w:t xml:space="preserve">en g/cm3 </w:t>
            </w:r>
            <w:r>
              <w:t xml:space="preserve">n'étaient pas statistiquement significativement différentes entre le début de l'administration des </w:t>
            </w:r>
            <w:r>
              <w:t xml:space="preserve">analogues de la </w:t>
            </w:r>
            <w:r>
              <w:t xml:space="preserve">GnRH </w:t>
            </w:r>
            <w:r>
              <w:t xml:space="preserve">et le </w:t>
            </w:r>
            <w:r>
              <w:t xml:space="preserve">début de l'administration des </w:t>
            </w:r>
            <w:r>
              <w:t xml:space="preserve">hormones </w:t>
            </w:r>
            <w:r>
              <w:t xml:space="preserve">d'affirmation du genre </w:t>
            </w:r>
            <w:r>
              <w:t xml:space="preserve">chez les </w:t>
            </w:r>
            <w:r>
              <w:t xml:space="preserve">transfemmes </w:t>
            </w:r>
            <w:r>
              <w:t xml:space="preserve">ou les transmales </w:t>
            </w:r>
            <w:r>
              <w:rPr>
                <w:b/>
                <w:sz w:val="20"/>
              </w:rPr>
              <w:t xml:space="preserve">(</w:t>
            </w:r>
            <w:r>
              <w:rPr>
                <w:b/>
              </w:rPr>
              <w:t xml:space="preserve">TRÈS </w:t>
            </w:r>
            <w:r>
              <w:rPr>
                <w:b/>
              </w:rPr>
              <w:t xml:space="preserve">FAIBLE)</w:t>
            </w:r>
            <w:r>
              <w:rPr>
                <w:sz w:val="20"/>
              </w:rPr>
              <w:t xml:space="preserve">.</w:t>
            </w:r>
          </w:p>
        </w:tc>
      </w:tr>
    </w:tbl>
    <w:p w:rsidR="00432386" w:rsidRDefault="00432386">
      <w:pPr>
        <w:jc w:val="both"/>
        <w:rPr>
          <w:sz w:val="20"/>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14019"/>
        </w:trPr>
        <w:tc>
          <w:tcPr>
            <w:tcW w:w="1980" w:type="dxa"/>
          </w:tcPr>
          <w:p w:rsidR="00432386" w:rsidRDefault="00432386">
            <w:pPr>
              <w:pStyle w:val="TableParagraph"/>
              <w:rPr>
                <w:rFonts w:ascii="Times New Roman"/>
              </w:rPr>
            </w:pPr>
          </w:p>
        </w:tc>
        <w:tc>
          <w:tcPr>
            <w:tcW w:w="7089" w:type="dxa"/>
          </w:tcPr>
          <w:p>
            <w:pPr>
              <w:pStyle w:val="TableParagraph"/>
              <w:ind w:start="107" w:end="543"/>
            </w:pPr>
            <w:r>
              <w:t xml:space="preserve">Vlot et al. 2017 ont rapporté le changement entre le début des analogues de la GnRH et le </w:t>
            </w:r>
            <w:r>
              <w:t xml:space="preserve">début des </w:t>
            </w:r>
            <w:r>
              <w:t xml:space="preserve">hormones </w:t>
            </w:r>
            <w:r>
              <w:t xml:space="preserve">d'affirmation du genre </w:t>
            </w:r>
            <w:r>
              <w:t xml:space="preserve">dans la </w:t>
            </w:r>
            <w:r>
              <w:t xml:space="preserve">BMAD </w:t>
            </w:r>
            <w:r>
              <w:t xml:space="preserve">lombaire </w:t>
            </w:r>
            <w:r>
              <w:t xml:space="preserve">selon l'</w:t>
            </w:r>
            <w:r>
              <w:t xml:space="preserve">âge </w:t>
            </w:r>
            <w:r>
              <w:t xml:space="preserve">osseux</w:t>
            </w:r>
            <w:r>
              <w:t xml:space="preserve">.</w:t>
            </w:r>
          </w:p>
          <w:p>
            <w:pPr>
              <w:pStyle w:val="TableParagraph"/>
              <w:numPr>
                <w:ilvl w:val="0"/>
                <w:numId w:val="158"/>
              </w:numPr>
              <w:tabs>
                <w:tab w:val="left" w:pos="828"/>
                <w:tab w:val="left" w:pos="829"/>
              </w:tabs>
              <w:ind w:end="165"/>
            </w:pPr>
            <w:r>
              <w:t xml:space="preserve">Le z-score de la BMAD lombaire chez les transfemmes dont l'âge osseux était </w:t>
            </w:r>
            <w:r>
              <w:t xml:space="preserve">&lt;15 ans était statistiquement significatif et plus faible au début du </w:t>
            </w:r>
            <w:r>
              <w:t xml:space="preserve">traitement par l'hormone d'affirmation du genre qu'au début du traitement par </w:t>
            </w:r>
            <w:r>
              <w:t xml:space="preserve">les analogues de la</w:t>
            </w:r>
            <w:r>
              <w:t xml:space="preserve"> GnRH </w:t>
            </w:r>
            <w:r>
              <w:t xml:space="preserve">(z-score médian </w:t>
            </w:r>
            <w:r>
              <w:t xml:space="preserve">[intervalle] : analogue de la GnRH -0,20 </w:t>
            </w:r>
            <w:r>
              <w:t xml:space="preserve">[-1,82 à 1,18], hormone d'affirmation du genre -1,52 [-2,36 à </w:t>
            </w:r>
            <w:r>
              <w:t xml:space="preserve">0,42], p=0,001) mais n'était pas statistiquement différent chez les </w:t>
            </w:r>
            <w:r>
              <w:t xml:space="preserve">transfemmes </w:t>
            </w:r>
            <w:r>
              <w:t xml:space="preserve">dont l</w:t>
            </w:r>
            <w:r>
              <w:t xml:space="preserve">'</w:t>
            </w:r>
            <w:r>
              <w:t xml:space="preserve">âge </w:t>
            </w:r>
            <w:r>
              <w:t xml:space="preserve">osseux était</w:t>
            </w:r>
            <w:r>
              <w:rPr>
                <w:spacing w:val="-2"/>
              </w:rPr>
              <w:t xml:space="preserve"> ≥15 </w:t>
            </w:r>
            <w:r>
              <w:t xml:space="preserve">ans </w:t>
            </w:r>
            <w:r>
              <w:rPr>
                <w:b/>
              </w:rPr>
              <w:t xml:space="preserve">(TRÈS </w:t>
            </w:r>
            <w:r>
              <w:rPr>
                <w:b/>
              </w:rPr>
              <w:t xml:space="preserve">FAIBLE)</w:t>
            </w:r>
            <w:r>
              <w:t xml:space="preserve">.</w:t>
            </w:r>
          </w:p>
          <w:p>
            <w:pPr>
              <w:pStyle w:val="TableParagraph"/>
              <w:numPr>
                <w:ilvl w:val="0"/>
                <w:numId w:val="158"/>
              </w:numPr>
              <w:tabs>
                <w:tab w:val="left" w:pos="828"/>
                <w:tab w:val="left" w:pos="829"/>
              </w:tabs>
              <w:spacing w:line="266" w:lineRule="exact"/>
              <w:ind w:hanging="362"/>
            </w:pPr>
            <w:r>
              <w:t xml:space="preserve">Le </w:t>
            </w:r>
            <w:r>
              <w:t xml:space="preserve">z-score </w:t>
            </w:r>
            <w:r>
              <w:t xml:space="preserve">pour le </w:t>
            </w:r>
            <w:r>
              <w:t xml:space="preserve">BMAD lombaire </w:t>
            </w:r>
            <w:r>
              <w:t xml:space="preserve">chez les </w:t>
            </w:r>
            <w:r>
              <w:t xml:space="preserve">transmales </w:t>
            </w:r>
            <w:r>
              <w:t xml:space="preserve">ayant </w:t>
            </w:r>
            <w:r>
              <w:t xml:space="preserve">un </w:t>
            </w:r>
            <w:r>
              <w:t xml:space="preserve">âge </w:t>
            </w:r>
            <w:r>
              <w:t xml:space="preserve">osseux </w:t>
            </w:r>
            <w:r>
              <w:t xml:space="preserve">de</w:t>
            </w:r>
          </w:p>
          <w:p>
            <w:pPr>
              <w:pStyle w:val="TableParagraph"/>
              <w:ind w:start="828" w:end="321"/>
            </w:pPr>
            <w:r>
              <w:t xml:space="preserve">&lt;14 ans était significativement plus faible au début du </w:t>
            </w:r>
            <w:r>
              <w:t xml:space="preserve">traitement par l'hormone d'affirmation du genre qu'au début du traitement par </w:t>
            </w:r>
            <w:r>
              <w:t xml:space="preserve">les analogues de la</w:t>
            </w:r>
            <w:r>
              <w:t xml:space="preserve"> GnRH </w:t>
            </w:r>
            <w:r>
              <w:t xml:space="preserve">(z-score médian [gamme] : analogue de la GnRH -0,05 </w:t>
            </w:r>
            <w:r>
              <w:t xml:space="preserve">[-0,78 à 2,94], hormone d'affirmation du genre -0,84 [-2,20 à </w:t>
            </w:r>
            <w:r>
              <w:t xml:space="preserve">0,87], p=0,003) et chez les transmaliens dont l'âge osseux était ≥14 ans </w:t>
            </w:r>
            <w:r>
              <w:t xml:space="preserve">(</w:t>
            </w:r>
            <w:r>
              <w:t xml:space="preserve">analogue de la </w:t>
            </w:r>
            <w:r>
              <w:t xml:space="preserve">GnRH </w:t>
            </w:r>
            <w:r>
              <w:t xml:space="preserve">0,27 </w:t>
            </w:r>
            <w:r>
              <w:t xml:space="preserve">[-1,60 </w:t>
            </w:r>
            <w:r>
              <w:t xml:space="preserve">à </w:t>
            </w:r>
            <w:r>
              <w:t xml:space="preserve">1,80], hormone </w:t>
            </w:r>
            <w:r>
              <w:t xml:space="preserve">d'affirmation du genre -0,84 [</w:t>
            </w:r>
            <w:r>
              <w:t xml:space="preserve">-2,20 à </w:t>
            </w:r>
            <w:r>
              <w:t xml:space="preserve">0,87], p=0,003).</w:t>
            </w:r>
          </w:p>
          <w:p>
            <w:pPr>
              <w:pStyle w:val="TableParagraph"/>
              <w:ind w:start="828"/>
            </w:pPr>
            <w:r>
              <w:t xml:space="preserve">hormone </w:t>
            </w:r>
            <w:r>
              <w:t xml:space="preserve">-0,29 </w:t>
            </w:r>
            <w:r>
              <w:t xml:space="preserve">[-2,28 </w:t>
            </w:r>
            <w:r>
              <w:t xml:space="preserve">à </w:t>
            </w:r>
            <w:r>
              <w:t xml:space="preserve">0,90], </w:t>
            </w:r>
            <w:r>
              <w:t xml:space="preserve">p≤0,0001) </w:t>
            </w:r>
            <w:r>
              <w:rPr>
                <w:b/>
              </w:rPr>
              <w:t xml:space="preserve">(TRÈS </w:t>
            </w:r>
            <w:r>
              <w:rPr>
                <w:b/>
              </w:rPr>
              <w:t xml:space="preserve">FAIBLE)</w:t>
            </w:r>
            <w:r>
              <w:t xml:space="preserve">.</w:t>
            </w:r>
          </w:p>
          <w:p>
            <w:pPr>
              <w:pStyle w:val="TableParagraph"/>
              <w:numPr>
                <w:ilvl w:val="0"/>
                <w:numId w:val="158"/>
              </w:numPr>
              <w:tabs>
                <w:tab w:val="left" w:pos="828"/>
                <w:tab w:val="left" w:pos="829"/>
              </w:tabs>
              <w:spacing w:before="2"/>
              <w:ind w:end="400"/>
              <w:rPr>
                <w:sz w:val="20"/>
              </w:rPr>
            </w:pPr>
            <w:r>
              <w:t xml:space="preserve">Les </w:t>
            </w:r>
            <w:r>
              <w:t xml:space="preserve">valeurs réelles de BMAD lombaire en g/cm3 </w:t>
            </w:r>
            <w:r>
              <w:t xml:space="preserve">n'étaient pas statistiquement </w:t>
            </w:r>
            <w:r>
              <w:t xml:space="preserve">significativement différentes entre le début de l'administration des analogues de la GnRH et le </w:t>
            </w:r>
            <w:r>
              <w:t xml:space="preserve">début de l'administration des hormones d'affirmation du genre chez les transfemmes ou les </w:t>
            </w:r>
            <w:r>
              <w:t xml:space="preserve">transmales </w:t>
            </w:r>
            <w:r>
              <w:t xml:space="preserve">ayant un </w:t>
            </w:r>
            <w:r>
              <w:t xml:space="preserve">âge osseux </w:t>
            </w:r>
            <w:r>
              <w:t xml:space="preserve">jeune </w:t>
            </w:r>
            <w:r>
              <w:t xml:space="preserve">ou </w:t>
            </w:r>
            <w:r>
              <w:t xml:space="preserve">avancé </w:t>
            </w:r>
            <w:r>
              <w:rPr>
                <w:b/>
              </w:rPr>
              <w:t xml:space="preserve">(TRÈS </w:t>
            </w:r>
            <w:r>
              <w:rPr>
                <w:b/>
              </w:rPr>
              <w:t xml:space="preserve">FAIBLE)</w:t>
            </w:r>
            <w:r>
              <w:rPr>
                <w:sz w:val="20"/>
              </w:rPr>
              <w:t xml:space="preserve">.</w:t>
            </w:r>
          </w:p>
          <w:p w:rsidR="00432386" w:rsidRDefault="00432386">
            <w:pPr>
              <w:pStyle w:val="TableParagraph"/>
              <w:spacing w:before="7"/>
              <w:rPr>
                <w:b/>
                <w:sz w:val="21"/>
              </w:rPr>
            </w:pPr>
          </w:p>
          <w:p>
            <w:pPr>
              <w:pStyle w:val="TableParagraph"/>
              <w:ind w:start="107" w:end="92"/>
              <w:jc w:val="both"/>
            </w:pPr>
            <w:r>
              <w:t xml:space="preserve">Deux </w:t>
            </w:r>
            <w:r>
              <w:t xml:space="preserve">études </w:t>
            </w:r>
            <w:r>
              <w:t xml:space="preserve">non contrôlées, </w:t>
            </w:r>
            <w:r>
              <w:t xml:space="preserve">observationnelles et </w:t>
            </w:r>
            <w:r>
              <w:t xml:space="preserve">rétrospectives </w:t>
            </w:r>
            <w:r>
              <w:t xml:space="preserve">ont fourni des </w:t>
            </w:r>
            <w:r>
              <w:t xml:space="preserve">preuves de l'effet des analogues de la GnRH sur la densité osseuse (sur la base de la </w:t>
            </w:r>
            <w:r>
              <w:t xml:space="preserve">DMO lombaire) entre le début de l'administration des analogues de la GnRH et le début de </w:t>
            </w:r>
            <w:r>
              <w:t xml:space="preserve">l'administration d'</w:t>
            </w:r>
            <w:r>
              <w:t xml:space="preserve">hormones </w:t>
            </w:r>
            <w:r>
              <w:t xml:space="preserve">d'affirmation du genre à </w:t>
            </w:r>
            <w:r>
              <w:t xml:space="preserve">1 ou 2 </w:t>
            </w:r>
            <w:r>
              <w:t xml:space="preserve">ans </w:t>
            </w:r>
            <w:r>
              <w:t xml:space="preserve">d'intervalle </w:t>
            </w:r>
            <w:r>
              <w:t xml:space="preserve">(</w:t>
            </w:r>
            <w:hyperlink r:id="rId152">
              <w:r>
                <w:rPr>
                  <w:color w:val="0000FF"/>
                  <w:u w:val="single" w:color="0000FF"/>
                </w:rPr>
                <w:t xml:space="preserve">Joseph</w:t>
              </w:r>
              <w:r>
                <w:rPr>
                  <w:color w:val="0000FF"/>
                  <w:u w:val="single" w:color="0000FF"/>
                </w:rPr>
                <w:t xml:space="preserve">et</w:t>
              </w:r>
              <w:r>
                <w:rPr>
                  <w:color w:val="0000FF"/>
                  <w:u w:val="single" w:color="0000FF"/>
                </w:rPr>
                <w:t xml:space="preserve">al.</w:t>
              </w:r>
              <w:r>
                <w:rPr>
                  <w:color w:val="0000FF"/>
                  <w:u w:val="single" w:color="0000FF"/>
                </w:rPr>
                <w:t xml:space="preserve">2019</w:t>
              </w:r>
            </w:hyperlink>
            <w:r>
              <w:t xml:space="preserve">)</w:t>
            </w:r>
            <w:r>
              <w:t xml:space="preserve">, </w:t>
            </w:r>
            <w:r>
              <w:t xml:space="preserve">ou le </w:t>
            </w:r>
            <w:r>
              <w:t xml:space="preserve">début de l'administration d'</w:t>
            </w:r>
            <w:r>
              <w:t xml:space="preserve">hormones d'</w:t>
            </w:r>
            <w:r>
              <w:t xml:space="preserve">affirmation du genre </w:t>
            </w:r>
            <w:r>
              <w:t xml:space="preserve">(</w:t>
            </w:r>
            <w:hyperlink r:id="rId153">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p w:rsidR="00432386" w:rsidRDefault="00432386">
            <w:pPr>
              <w:pStyle w:val="TableParagraph"/>
              <w:rPr>
                <w:b/>
              </w:rPr>
            </w:pPr>
          </w:p>
          <w:p>
            <w:pPr>
              <w:pStyle w:val="TableParagraph"/>
              <w:ind w:start="107" w:end="95"/>
              <w:jc w:val="both"/>
            </w:pPr>
            <w:r>
              <w:t xml:space="preserve">Une </w:t>
            </w:r>
            <w:r>
              <w:t xml:space="preserve">étude </w:t>
            </w:r>
            <w:r>
              <w:t xml:space="preserve">observationnelle </w:t>
            </w:r>
            <w:r>
              <w:t xml:space="preserve">rétrospective </w:t>
            </w:r>
            <w:r>
              <w:t xml:space="preserve">(</w:t>
            </w:r>
            <w:hyperlink r:id="rId154">
              <w:r>
                <w:rPr>
                  <w:color w:val="0000FF"/>
                  <w:u w:val="single" w:color="0000FF"/>
                </w:rPr>
                <w:t xml:space="preserve">Joseph</w:t>
              </w:r>
              <w:r>
                <w:rPr>
                  <w:color w:val="0000FF"/>
                  <w:u w:val="single" w:color="0000FF"/>
                </w:rPr>
                <w:t xml:space="preserve">et</w:t>
              </w:r>
              <w:r>
                <w:rPr>
                  <w:color w:val="0000FF"/>
                  <w:u w:val="single" w:color="0000FF"/>
                </w:rPr>
                <w:t xml:space="preserve">al.</w:t>
              </w:r>
              <w:r>
                <w:rPr>
                  <w:color w:val="0000FF"/>
                  <w:u w:val="single" w:color="0000FF"/>
                </w:rPr>
                <w:t xml:space="preserve">2019</w:t>
              </w:r>
            </w:hyperlink>
            <w:r>
              <w:t xml:space="preserve">, </w:t>
            </w:r>
            <w:r>
              <w:t xml:space="preserve">n=70) a </w:t>
            </w:r>
            <w:r>
              <w:rPr>
                <w:spacing w:val="-1"/>
              </w:rPr>
              <w:t xml:space="preserve">fourni des </w:t>
            </w:r>
            <w:r>
              <w:rPr>
                <w:spacing w:val="-1"/>
              </w:rPr>
              <w:t xml:space="preserve">preuves </w:t>
            </w:r>
            <w:r>
              <w:rPr>
                <w:spacing w:val="-1"/>
              </w:rPr>
              <w:t xml:space="preserve">non comparatives </w:t>
            </w:r>
            <w:r>
              <w:t xml:space="preserve">sur le </w:t>
            </w:r>
            <w:r>
              <w:t xml:space="preserve">changement de </w:t>
            </w:r>
            <w:r>
              <w:t xml:space="preserve">l'</w:t>
            </w:r>
            <w:r>
              <w:t xml:space="preserve">augmentation de la </w:t>
            </w:r>
            <w:r>
              <w:t xml:space="preserve">DMO </w:t>
            </w:r>
            <w:r>
              <w:t xml:space="preserve">lombaire </w:t>
            </w:r>
            <w:r>
              <w:t xml:space="preserve">en utilisant les </w:t>
            </w:r>
            <w:r>
              <w:t xml:space="preserve">scores z.</w:t>
            </w:r>
          </w:p>
          <w:p>
            <w:pPr>
              <w:pStyle w:val="TableParagraph"/>
              <w:numPr>
                <w:ilvl w:val="0"/>
                <w:numId w:val="158"/>
              </w:numPr>
              <w:tabs>
                <w:tab w:val="left" w:pos="829"/>
              </w:tabs>
              <w:spacing w:before="2"/>
              <w:ind w:end="91"/>
              <w:jc w:val="both"/>
            </w:pPr>
            <w:r>
              <w:t xml:space="preserve">Le score z de la DMO lombaire était statistiquement inférieur </w:t>
            </w:r>
            <w:r>
              <w:t xml:space="preserve">à </w:t>
            </w:r>
            <w:r>
              <w:t xml:space="preserve">2 ans par rapport à la ligne de base chez les transfemmes (</w:t>
            </w:r>
            <w:r>
              <w:t xml:space="preserve">moyenne du </w:t>
            </w:r>
            <w:r>
              <w:t xml:space="preserve">score z </w:t>
            </w:r>
            <w:r>
              <w:t xml:space="preserve">[</w:t>
            </w:r>
            <w:r>
              <w:rPr>
                <w:sz w:val="20"/>
              </w:rPr>
              <w:t xml:space="preserve">±SD</w:t>
            </w:r>
            <w:r>
              <w:t xml:space="preserve">] : ligne de base 0,130 [0,972], 2 ans -0,890 [</w:t>
            </w:r>
            <w:r>
              <w:rPr>
                <w:sz w:val="20"/>
              </w:rPr>
              <w:t xml:space="preserve">±1</w:t>
            </w:r>
            <w:r>
              <w:t xml:space="preserve">,075], </w:t>
            </w:r>
            <w:r>
              <w:t xml:space="preserve">p=0,000) </w:t>
            </w:r>
            <w:r>
              <w:t xml:space="preserve">et les </w:t>
            </w:r>
            <w:r>
              <w:t xml:space="preserve">transmales </w:t>
            </w:r>
            <w:r>
              <w:t xml:space="preserve">(ligne de base </w:t>
            </w:r>
            <w:r>
              <w:t xml:space="preserve">-0,715 </w:t>
            </w:r>
            <w:r>
              <w:t xml:space="preserve">[</w:t>
            </w:r>
            <w:r>
              <w:rPr>
                <w:sz w:val="20"/>
              </w:rPr>
              <w:t xml:space="preserve">±1</w:t>
            </w:r>
            <w:r>
              <w:t xml:space="preserve">,406], </w:t>
            </w:r>
            <w:r>
              <w:t xml:space="preserve">2 ans</w:t>
            </w:r>
          </w:p>
          <w:p>
            <w:pPr>
              <w:pStyle w:val="TableParagraph"/>
              <w:spacing w:line="250" w:lineRule="exact"/>
              <w:ind w:start="828"/>
              <w:jc w:val="both"/>
            </w:pPr>
            <w:r>
              <w:t xml:space="preserve">-2,000 </w:t>
            </w:r>
            <w:r>
              <w:t xml:space="preserve">[1,384</w:t>
            </w:r>
            <w:r>
              <w:t xml:space="preserve">], p=0,000) </w:t>
            </w:r>
            <w:r>
              <w:rPr>
                <w:b/>
              </w:rPr>
              <w:t xml:space="preserve">(TRÈS </w:t>
            </w:r>
            <w:r>
              <w:rPr>
                <w:b/>
              </w:rPr>
              <w:t xml:space="preserve">FAIBLE)</w:t>
            </w:r>
            <w:r>
              <w:t xml:space="preserve">.</w:t>
            </w:r>
          </w:p>
          <w:p>
            <w:pPr>
              <w:pStyle w:val="TableParagraph"/>
              <w:numPr>
                <w:ilvl w:val="0"/>
                <w:numId w:val="158"/>
              </w:numPr>
              <w:tabs>
                <w:tab w:val="left" w:pos="829"/>
              </w:tabs>
              <w:spacing w:before="1"/>
              <w:ind w:end="92"/>
              <w:jc w:val="both"/>
            </w:pPr>
            <w:r>
              <w:t xml:space="preserve">Le score z de la DMO lombaire était statistiquement inférieur </w:t>
            </w:r>
            <w:r>
              <w:rPr>
                <w:spacing w:val="-1"/>
              </w:rPr>
              <w:t xml:space="preserve">à </w:t>
            </w:r>
            <w:r>
              <w:rPr>
                <w:spacing w:val="-1"/>
              </w:rPr>
              <w:t xml:space="preserve">1 </w:t>
            </w:r>
            <w:r>
              <w:t xml:space="preserve">an </w:t>
            </w:r>
            <w:r>
              <w:t xml:space="preserve">par rapport </w:t>
            </w:r>
            <w:r>
              <w:t xml:space="preserve">à la </w:t>
            </w:r>
            <w:r>
              <w:t xml:space="preserve">ligne de base </w:t>
            </w:r>
            <w:r>
              <w:t xml:space="preserve">chez les </w:t>
            </w:r>
            <w:r>
              <w:t xml:space="preserve">femmes transfemmes </w:t>
            </w:r>
            <w:r>
              <w:t xml:space="preserve">(</w:t>
            </w:r>
            <w:r>
              <w:t xml:space="preserve">moyenne du </w:t>
            </w:r>
            <w:r>
              <w:t xml:space="preserve">score z </w:t>
            </w:r>
            <w:r>
              <w:t xml:space="preserve">[</w:t>
            </w:r>
            <w:r>
              <w:rPr>
                <w:sz w:val="20"/>
              </w:rPr>
              <w:t xml:space="preserve">±SD</w:t>
            </w:r>
            <w:r>
              <w:t xml:space="preserve">] : </w:t>
            </w:r>
            <w:r>
              <w:t xml:space="preserve">ligne de base </w:t>
            </w:r>
            <w:r>
              <w:t xml:space="preserve">-0,016 </w:t>
            </w:r>
            <w:r>
              <w:t xml:space="preserve">[</w:t>
            </w:r>
            <w:r>
              <w:rPr>
                <w:sz w:val="20"/>
              </w:rPr>
              <w:t xml:space="preserve">±1</w:t>
            </w:r>
            <w:r>
              <w:t xml:space="preserve">,106], </w:t>
            </w:r>
            <w:r>
              <w:t xml:space="preserve">1 </w:t>
            </w:r>
            <w:r>
              <w:t xml:space="preserve">an </w:t>
            </w:r>
            <w:r>
              <w:t xml:space="preserve">-0,461 </w:t>
            </w:r>
            <w:r>
              <w:t xml:space="preserve">[</w:t>
            </w:r>
            <w:r>
              <w:rPr>
                <w:sz w:val="20"/>
              </w:rPr>
              <w:t xml:space="preserve">±1</w:t>
            </w:r>
            <w:r>
              <w:t xml:space="preserve">,121], </w:t>
            </w:r>
            <w:r>
              <w:t xml:space="preserve">p=0,003) </w:t>
            </w:r>
            <w:r>
              <w:t xml:space="preserve">et les </w:t>
            </w:r>
            <w:r>
              <w:t xml:space="preserve">hommes transfemmes </w:t>
            </w:r>
            <w:r>
              <w:t xml:space="preserve">(ligne de base </w:t>
            </w:r>
            <w:r>
              <w:t xml:space="preserve">-0,395 </w:t>
            </w:r>
            <w:r>
              <w:t xml:space="preserve">[</w:t>
            </w:r>
            <w:r>
              <w:rPr>
                <w:sz w:val="20"/>
              </w:rPr>
              <w:t xml:space="preserve">±1</w:t>
            </w:r>
            <w:r>
              <w:t xml:space="preserve">,428], </w:t>
            </w:r>
            <w:r>
              <w:t xml:space="preserve">1 </w:t>
            </w:r>
            <w:r>
              <w:t xml:space="preserve">an</w:t>
            </w:r>
          </w:p>
          <w:p>
            <w:pPr>
              <w:pStyle w:val="TableParagraph"/>
              <w:spacing w:line="250" w:lineRule="exact"/>
              <w:ind w:start="828"/>
              <w:jc w:val="both"/>
            </w:pPr>
            <w:r>
              <w:t xml:space="preserve">-1,276 </w:t>
            </w:r>
            <w:r>
              <w:t xml:space="preserve">[</w:t>
            </w:r>
            <w:r>
              <w:rPr>
                <w:sz w:val="20"/>
              </w:rPr>
              <w:t xml:space="preserve">±1</w:t>
            </w:r>
            <w:r>
              <w:t xml:space="preserve">,410], </w:t>
            </w:r>
            <w:r>
              <w:t xml:space="preserve">p=0,000) </w:t>
            </w:r>
            <w:r>
              <w:rPr>
                <w:b/>
              </w:rPr>
              <w:t xml:space="preserve">(TRÈS </w:t>
            </w:r>
            <w:r>
              <w:rPr>
                <w:b/>
              </w:rPr>
              <w:t xml:space="preserve">FAIBLE)</w:t>
            </w:r>
            <w:r>
              <w:t xml:space="preserve">.</w:t>
            </w:r>
          </w:p>
          <w:p>
            <w:pPr>
              <w:pStyle w:val="TableParagraph"/>
              <w:numPr>
                <w:ilvl w:val="0"/>
                <w:numId w:val="158"/>
              </w:numPr>
              <w:tabs>
                <w:tab w:val="left" w:pos="829"/>
              </w:tabs>
              <w:spacing w:before="1"/>
              <w:ind w:end="93"/>
              <w:jc w:val="both"/>
              <w:rPr>
                <w:sz w:val="20"/>
              </w:rPr>
            </w:pPr>
            <w:r>
              <w:t xml:space="preserve">A l'</w:t>
            </w:r>
            <w:r>
              <w:t xml:space="preserve">exception des transmales, où </w:t>
            </w:r>
            <w:r>
              <w:t xml:space="preserve">la </w:t>
            </w:r>
            <w:r>
              <w:t xml:space="preserve">DMO lombaire en kg/m2 </w:t>
            </w:r>
            <w:r>
              <w:t xml:space="preserve">a augmenté entre la ligne de base et 1 an (moyenne [</w:t>
            </w:r>
            <w:r>
              <w:rPr>
                <w:sz w:val="20"/>
              </w:rPr>
              <w:t xml:space="preserve">±SD</w:t>
            </w:r>
            <w:r>
              <w:t xml:space="preserve">] : ligne de base </w:t>
            </w:r>
            <w:r>
              <w:t xml:space="preserve">0,694 [</w:t>
            </w:r>
            <w:r>
              <w:rPr>
                <w:sz w:val="20"/>
              </w:rPr>
              <w:t xml:space="preserve">±0</w:t>
            </w:r>
            <w:r>
              <w:t xml:space="preserve">,149], 1 an 0,718 [</w:t>
            </w:r>
            <w:r>
              <w:rPr>
                <w:sz w:val="20"/>
              </w:rPr>
              <w:t xml:space="preserve">±0</w:t>
            </w:r>
            <w:r>
              <w:t xml:space="preserve">,124], p=0,006), les valeurs réelles </w:t>
            </w:r>
            <w:r>
              <w:t xml:space="preserve">de la </w:t>
            </w:r>
            <w:r>
              <w:t xml:space="preserve">DMO </w:t>
            </w:r>
            <w:r>
              <w:t xml:space="preserve">lombaire </w:t>
            </w:r>
            <w:r>
              <w:t xml:space="preserve">n'</w:t>
            </w:r>
            <w:r>
              <w:t xml:space="preserve">étaient </w:t>
            </w:r>
            <w:r>
              <w:t xml:space="preserve">pas </w:t>
            </w:r>
            <w:r>
              <w:t xml:space="preserve">statistiquement </w:t>
            </w:r>
            <w:r>
              <w:t xml:space="preserve">significativement </w:t>
            </w:r>
            <w:r>
              <w:t xml:space="preserve">différentes </w:t>
            </w:r>
            <w:r>
              <w:t xml:space="preserve">entre la </w:t>
            </w:r>
            <w:r>
              <w:t xml:space="preserve">ligne de base et 1 ou 2 ans chez les transfemmes ou entre 0 et 2 </w:t>
            </w:r>
            <w:r>
              <w:t xml:space="preserve">ans chez les </w:t>
            </w:r>
            <w:r>
              <w:t xml:space="preserve">transmales </w:t>
            </w:r>
            <w:r>
              <w:rPr>
                <w:b/>
              </w:rPr>
              <w:t xml:space="preserve">(TRÈS FAIBLE)</w:t>
            </w:r>
            <w:r>
              <w:rPr>
                <w:sz w:val="20"/>
              </w:rPr>
              <w:t xml:space="preserve">.</w:t>
            </w:r>
          </w:p>
          <w:p w:rsidR="00432386" w:rsidRDefault="00432386">
            <w:pPr>
              <w:pStyle w:val="TableParagraph"/>
              <w:spacing w:before="11"/>
              <w:rPr>
                <w:b/>
                <w:sz w:val="21"/>
              </w:rPr>
            </w:pPr>
          </w:p>
          <w:p>
            <w:pPr>
              <w:pStyle w:val="TableParagraph"/>
              <w:ind w:start="107" w:end="94"/>
              <w:jc w:val="both"/>
            </w:pPr>
            <w:r>
              <w:rPr>
                <w:spacing w:val="-1"/>
              </w:rPr>
              <w:t xml:space="preserve">Une </w:t>
            </w:r>
            <w:r>
              <w:t xml:space="preserve">étude </w:t>
            </w:r>
            <w:r>
              <w:rPr>
                <w:spacing w:val="-1"/>
              </w:rPr>
              <w:t xml:space="preserve">observationnelle </w:t>
            </w:r>
            <w:r>
              <w:rPr>
                <w:spacing w:val="-1"/>
              </w:rPr>
              <w:t xml:space="preserve">rétrospective </w:t>
            </w:r>
            <w:r>
              <w:t xml:space="preserve">(</w:t>
            </w:r>
            <w:hyperlink r:id="rId155">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n=34) </w:t>
            </w:r>
            <w:r>
              <w:t xml:space="preserve">a fourni des </w:t>
            </w:r>
            <w:r>
              <w:t xml:space="preserve">preuves non comparatives sur le changement de la DMO lombaire entre le début des </w:t>
            </w:r>
            <w:r>
              <w:t xml:space="preserve">analogues de la </w:t>
            </w:r>
            <w:r>
              <w:t xml:space="preserve">GnRH </w:t>
            </w:r>
            <w:r>
              <w:t xml:space="preserve">et le </w:t>
            </w:r>
            <w:r>
              <w:t xml:space="preserve">début des hormones d'affirmation du genre.</w:t>
            </w:r>
          </w:p>
          <w:p>
            <w:pPr>
              <w:pStyle w:val="TableParagraph"/>
              <w:numPr>
                <w:ilvl w:val="0"/>
                <w:numId w:val="158"/>
              </w:numPr>
              <w:tabs>
                <w:tab w:val="left" w:pos="828"/>
                <w:tab w:val="left" w:pos="829"/>
              </w:tabs>
              <w:spacing w:line="252" w:lineRule="exact"/>
              <w:ind w:end="106"/>
            </w:pPr>
            <w:r>
              <w:t xml:space="preserve">Le </w:t>
            </w:r>
            <w:r>
              <w:t xml:space="preserve">z-score de la DMO lombaire n'était pas statistiquement </w:t>
            </w:r>
            <w:r>
              <w:t xml:space="preserve">différent entre le début du </w:t>
            </w:r>
            <w:r>
              <w:t xml:space="preserve">traitement par </w:t>
            </w:r>
            <w:r>
              <w:t xml:space="preserve">un analogue de la GnRH et le début du </w:t>
            </w:r>
            <w:r>
              <w:t xml:space="preserve">traitement par une </w:t>
            </w:r>
            <w:r>
              <w:t xml:space="preserve">hormone </w:t>
            </w:r>
            <w:r>
              <w:t xml:space="preserve">d'affirmation du </w:t>
            </w:r>
            <w:r>
              <w:t xml:space="preserve">genre </w:t>
            </w:r>
            <w:r>
              <w:t xml:space="preserve">chez les </w:t>
            </w:r>
            <w:r>
              <w:t xml:space="preserve">transfemmes, </w:t>
            </w:r>
            <w:r>
              <w:t xml:space="preserve">mais était</w:t>
            </w:r>
          </w:p>
        </w:tc>
      </w:tr>
    </w:tbl>
    <w:p w:rsidR="00432386" w:rsidRDefault="00432386">
      <w:pPr>
        <w:spacing w:line="252"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4567"/>
        </w:trPr>
        <w:tc>
          <w:tcPr>
            <w:tcW w:w="1980" w:type="dxa"/>
          </w:tcPr>
          <w:p w:rsidR="00432386" w:rsidRDefault="00432386">
            <w:pPr>
              <w:pStyle w:val="TableParagraph"/>
              <w:rPr>
                <w:rFonts w:ascii="Times New Roman"/>
              </w:rPr>
            </w:pPr>
          </w:p>
        </w:tc>
        <w:tc>
          <w:tcPr>
            <w:tcW w:w="7089" w:type="dxa"/>
          </w:tcPr>
          <w:p>
            <w:pPr>
              <w:pStyle w:val="TableParagraph"/>
              <w:ind w:start="828" w:end="91"/>
            </w:pPr>
            <w:r>
              <w:t xml:space="preserve">statistiquement significativement plus faible lors de la mise en route des </w:t>
            </w:r>
            <w:r>
              <w:t xml:space="preserve">hormones d'</w:t>
            </w:r>
            <w:r>
              <w:t xml:space="preserve">affirmation du genre </w:t>
            </w:r>
            <w:r>
              <w:t xml:space="preserve">chez les transmaliens (z-score moyen [</w:t>
            </w:r>
            <w:r>
              <w:rPr>
                <w:sz w:val="20"/>
              </w:rPr>
              <w:t xml:space="preserve">±SD</w:t>
            </w:r>
            <w:r>
              <w:t xml:space="preserve">] : analogue de la GnRH </w:t>
            </w:r>
            <w:r>
              <w:t xml:space="preserve">0,17 [</w:t>
            </w:r>
            <w:r>
              <w:rPr>
                <w:sz w:val="20"/>
              </w:rPr>
              <w:t xml:space="preserve">±1</w:t>
            </w:r>
            <w:r>
              <w:t xml:space="preserve">,18], hormone d'affirmation du genre -0,72 [</w:t>
            </w:r>
            <w:r>
              <w:rPr>
                <w:sz w:val="20"/>
              </w:rPr>
              <w:t xml:space="preserve">±0</w:t>
            </w:r>
            <w:r>
              <w:t xml:space="preserve">,99], p&lt;0,001) (</w:t>
            </w:r>
            <w:r>
              <w:rPr>
                <w:b/>
              </w:rPr>
              <w:t xml:space="preserve">TRÈS FAIBLE</w:t>
            </w:r>
            <w:r>
              <w:rPr>
                <w:b/>
              </w:rPr>
              <w:t xml:space="preserve">).</w:t>
            </w:r>
          </w:p>
          <w:p>
            <w:pPr>
              <w:pStyle w:val="TableParagraph"/>
              <w:numPr>
                <w:ilvl w:val="0"/>
                <w:numId w:val="157"/>
              </w:numPr>
              <w:tabs>
                <w:tab w:val="left" w:pos="829"/>
              </w:tabs>
              <w:ind w:end="92"/>
              <w:jc w:val="both"/>
              <w:rPr>
                <w:sz w:val="20"/>
              </w:rPr>
            </w:pPr>
            <w:r>
              <w:t xml:space="preserve">La </w:t>
            </w:r>
            <w:r>
              <w:t xml:space="preserve">DMO lombaire réelle en g/cm2 </w:t>
            </w:r>
            <w:r>
              <w:t xml:space="preserve">n'était pas statistiquement </w:t>
            </w:r>
            <w:r>
              <w:rPr>
                <w:spacing w:val="-1"/>
              </w:rPr>
              <w:t xml:space="preserve">différente </w:t>
            </w:r>
            <w:r>
              <w:rPr>
                <w:spacing w:val="-1"/>
              </w:rPr>
              <w:t xml:space="preserve">entre le </w:t>
            </w:r>
            <w:r>
              <w:rPr>
                <w:spacing w:val="-1"/>
              </w:rPr>
              <w:t xml:space="preserve">début de l'administration des </w:t>
            </w:r>
            <w:r>
              <w:rPr>
                <w:spacing w:val="-1"/>
              </w:rPr>
              <w:t xml:space="preserve">analogues de la </w:t>
            </w:r>
            <w:r>
              <w:rPr>
                <w:spacing w:val="-1"/>
              </w:rPr>
              <w:t xml:space="preserve">GnRH </w:t>
            </w:r>
            <w:r>
              <w:t xml:space="preserve">et le </w:t>
            </w:r>
            <w:r>
              <w:t xml:space="preserve">début de l'administration des </w:t>
            </w:r>
            <w:r>
              <w:t xml:space="preserve">hormones d'</w:t>
            </w:r>
            <w:r>
              <w:t xml:space="preserve">affirmation du </w:t>
            </w:r>
            <w:r>
              <w:t xml:space="preserve">genre </w:t>
            </w:r>
            <w:r>
              <w:t xml:space="preserve">chez les </w:t>
            </w:r>
            <w:r>
              <w:t xml:space="preserve">femmes transfemmes</w:t>
            </w:r>
            <w:r>
              <w:t xml:space="preserve">, mais </w:t>
            </w:r>
            <w:r>
              <w:t xml:space="preserve">elle était </w:t>
            </w:r>
            <w:r>
              <w:t xml:space="preserve">statistiquement </w:t>
            </w:r>
            <w:r>
              <w:t xml:space="preserve">plus faible lors du début de l'administration des hormones d'affirmation du genre chez les </w:t>
            </w:r>
            <w:r>
              <w:t xml:space="preserve">femmes transmaliennes </w:t>
            </w:r>
            <w:r>
              <w:t xml:space="preserve">(moyenne </w:t>
            </w:r>
            <w:r>
              <w:t xml:space="preserve">[</w:t>
            </w:r>
            <w:r>
              <w:rPr>
                <w:sz w:val="20"/>
              </w:rPr>
              <w:t xml:space="preserve">±SD</w:t>
            </w:r>
            <w:r>
              <w:t xml:space="preserve">] : </w:t>
            </w:r>
            <w:r>
              <w:t xml:space="preserve">analogues de la </w:t>
            </w:r>
            <w:r>
              <w:t xml:space="preserve">GnRH </w:t>
            </w:r>
            <w:r>
              <w:t xml:space="preserve">0,95 </w:t>
            </w:r>
            <w:r>
              <w:t xml:space="preserve">[</w:t>
            </w:r>
            <w:r>
              <w:rPr>
                <w:sz w:val="20"/>
              </w:rPr>
              <w:t xml:space="preserve">±0</w:t>
            </w:r>
            <w:r>
              <w:t xml:space="preserve">,12], </w:t>
            </w:r>
            <w:r>
              <w:t xml:space="preserve">hormones d'</w:t>
            </w:r>
            <w:r>
              <w:t xml:space="preserve">affirmation du genre </w:t>
            </w:r>
            <w:r>
              <w:t xml:space="preserve">0,91 </w:t>
            </w:r>
            <w:r>
              <w:t xml:space="preserve">[</w:t>
            </w:r>
            <w:r>
              <w:rPr>
                <w:sz w:val="20"/>
              </w:rPr>
              <w:t xml:space="preserve">±0</w:t>
            </w:r>
            <w:r>
              <w:t xml:space="preserve">,10], </w:t>
            </w:r>
            <w:r>
              <w:t xml:space="preserve">p=0,006) </w:t>
            </w:r>
            <w:r>
              <w:rPr>
                <w:b/>
              </w:rPr>
              <w:t xml:space="preserve">(TRÈS </w:t>
            </w:r>
            <w:r>
              <w:rPr>
                <w:b/>
              </w:rPr>
              <w:t xml:space="preserve">FAIBLE)</w:t>
            </w:r>
            <w:r>
              <w:rPr>
                <w:sz w:val="20"/>
              </w:rPr>
              <w:t xml:space="preserve">.</w:t>
            </w:r>
          </w:p>
          <w:p w:rsidR="00432386" w:rsidRDefault="00432386">
            <w:pPr>
              <w:pStyle w:val="TableParagraph"/>
              <w:spacing w:before="9"/>
              <w:rPr>
                <w:b/>
                <w:sz w:val="21"/>
              </w:rPr>
            </w:pPr>
          </w:p>
          <w:p>
            <w:pPr>
              <w:pStyle w:val="TableParagraph"/>
              <w:spacing w:before="1"/>
              <w:ind w:start="107" w:end="92"/>
              <w:jc w:val="both"/>
              <w:rPr>
                <w:b/>
              </w:rPr>
            </w:pPr>
            <w:r>
              <w:rPr>
                <w:b/>
              </w:rPr>
              <w:t xml:space="preserve">Ces études </w:t>
            </w:r>
            <w:r>
              <w:rPr>
                <w:b/>
              </w:rPr>
              <w:t xml:space="preserve">fournissent des </w:t>
            </w:r>
            <w:r>
              <w:rPr>
                <w:b/>
              </w:rPr>
              <w:t xml:space="preserve">preuves de </w:t>
            </w:r>
            <w:r>
              <w:rPr>
                <w:b/>
              </w:rPr>
              <w:t xml:space="preserve">certitude très faible </w:t>
            </w:r>
            <w:r>
              <w:rPr>
                <w:b/>
              </w:rPr>
              <w:t xml:space="preserve">que les </w:t>
            </w:r>
            <w:r>
              <w:rPr>
                <w:b/>
              </w:rPr>
              <w:t xml:space="preserve">analogues de la </w:t>
            </w:r>
            <w:r>
              <w:rPr>
                <w:b/>
              </w:rPr>
              <w:t xml:space="preserve">GnRH </w:t>
            </w:r>
            <w:r>
              <w:rPr>
                <w:b/>
              </w:rPr>
              <w:t xml:space="preserve">réduisent l'augmentation attendue de la densité osseuse lombaire </w:t>
            </w:r>
            <w:r>
              <w:rPr>
                <w:b/>
              </w:rPr>
              <w:t xml:space="preserve">(BMAD ou BMD) par rapport à la ligne de base (bien que certains résultats </w:t>
            </w:r>
            <w:r>
              <w:rPr>
                <w:b/>
              </w:rPr>
              <w:t xml:space="preserve">ne soient pas statistiquement significatifs). Ces études montrent également que les </w:t>
            </w:r>
            <w:r>
              <w:rPr>
                <w:b/>
              </w:rPr>
              <w:t xml:space="preserve">analogues de la </w:t>
            </w:r>
            <w:r>
              <w:rPr>
                <w:b/>
              </w:rPr>
              <w:t xml:space="preserve">GnRH </w:t>
            </w:r>
            <w:r>
              <w:rPr>
                <w:b/>
              </w:rPr>
              <w:t xml:space="preserve">ne </w:t>
            </w:r>
            <w:r>
              <w:rPr>
                <w:b/>
              </w:rPr>
              <w:t xml:space="preserve">diminuent </w:t>
            </w:r>
            <w:r>
              <w:rPr>
                <w:b/>
              </w:rPr>
              <w:t xml:space="preserve">pas de </w:t>
            </w:r>
            <w:r>
              <w:rPr>
                <w:b/>
              </w:rPr>
              <w:t xml:space="preserve">façon </w:t>
            </w:r>
            <w:r>
              <w:rPr>
                <w:b/>
              </w:rPr>
              <w:t xml:space="preserve">statistiquement </w:t>
            </w:r>
            <w:r>
              <w:rPr>
                <w:b/>
              </w:rPr>
              <w:t xml:space="preserve">significative </w:t>
            </w:r>
            <w:r>
              <w:rPr>
                <w:b/>
              </w:rPr>
              <w:t xml:space="preserve">l</w:t>
            </w:r>
          </w:p>
          <w:p>
            <w:pPr>
              <w:pStyle w:val="TableParagraph"/>
              <w:spacing w:line="232" w:lineRule="exact"/>
              <w:ind w:start="107"/>
              <w:jc w:val="both"/>
              <w:rPr>
                <w:b/>
              </w:rPr>
            </w:pPr>
            <w:r>
              <w:rPr>
                <w:b/>
              </w:rPr>
              <w:t xml:space="preserve">densité </w:t>
            </w:r>
            <w:r>
              <w:rPr>
                <w:b/>
              </w:rPr>
              <w:t xml:space="preserve">osseuse </w:t>
            </w:r>
            <w:r>
              <w:rPr>
                <w:b/>
              </w:rPr>
              <w:t xml:space="preserve">lombaire </w:t>
            </w:r>
            <w:r>
              <w:rPr>
                <w:b/>
              </w:rPr>
              <w:t xml:space="preserve">(BMAD </w:t>
            </w:r>
            <w:r>
              <w:rPr>
                <w:b/>
              </w:rPr>
              <w:t xml:space="preserve">ou </w:t>
            </w:r>
            <w:r>
              <w:rPr>
                <w:b/>
              </w:rPr>
              <w:t xml:space="preserve">BMD).</w:t>
            </w:r>
          </w:p>
        </w:tc>
      </w:tr>
      <w:tr w:rsidR="00432386">
        <w:trPr>
          <w:trHeight w:val="9406"/>
        </w:trPr>
        <w:tc>
          <w:tcPr>
            <w:tcW w:w="1980" w:type="dxa"/>
          </w:tcPr>
          <w:p>
            <w:pPr>
              <w:pStyle w:val="TableParagraph"/>
              <w:spacing w:before="2"/>
              <w:ind w:start="107" w:end="150"/>
              <w:rPr>
                <w:b/>
              </w:rPr>
            </w:pPr>
            <w:r>
              <w:rPr>
                <w:b/>
              </w:rPr>
              <w:t xml:space="preserve">Modification de </w:t>
            </w:r>
            <w:r>
              <w:rPr>
                <w:b/>
              </w:rPr>
              <w:t xml:space="preserve">la </w:t>
            </w:r>
            <w:r>
              <w:rPr>
                <w:b/>
              </w:rPr>
              <w:t xml:space="preserve">densité </w:t>
            </w:r>
            <w:r>
              <w:rPr>
                <w:b/>
              </w:rPr>
              <w:t xml:space="preserve">osseuse </w:t>
            </w:r>
            <w:r>
              <w:rPr>
                <w:b/>
              </w:rPr>
              <w:t xml:space="preserve">: </w:t>
            </w:r>
            <w:r>
              <w:rPr>
                <w:b/>
              </w:rPr>
              <w:t xml:space="preserve">fémorale</w:t>
            </w:r>
          </w:p>
          <w:p w:rsidR="00432386" w:rsidRDefault="00432386">
            <w:pPr>
              <w:pStyle w:val="TableParagraph"/>
              <w:spacing w:before="11"/>
              <w:rPr>
                <w:b/>
                <w:sz w:val="21"/>
              </w:rPr>
            </w:pPr>
          </w:p>
          <w:p>
            <w:pPr>
              <w:pStyle w:val="TableParagraph"/>
              <w:ind w:start="107" w:end="314"/>
              <w:rPr>
                <w:b/>
              </w:rPr>
            </w:pPr>
            <w:r>
              <w:rPr>
                <w:b/>
              </w:rPr>
              <w:t xml:space="preserve">Certitude de la </w:t>
            </w:r>
            <w:r>
              <w:rPr>
                <w:b/>
              </w:rPr>
              <w:t xml:space="preserve">preuve : très </w:t>
            </w:r>
            <w:r>
              <w:rPr>
                <w:b/>
              </w:rPr>
              <w:t xml:space="preserve">faible</w:t>
            </w:r>
          </w:p>
        </w:tc>
        <w:tc>
          <w:tcPr>
            <w:tcW w:w="7089" w:type="dxa"/>
          </w:tcPr>
          <w:p>
            <w:pPr>
              <w:pStyle w:val="TableParagraph"/>
              <w:spacing w:before="2"/>
              <w:ind w:start="107" w:end="94"/>
              <w:jc w:val="both"/>
            </w:pPr>
            <w:r>
              <w:t xml:space="preserve">Il s'agit d'un résultat important car la puberté est une période importante pour le </w:t>
            </w:r>
            <w:r>
              <w:t xml:space="preserve">développement </w:t>
            </w:r>
            <w:r>
              <w:t xml:space="preserve">osseux </w:t>
            </w:r>
            <w:r>
              <w:t xml:space="preserve">et la </w:t>
            </w:r>
            <w:r>
              <w:t xml:space="preserve">suppression de la </w:t>
            </w:r>
            <w:r>
              <w:t xml:space="preserve">puberté </w:t>
            </w:r>
            <w:r>
              <w:t xml:space="preserve">peut </w:t>
            </w:r>
            <w:r>
              <w:t xml:space="preserve">affecter le </w:t>
            </w:r>
            <w:r>
              <w:t xml:space="preserve">développement </w:t>
            </w:r>
            <w:r>
              <w:t xml:space="preserve">osseux</w:t>
            </w:r>
            <w:r>
              <w:t xml:space="preserve">, </w:t>
            </w:r>
            <w:r>
              <w:t xml:space="preserve">comme le </w:t>
            </w:r>
            <w:r>
              <w:t xml:space="preserve">montrent </w:t>
            </w:r>
            <w:r>
              <w:t xml:space="preserve">les </w:t>
            </w:r>
            <w:r>
              <w:t xml:space="preserve">modifications de </w:t>
            </w:r>
            <w:r>
              <w:t xml:space="preserve">la </w:t>
            </w:r>
            <w:r>
              <w:t xml:space="preserve">densité </w:t>
            </w:r>
            <w:r>
              <w:t xml:space="preserve">osseuse </w:t>
            </w:r>
            <w:r>
              <w:t xml:space="preserve">fémorale</w:t>
            </w:r>
            <w:r>
              <w:t xml:space="preserve">.</w:t>
            </w:r>
          </w:p>
          <w:p w:rsidR="00432386" w:rsidRDefault="00432386">
            <w:pPr>
              <w:pStyle w:val="TableParagraph"/>
              <w:spacing w:before="10"/>
              <w:rPr>
                <w:b/>
                <w:sz w:val="21"/>
              </w:rPr>
            </w:pPr>
          </w:p>
          <w:p>
            <w:pPr>
              <w:pStyle w:val="TableParagraph"/>
              <w:ind w:start="107" w:end="93"/>
              <w:jc w:val="both"/>
            </w:pPr>
            <w:r>
              <w:t xml:space="preserve">Deux </w:t>
            </w:r>
            <w:r>
              <w:t xml:space="preserve">études </w:t>
            </w:r>
            <w:r>
              <w:t xml:space="preserve">non contrôlées, </w:t>
            </w:r>
            <w:r>
              <w:t xml:space="preserve">observationnelles et </w:t>
            </w:r>
            <w:r>
              <w:t xml:space="preserve">rétrospectives </w:t>
            </w:r>
            <w:r>
              <w:t xml:space="preserve">ont fourni des </w:t>
            </w:r>
            <w:r>
              <w:t xml:space="preserve">preuves concernant l'effet des analogues de la GnRH sur la densité osseuse </w:t>
            </w:r>
            <w:r>
              <w:t xml:space="preserve">(basée sur la DMOF fémorale) entre le début du traitement avec un </w:t>
            </w:r>
            <w:r>
              <w:t xml:space="preserve">analogue de la </w:t>
            </w:r>
            <w:r>
              <w:t xml:space="preserve">GnRH </w:t>
            </w:r>
            <w:r>
              <w:t xml:space="preserve">et le </w:t>
            </w:r>
            <w:r>
              <w:t xml:space="preserve">début des </w:t>
            </w:r>
            <w:r>
              <w:t xml:space="preserve">hormones </w:t>
            </w:r>
            <w:r>
              <w:t xml:space="preserve">d'affirmation du genre </w:t>
            </w:r>
            <w:r>
              <w:t xml:space="preserve">(</w:t>
            </w:r>
            <w:hyperlink r:id="rId156">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 </w:t>
              </w:r>
            </w:hyperlink>
            <w:r>
              <w:t xml:space="preserve">et </w:t>
            </w:r>
            <w:hyperlink r:id="rId157">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p w:rsidR="00432386" w:rsidRDefault="00432386">
            <w:pPr>
              <w:pStyle w:val="TableParagraph"/>
              <w:rPr>
                <w:b/>
              </w:rPr>
            </w:pPr>
          </w:p>
          <w:p>
            <w:pPr>
              <w:pStyle w:val="TableParagraph"/>
              <w:ind w:start="107" w:end="94"/>
              <w:jc w:val="both"/>
            </w:pPr>
            <w:r>
              <w:rPr>
                <w:spacing w:val="-1"/>
              </w:rPr>
              <w:t xml:space="preserve">Une </w:t>
            </w:r>
            <w:r>
              <w:t xml:space="preserve">étude </w:t>
            </w:r>
            <w:r>
              <w:rPr>
                <w:spacing w:val="-1"/>
              </w:rPr>
              <w:t xml:space="preserve">observationnelle </w:t>
            </w:r>
            <w:r>
              <w:rPr>
                <w:spacing w:val="-1"/>
              </w:rPr>
              <w:t xml:space="preserve">rétrospective </w:t>
            </w:r>
            <w:r>
              <w:t xml:space="preserve">(</w:t>
            </w:r>
            <w:hyperlink r:id="rId158">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n=34) a </w:t>
            </w:r>
            <w:r>
              <w:t xml:space="preserve">fourni des </w:t>
            </w:r>
            <w:r>
              <w:t xml:space="preserve">preuves non comparatives sur le changement de la surface fémorale BMAD entre le </w:t>
            </w:r>
            <w:r>
              <w:t xml:space="preserve">début des analogues de la GnRH et le début des hormones d'affirmation du genre. 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w:t>
            </w:r>
          </w:p>
          <w:p>
            <w:pPr>
              <w:pStyle w:val="TableParagraph"/>
              <w:numPr>
                <w:ilvl w:val="0"/>
                <w:numId w:val="156"/>
              </w:numPr>
              <w:tabs>
                <w:tab w:val="left" w:pos="828"/>
                <w:tab w:val="left" w:pos="829"/>
              </w:tabs>
              <w:spacing w:before="1"/>
              <w:ind w:end="401"/>
            </w:pPr>
            <w:r>
              <w:t xml:space="preserve">Le z-score de la surface fémorale BMAD n'était pas statistiquement </w:t>
            </w:r>
            <w:r>
              <w:t xml:space="preserve">différent entre le début de l'administration des analogues de la GnRH et le </w:t>
            </w:r>
            <w:r>
              <w:t xml:space="preserve">début de l'administration des hormones d'affirmation du genre chez les transfemmes ou les </w:t>
            </w:r>
            <w:r>
              <w:t xml:space="preserve">transmales </w:t>
            </w:r>
            <w:r>
              <w:rPr>
                <w:b/>
              </w:rPr>
              <w:t xml:space="preserve">(TRÈS FAIBLE)</w:t>
            </w:r>
            <w:r>
              <w:t xml:space="preserve">.</w:t>
            </w:r>
          </w:p>
          <w:p>
            <w:pPr>
              <w:pStyle w:val="TableParagraph"/>
              <w:numPr>
                <w:ilvl w:val="0"/>
                <w:numId w:val="156"/>
              </w:numPr>
              <w:tabs>
                <w:tab w:val="left" w:pos="829"/>
              </w:tabs>
              <w:ind w:end="96"/>
              <w:jc w:val="both"/>
              <w:rPr>
                <w:sz w:val="20"/>
              </w:rPr>
            </w:pPr>
            <w:r>
              <w:t xml:space="preserve">Les </w:t>
            </w:r>
            <w:r>
              <w:t xml:space="preserve">valeurs </w:t>
            </w:r>
            <w:r>
              <w:t xml:space="preserve">réelles </w:t>
            </w:r>
            <w:r>
              <w:t xml:space="preserve">de </w:t>
            </w:r>
            <w:r>
              <w:t xml:space="preserve">BMAD de </w:t>
            </w:r>
            <w:r>
              <w:t xml:space="preserve">la zone </w:t>
            </w:r>
            <w:r>
              <w:t xml:space="preserve">fémorale </w:t>
            </w:r>
            <w:r>
              <w:t xml:space="preserve">n'</w:t>
            </w:r>
            <w:r>
              <w:t xml:space="preserve">étaient </w:t>
            </w:r>
            <w:r>
              <w:t xml:space="preserve">pas </w:t>
            </w:r>
            <w:r>
              <w:t xml:space="preserve">statistiquement </w:t>
            </w:r>
            <w:r>
              <w:t xml:space="preserve">significativement différentes entre le début de l'administration des analogues de la GnRH et le </w:t>
            </w:r>
            <w:r>
              <w:t xml:space="preserve">début de l'administration des </w:t>
            </w:r>
            <w:r>
              <w:t xml:space="preserve">hormones </w:t>
            </w:r>
            <w:r>
              <w:t xml:space="preserve">d'affirmation du genre </w:t>
            </w:r>
            <w:r>
              <w:t xml:space="preserve">chez les </w:t>
            </w:r>
            <w:r>
              <w:t xml:space="preserve">transmales </w:t>
            </w:r>
            <w:r>
              <w:t xml:space="preserve">ou les </w:t>
            </w:r>
            <w:r>
              <w:t xml:space="preserve">transfemales </w:t>
            </w:r>
            <w:r>
              <w:rPr>
                <w:b/>
              </w:rPr>
              <w:t xml:space="preserve">(TRÈS FAIBLE)</w:t>
            </w:r>
            <w:r>
              <w:rPr>
                <w:sz w:val="20"/>
              </w:rPr>
              <w:t xml:space="preserve">.</w:t>
            </w:r>
          </w:p>
          <w:p w:rsidR="00432386" w:rsidRDefault="00432386">
            <w:pPr>
              <w:pStyle w:val="TableParagraph"/>
              <w:spacing w:before="8"/>
              <w:rPr>
                <w:b/>
                <w:sz w:val="21"/>
              </w:rPr>
            </w:pPr>
          </w:p>
          <w:p>
            <w:pPr>
              <w:pStyle w:val="TableParagraph"/>
              <w:spacing w:before="1"/>
              <w:ind w:start="107" w:end="93"/>
              <w:jc w:val="both"/>
            </w:pPr>
            <w:r>
              <w:t xml:space="preserve">Une </w:t>
            </w:r>
            <w:r>
              <w:t xml:space="preserve">étude </w:t>
            </w:r>
            <w:r>
              <w:t xml:space="preserve">observationnelle </w:t>
            </w:r>
            <w:r>
              <w:t xml:space="preserve">rétrospective </w:t>
            </w:r>
            <w:r>
              <w:t xml:space="preserve">(</w:t>
            </w:r>
            <w:hyperlink r:id="rId159">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n=70) a </w:t>
            </w:r>
            <w:r>
              <w:t xml:space="preserve">fourni des </w:t>
            </w:r>
            <w:r>
              <w:t xml:space="preserve">preuves non comparatives sur le changement de la DMOA du col du fémur (hanche) </w:t>
            </w:r>
            <w:r>
              <w:t xml:space="preserve">entre le </w:t>
            </w:r>
            <w:r>
              <w:t xml:space="preserve">début de l'administration des </w:t>
            </w:r>
            <w:r>
              <w:t xml:space="preserve">analogues de la </w:t>
            </w:r>
            <w:r>
              <w:t xml:space="preserve">GnRH </w:t>
            </w:r>
            <w:r>
              <w:t xml:space="preserve">et le </w:t>
            </w:r>
            <w:r>
              <w:t xml:space="preserve">début de l'administration des </w:t>
            </w:r>
            <w:r>
              <w:t xml:space="preserve">hormones </w:t>
            </w:r>
            <w:r>
              <w:t xml:space="preserve">d'affirmation du genre</w:t>
            </w:r>
            <w:r>
              <w:t xml:space="preserve">. </w:t>
            </w:r>
            <w:r>
              <w:t xml:space="preserve">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 ; </w:t>
            </w:r>
            <w:r>
              <w:t xml:space="preserve">voir également le </w:t>
            </w:r>
            <w:r>
              <w:t xml:space="preserve">tableau des </w:t>
            </w:r>
            <w:r>
              <w:t xml:space="preserve">sous-groupes </w:t>
            </w:r>
            <w:r>
              <w:t xml:space="preserve">ci-dessous.</w:t>
            </w:r>
          </w:p>
          <w:p>
            <w:pPr>
              <w:pStyle w:val="TableParagraph"/>
              <w:numPr>
                <w:ilvl w:val="0"/>
                <w:numId w:val="156"/>
              </w:numPr>
              <w:tabs>
                <w:tab w:val="left" w:pos="828"/>
                <w:tab w:val="left" w:pos="829"/>
              </w:tabs>
              <w:ind w:end="321"/>
            </w:pPr>
            <w:r>
              <w:t xml:space="preserve">Le z-score pour la DMOA du col fémoral chez les transfemmes ayant un </w:t>
            </w:r>
            <w:r>
              <w:t xml:space="preserve">âge osseux &lt;15 ans n'était pas statistiquement significativement plus faible au </w:t>
            </w:r>
            <w:r>
              <w:t xml:space="preserve">début de l'administration des hormones d'affirmation du genre qu'au début de l'administration des </w:t>
            </w:r>
            <w:r>
              <w:t xml:space="preserve">analogues de la</w:t>
            </w:r>
            <w:r>
              <w:t xml:space="preserve"> GnRH </w:t>
            </w:r>
            <w:r>
              <w:t xml:space="preserve">(z-score médian [intervalle] : </w:t>
            </w:r>
            <w:r>
              <w:t xml:space="preserve">Analogue de la</w:t>
            </w:r>
            <w:r>
              <w:t xml:space="preserve"> GnRH </w:t>
            </w:r>
            <w:r>
              <w:t xml:space="preserve">-0,71 </w:t>
            </w:r>
            <w:r>
              <w:t xml:space="preserve">[-3,35 à 0,37], hormone d'affirmation du genre -1,32 [-3,39 à </w:t>
            </w:r>
            <w:r>
              <w:t xml:space="preserve">0,21], p≤0,1) ou chez les transfemmes avec un âge osseux ≥15 ans </w:t>
            </w:r>
            <w:r>
              <w:t xml:space="preserve">(</w:t>
            </w:r>
            <w:r>
              <w:t xml:space="preserve">analogue de la </w:t>
            </w:r>
            <w:r>
              <w:t xml:space="preserve">GnRH </w:t>
            </w:r>
            <w:r>
              <w:t xml:space="preserve">-0,44 </w:t>
            </w:r>
            <w:r>
              <w:t xml:space="preserve">[-1,37 </w:t>
            </w:r>
            <w:r>
              <w:t xml:space="preserve">à </w:t>
            </w:r>
            <w:r>
              <w:t xml:space="preserve">0,93], hormone d'affirmation du genre.</w:t>
            </w:r>
          </w:p>
          <w:p>
            <w:pPr>
              <w:pStyle w:val="TableParagraph"/>
              <w:spacing w:line="230" w:lineRule="exact"/>
              <w:ind w:start="828"/>
            </w:pPr>
            <w:r>
              <w:t xml:space="preserve">hormone </w:t>
            </w:r>
            <w:r>
              <w:t xml:space="preserve">-0.36 </w:t>
            </w:r>
            <w:r>
              <w:t xml:space="preserve">[-1.50 </w:t>
            </w:r>
            <w:r>
              <w:t xml:space="preserve">à </w:t>
            </w:r>
            <w:r>
              <w:t xml:space="preserve">0.46]) </w:t>
            </w:r>
            <w:r>
              <w:rPr>
                <w:b/>
              </w:rPr>
              <w:t xml:space="preserve">(TRÈS </w:t>
            </w:r>
            <w:r>
              <w:rPr>
                <w:b/>
              </w:rPr>
              <w:t xml:space="preserve">FAIBLE)</w:t>
            </w:r>
            <w:r>
              <w:t xml:space="preserve">.</w:t>
            </w:r>
          </w:p>
        </w:tc>
      </w:tr>
    </w:tbl>
    <w:p w:rsidR="00432386" w:rsidRDefault="00432386">
      <w:pPr>
        <w:spacing w:line="230"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13995"/>
        </w:trPr>
        <w:tc>
          <w:tcPr>
            <w:tcW w:w="1980" w:type="dxa"/>
          </w:tcPr>
          <w:p w:rsidR="00432386" w:rsidRDefault="00432386">
            <w:pPr>
              <w:pStyle w:val="TableParagraph"/>
              <w:rPr>
                <w:rFonts w:ascii="Times New Roman"/>
              </w:rPr>
            </w:pPr>
          </w:p>
        </w:tc>
        <w:tc>
          <w:tcPr>
            <w:tcW w:w="7089" w:type="dxa"/>
          </w:tcPr>
          <w:p>
            <w:pPr>
              <w:pStyle w:val="TableParagraph"/>
              <w:numPr>
                <w:ilvl w:val="0"/>
                <w:numId w:val="155"/>
              </w:numPr>
              <w:tabs>
                <w:tab w:val="left" w:pos="828"/>
                <w:tab w:val="left" w:pos="829"/>
              </w:tabs>
              <w:ind w:end="133"/>
            </w:pPr>
            <w:r>
              <w:t xml:space="preserve">Le </w:t>
            </w:r>
            <w:r>
              <w:t xml:space="preserve">z-score pour le BMAD du col fémoral chez les transmaliens dont l'</w:t>
            </w:r>
            <w:r>
              <w:t xml:space="preserve">âge </w:t>
            </w:r>
            <w:r>
              <w:t xml:space="preserve">osseux était </w:t>
            </w:r>
            <w:r>
              <w:t xml:space="preserve">&lt;14 ans n'était pas significativement plus bas au </w:t>
            </w:r>
            <w:r>
              <w:t xml:space="preserve">début de l'utilisation des hormones d'affirmation du genre qu'au début de l'utilisation des </w:t>
            </w:r>
            <w:r>
              <w:t xml:space="preserve">analogues de la</w:t>
            </w:r>
            <w:r>
              <w:t xml:space="preserve"> GnRH </w:t>
            </w:r>
            <w:r>
              <w:t xml:space="preserve">(z-score médian [gamme] : Analogue de la GnRH -0,01 </w:t>
            </w:r>
            <w:r>
              <w:t xml:space="preserve">[-1,30 à 0,91], </w:t>
            </w:r>
            <w:r>
              <w:t xml:space="preserve">hormone d'affirmation du genre -0,37 [-2,28 à </w:t>
            </w:r>
            <w:r>
              <w:t xml:space="preserve">0,47]) mais était statistiquement significativement plus faible chez les transmaliens ayant un </w:t>
            </w:r>
            <w:r>
              <w:t xml:space="preserve">âge osseux ≥14 ans (analogue de la GnRH 0,27 [-1,39 à 1,32], </w:t>
            </w:r>
            <w:r>
              <w:t xml:space="preserve">hormone d'affirmation du genre -0,27 [-1,91 à 1,29], p=0,002) </w:t>
            </w:r>
            <w:r>
              <w:rPr>
                <w:b/>
              </w:rPr>
              <w:t xml:space="preserve">(TRÈS </w:t>
            </w:r>
            <w:r>
              <w:rPr>
                <w:b/>
              </w:rPr>
              <w:t xml:space="preserve">FAIBLE)</w:t>
            </w:r>
            <w:r>
              <w:t xml:space="preserve">.</w:t>
            </w:r>
          </w:p>
          <w:p>
            <w:pPr>
              <w:pStyle w:val="TableParagraph"/>
              <w:numPr>
                <w:ilvl w:val="0"/>
                <w:numId w:val="155"/>
              </w:numPr>
              <w:tabs>
                <w:tab w:val="left" w:pos="828"/>
                <w:tab w:val="left" w:pos="829"/>
              </w:tabs>
              <w:ind w:end="401"/>
              <w:rPr>
                <w:sz w:val="20"/>
              </w:rPr>
            </w:pPr>
            <w:r>
              <w:t xml:space="preserve">Les valeurs </w:t>
            </w:r>
            <w:r>
              <w:t xml:space="preserve">réelles </w:t>
            </w:r>
            <w:r>
              <w:t xml:space="preserve">de </w:t>
            </w:r>
            <w:r>
              <w:t xml:space="preserve">BMAD du col fémoral </w:t>
            </w:r>
            <w:r>
              <w:t xml:space="preserve">n'étaient pas statistiquement </w:t>
            </w:r>
            <w:r>
              <w:t xml:space="preserve">significativement différentes entre le début de l'administration des analogues de la GnRH et le </w:t>
            </w:r>
            <w:r>
              <w:t xml:space="preserve">début de l'administration des hormones d'affirmation du genre chez les transfemmes ou chez les </w:t>
            </w:r>
            <w:r>
              <w:t xml:space="preserve">transmales ayant un âge osseux jeune, mais étaient statistiquement </w:t>
            </w:r>
            <w:r>
              <w:t xml:space="preserve">significativement plus faibles chez les transmales ayant un âge osseux ≥14 </w:t>
            </w:r>
            <w:r>
              <w:t xml:space="preserve">ans </w:t>
            </w:r>
            <w:r>
              <w:t xml:space="preserve">(analogue de la GnRH 0,33 [0,25 à 0,39], </w:t>
            </w:r>
            <w:r>
              <w:t xml:space="preserve">hormone d'</w:t>
            </w:r>
            <w:r>
              <w:t xml:space="preserve">affirmation du genre </w:t>
            </w:r>
            <w:r>
              <w:t xml:space="preserve">0,30 </w:t>
            </w:r>
            <w:r>
              <w:t xml:space="preserve">[0,23 </w:t>
            </w:r>
            <w:r>
              <w:t xml:space="preserve">à </w:t>
            </w:r>
            <w:r>
              <w:t xml:space="preserve">0,41], </w:t>
            </w:r>
            <w:r>
              <w:t xml:space="preserve">p≤0,01) </w:t>
            </w:r>
            <w:r>
              <w:rPr>
                <w:b/>
              </w:rPr>
              <w:t xml:space="preserve">(TRÈS </w:t>
            </w:r>
            <w:r>
              <w:rPr>
                <w:b/>
              </w:rPr>
              <w:t xml:space="preserve">FAIBLE)</w:t>
            </w:r>
            <w:r>
              <w:rPr>
                <w:sz w:val="20"/>
              </w:rPr>
              <w:t xml:space="preserve">.</w:t>
            </w:r>
          </w:p>
          <w:p w:rsidR="00432386" w:rsidRDefault="00432386">
            <w:pPr>
              <w:pStyle w:val="TableParagraph"/>
              <w:spacing w:before="8"/>
              <w:rPr>
                <w:b/>
                <w:sz w:val="21"/>
              </w:rPr>
            </w:pPr>
          </w:p>
          <w:p>
            <w:pPr>
              <w:pStyle w:val="TableParagraph"/>
              <w:ind w:start="107" w:end="92"/>
              <w:jc w:val="both"/>
            </w:pPr>
            <w:r>
              <w:t xml:space="preserve">Deux </w:t>
            </w:r>
            <w:r>
              <w:t xml:space="preserve">études </w:t>
            </w:r>
            <w:r>
              <w:t xml:space="preserve">non contrôlées, </w:t>
            </w:r>
            <w:r>
              <w:t xml:space="preserve">observationnelles et </w:t>
            </w:r>
            <w:r>
              <w:t xml:space="preserve">rétrospectives </w:t>
            </w:r>
            <w:r>
              <w:t xml:space="preserve">ont fourni des </w:t>
            </w:r>
            <w:r>
              <w:t xml:space="preserve">preuves de l'effet des analogues de la GnRH sur la densité osseuse (sur la base de la </w:t>
            </w:r>
            <w:r>
              <w:t xml:space="preserve">DMO fémorale) entre le début de l'administration des analogues de la GnRH et le début de </w:t>
            </w:r>
            <w:r>
              <w:t xml:space="preserve">l'administration d'</w:t>
            </w:r>
            <w:r>
              <w:t xml:space="preserve">hormones d'</w:t>
            </w:r>
            <w:r>
              <w:t xml:space="preserve">affirmation du genre à </w:t>
            </w:r>
            <w:r>
              <w:t xml:space="preserve">1 ou 2 </w:t>
            </w:r>
            <w:r>
              <w:t xml:space="preserve">ans </w:t>
            </w:r>
            <w:r>
              <w:t xml:space="preserve">d'intervalle </w:t>
            </w:r>
            <w:r>
              <w:t xml:space="preserve">(Joseph </w:t>
            </w:r>
            <w:r>
              <w:t xml:space="preserve">et </w:t>
            </w:r>
            <w:r>
              <w:t xml:space="preserve">al. </w:t>
            </w:r>
            <w:r>
              <w:t xml:space="preserve">2019), </w:t>
            </w:r>
            <w:r>
              <w:t xml:space="preserve">ou le </w:t>
            </w:r>
            <w:r>
              <w:t xml:space="preserve">début de l'administration d'</w:t>
            </w:r>
            <w:r>
              <w:t xml:space="preserve">hormones d'</w:t>
            </w:r>
            <w:r>
              <w:t xml:space="preserve">affirmation du genre </w:t>
            </w:r>
            <w:r>
              <w:t xml:space="preserve">(Klink </w:t>
            </w:r>
            <w:r>
              <w:t xml:space="preserve">et </w:t>
            </w:r>
            <w:r>
              <w:t xml:space="preserve">al. </w:t>
            </w:r>
            <w:r>
              <w:t xml:space="preserve">2015). </w:t>
            </w:r>
            <w:r>
              <w:t xml:space="preserve">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p w:rsidR="00432386" w:rsidRDefault="00432386">
            <w:pPr>
              <w:pStyle w:val="TableParagraph"/>
              <w:spacing w:before="11"/>
              <w:rPr>
                <w:b/>
                <w:sz w:val="19"/>
              </w:rPr>
            </w:pPr>
          </w:p>
          <w:p>
            <w:pPr>
              <w:pStyle w:val="TableParagraph"/>
              <w:ind w:start="107" w:end="95"/>
              <w:jc w:val="both"/>
            </w:pPr>
            <w:r>
              <w:t xml:space="preserve">Une </w:t>
            </w:r>
            <w:r>
              <w:t xml:space="preserve">étude </w:t>
            </w:r>
            <w:r>
              <w:t xml:space="preserve">observationnelle </w:t>
            </w:r>
            <w:r>
              <w:t xml:space="preserve">rétrospective </w:t>
            </w:r>
            <w:r>
              <w:t xml:space="preserve">(</w:t>
            </w:r>
            <w:hyperlink r:id="rId160">
              <w:r>
                <w:rPr>
                  <w:color w:val="0000FF"/>
                  <w:u w:val="single" w:color="0000FF"/>
                </w:rPr>
                <w:t xml:space="preserve">Joseph</w:t>
              </w:r>
              <w:r>
                <w:rPr>
                  <w:color w:val="0000FF"/>
                  <w:u w:val="single" w:color="0000FF"/>
                </w:rPr>
                <w:t xml:space="preserve">et</w:t>
              </w:r>
              <w:r>
                <w:rPr>
                  <w:color w:val="0000FF"/>
                  <w:u w:val="single" w:color="0000FF"/>
                </w:rPr>
                <w:t xml:space="preserve">al.</w:t>
              </w:r>
              <w:r>
                <w:rPr>
                  <w:color w:val="0000FF"/>
                  <w:u w:val="single" w:color="0000FF"/>
                </w:rPr>
                <w:t xml:space="preserve">2019</w:t>
              </w:r>
            </w:hyperlink>
            <w:r>
              <w:t xml:space="preserve">, </w:t>
            </w:r>
            <w:r>
              <w:t xml:space="preserve">n=70) a </w:t>
            </w:r>
            <w:r>
              <w:t xml:space="preserve">fourni des preuves non comparatives sur le changement de l'</w:t>
            </w:r>
            <w:r>
              <w:t xml:space="preserve">augmentation de la </w:t>
            </w:r>
            <w:r>
              <w:t xml:space="preserve">DMO du col du fémur </w:t>
            </w:r>
            <w:r>
              <w:t xml:space="preserve">en utilisant les scores z. Tous les résultats ont été rapportés séparément pour les </w:t>
            </w:r>
            <w:r>
              <w:t xml:space="preserve">transfemmes </w:t>
            </w:r>
            <w:r>
              <w:t xml:space="preserve">et les </w:t>
            </w:r>
            <w:r>
              <w:t xml:space="preserve">transmales.</w:t>
            </w:r>
          </w:p>
          <w:p>
            <w:pPr>
              <w:pStyle w:val="TableParagraph"/>
              <w:numPr>
                <w:ilvl w:val="0"/>
                <w:numId w:val="155"/>
              </w:numPr>
              <w:tabs>
                <w:tab w:val="left" w:pos="829"/>
              </w:tabs>
              <w:spacing w:before="3"/>
              <w:ind w:end="92"/>
              <w:jc w:val="both"/>
            </w:pPr>
            <w:r>
              <w:t xml:space="preserve">Le </w:t>
            </w:r>
            <w:r>
              <w:t xml:space="preserve">z-score de la DMO du col du fémur était significativement </w:t>
            </w:r>
            <w:r>
              <w:t xml:space="preserve">plus bas à 2 ans par rapport à la ligne de base chez les transfemmes (</w:t>
            </w:r>
            <w:r>
              <w:t xml:space="preserve">moyenne du z-score [</w:t>
            </w:r>
            <w:r>
              <w:rPr>
                <w:sz w:val="20"/>
              </w:rPr>
              <w:t xml:space="preserve">±SD</w:t>
            </w:r>
            <w:r>
              <w:t xml:space="preserve">] : ligne de base 0,0450 [</w:t>
            </w:r>
            <w:r>
              <w:rPr>
                <w:sz w:val="20"/>
              </w:rPr>
              <w:t xml:space="preserve">±0</w:t>
            </w:r>
            <w:r>
              <w:t xml:space="preserve">,781], 2 ans -0,600 </w:t>
            </w:r>
            <w:r>
              <w:t xml:space="preserve">[</w:t>
            </w:r>
            <w:r>
              <w:rPr>
                <w:sz w:val="20"/>
              </w:rPr>
              <w:t xml:space="preserve">±1</w:t>
            </w:r>
            <w:r>
              <w:t xml:space="preserve">,059], p=0,002) </w:t>
            </w:r>
            <w:r>
              <w:t xml:space="preserve">et les transmales (ligne de base -1,075 </w:t>
            </w:r>
            <w:r>
              <w:t xml:space="preserve">[</w:t>
            </w:r>
            <w:r>
              <w:rPr>
                <w:sz w:val="20"/>
              </w:rPr>
              <w:t xml:space="preserve">±1</w:t>
            </w:r>
            <w:r>
              <w:t xml:space="preserve">,145], </w:t>
            </w:r>
            <w:r>
              <w:t xml:space="preserve">2 </w:t>
            </w:r>
            <w:r>
              <w:t xml:space="preserve">ans </w:t>
            </w:r>
            <w:r>
              <w:t xml:space="preserve">-1,779 </w:t>
            </w:r>
            <w:r>
              <w:t xml:space="preserve">[</w:t>
            </w:r>
            <w:r>
              <w:rPr>
                <w:sz w:val="20"/>
              </w:rPr>
              <w:t xml:space="preserve">±0</w:t>
            </w:r>
            <w:r>
              <w:t xml:space="preserve">,816], </w:t>
            </w:r>
            <w:r>
              <w:t xml:space="preserve">p=0,001) </w:t>
            </w:r>
            <w:r>
              <w:rPr>
                <w:b/>
              </w:rPr>
              <w:t xml:space="preserve">(TRÈS </w:t>
            </w:r>
            <w:r>
              <w:rPr>
                <w:b/>
              </w:rPr>
              <w:t xml:space="preserve">FAIBLE)</w:t>
            </w:r>
            <w:r>
              <w:t xml:space="preserve">.</w:t>
            </w:r>
          </w:p>
          <w:p>
            <w:pPr>
              <w:pStyle w:val="TableParagraph"/>
              <w:numPr>
                <w:ilvl w:val="0"/>
                <w:numId w:val="155"/>
              </w:numPr>
              <w:tabs>
                <w:tab w:val="left" w:pos="829"/>
              </w:tabs>
              <w:ind w:end="94"/>
              <w:jc w:val="both"/>
            </w:pPr>
            <w:r>
              <w:t xml:space="preserve">Le z-score de la DMO du col du fémur était significativement </w:t>
            </w:r>
            <w:r>
              <w:t xml:space="preserve">plus bas </w:t>
            </w:r>
            <w:r>
              <w:t xml:space="preserve">à </w:t>
            </w:r>
            <w:r>
              <w:t xml:space="preserve">1 </w:t>
            </w:r>
            <w:r>
              <w:t xml:space="preserve">an </w:t>
            </w:r>
            <w:r>
              <w:t xml:space="preserve">par rapport à </w:t>
            </w:r>
            <w:r>
              <w:t xml:space="preserve">la </w:t>
            </w:r>
            <w:r>
              <w:t xml:space="preserve">ligne de base </w:t>
            </w:r>
            <w:r>
              <w:t xml:space="preserve">chez les </w:t>
            </w:r>
            <w:r>
              <w:t xml:space="preserve">transfemmes </w:t>
            </w:r>
            <w:r>
              <w:t xml:space="preserve">(z-score </w:t>
            </w:r>
            <w:r>
              <w:t xml:space="preserve">moyen [</w:t>
            </w:r>
            <w:r>
              <w:rPr>
                <w:sz w:val="20"/>
              </w:rPr>
              <w:t xml:space="preserve">±SD</w:t>
            </w:r>
            <w:r>
              <w:t xml:space="preserve">] : ligne de base 0,157 [</w:t>
            </w:r>
            <w:r>
              <w:rPr>
                <w:sz w:val="20"/>
              </w:rPr>
              <w:t xml:space="preserve">±0</w:t>
            </w:r>
            <w:r>
              <w:t xml:space="preserve">,905], 1 an -0,340 [</w:t>
            </w:r>
            <w:r>
              <w:rPr>
                <w:sz w:val="20"/>
              </w:rPr>
              <w:t xml:space="preserve">±0</w:t>
            </w:r>
            <w:r>
              <w:t xml:space="preserve">,816], </w:t>
            </w:r>
            <w:r>
              <w:t xml:space="preserve">p=0,002) </w:t>
            </w:r>
            <w:r>
              <w:t xml:space="preserve">et les </w:t>
            </w:r>
            <w:r>
              <w:t xml:space="preserve">transmales </w:t>
            </w:r>
            <w:r>
              <w:t xml:space="preserve">(ligne de base </w:t>
            </w:r>
            <w:r>
              <w:t xml:space="preserve">-0,863 </w:t>
            </w:r>
            <w:r>
              <w:t xml:space="preserve">[</w:t>
            </w:r>
            <w:r>
              <w:rPr>
                <w:sz w:val="20"/>
              </w:rPr>
              <w:t xml:space="preserve">±1</w:t>
            </w:r>
            <w:r>
              <w:t xml:space="preserve">,215], </w:t>
            </w:r>
            <w:r>
              <w:t xml:space="preserve">1 </w:t>
            </w:r>
            <w:r>
              <w:t xml:space="preserve">an</w:t>
            </w:r>
          </w:p>
          <w:p>
            <w:pPr>
              <w:pStyle w:val="TableParagraph"/>
              <w:spacing w:line="250" w:lineRule="exact"/>
              <w:ind w:start="828"/>
              <w:jc w:val="both"/>
            </w:pPr>
            <w:r>
              <w:t xml:space="preserve">-1,440 </w:t>
            </w:r>
            <w:r>
              <w:t xml:space="preserve">[</w:t>
            </w:r>
            <w:r>
              <w:rPr>
                <w:sz w:val="20"/>
              </w:rPr>
              <w:t xml:space="preserve">±1</w:t>
            </w:r>
            <w:r>
              <w:t xml:space="preserve">,075], </w:t>
            </w:r>
            <w:r>
              <w:t xml:space="preserve">p=0,000) </w:t>
            </w:r>
            <w:r>
              <w:rPr>
                <w:b/>
              </w:rPr>
              <w:t xml:space="preserve">(TRÈS </w:t>
            </w:r>
            <w:r>
              <w:rPr>
                <w:b/>
              </w:rPr>
              <w:t xml:space="preserve">FAIBLE)</w:t>
            </w:r>
            <w:r>
              <w:t xml:space="preserve">.</w:t>
            </w:r>
          </w:p>
          <w:p>
            <w:pPr>
              <w:pStyle w:val="TableParagraph"/>
              <w:numPr>
                <w:ilvl w:val="0"/>
                <w:numId w:val="155"/>
              </w:numPr>
              <w:tabs>
                <w:tab w:val="left" w:pos="829"/>
              </w:tabs>
              <w:spacing w:before="1" w:line="237" w:lineRule="auto"/>
              <w:ind w:end="97"/>
              <w:jc w:val="both"/>
              <w:rPr>
                <w:sz w:val="20"/>
              </w:rPr>
            </w:pPr>
            <w:r>
              <w:t xml:space="preserve">Les </w:t>
            </w:r>
            <w:r>
              <w:t xml:space="preserve">valeurs réelles de la DMO du col du fémur en kg/m2 </w:t>
            </w:r>
            <w:r>
              <w:t xml:space="preserve">n'étaient pas statistiquement </w:t>
            </w:r>
            <w:r>
              <w:t xml:space="preserve">significativement différentes entre la ligne de base et 1 ou 2 ans chez les </w:t>
            </w:r>
            <w:r>
              <w:t xml:space="preserve">transmales </w:t>
            </w:r>
            <w:r>
              <w:t xml:space="preserve">ou les </w:t>
            </w:r>
            <w:r>
              <w:t xml:space="preserve">transfemales </w:t>
            </w:r>
            <w:r>
              <w:rPr>
                <w:b/>
              </w:rPr>
              <w:t xml:space="preserve">(TRÈS FAIBLE)</w:t>
            </w:r>
            <w:r>
              <w:rPr>
                <w:sz w:val="20"/>
              </w:rPr>
              <w:t xml:space="preserve">.</w:t>
            </w:r>
          </w:p>
          <w:p w:rsidR="00432386" w:rsidRDefault="00432386">
            <w:pPr>
              <w:pStyle w:val="TableParagraph"/>
              <w:spacing w:before="2"/>
              <w:rPr>
                <w:b/>
              </w:rPr>
            </w:pPr>
          </w:p>
          <w:p>
            <w:pPr>
              <w:pStyle w:val="TableParagraph"/>
              <w:ind w:start="107" w:end="94"/>
              <w:jc w:val="both"/>
            </w:pPr>
            <w:r>
              <w:rPr>
                <w:spacing w:val="-1"/>
              </w:rPr>
              <w:t xml:space="preserve">Une </w:t>
            </w:r>
            <w:r>
              <w:t xml:space="preserve">étude </w:t>
            </w:r>
            <w:r>
              <w:rPr>
                <w:spacing w:val="-1"/>
              </w:rPr>
              <w:t xml:space="preserve">observationnelle </w:t>
            </w:r>
            <w:r>
              <w:rPr>
                <w:spacing w:val="-1"/>
              </w:rPr>
              <w:t xml:space="preserve">rétrospective </w:t>
            </w:r>
            <w:r>
              <w:t xml:space="preserve">(</w:t>
            </w:r>
            <w:hyperlink r:id="rId161">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n=34) a </w:t>
            </w:r>
            <w:r>
              <w:t xml:space="preserve">fourni des </w:t>
            </w:r>
            <w:r>
              <w:t xml:space="preserve">preuves non comparatives sur le changement de la DMO de la zone fémorale entre le </w:t>
            </w:r>
            <w:r>
              <w:t xml:space="preserve">début de l'administration des analogues de la GnRH et le début de l'administration des hormones d'affirmation du genre. Tous les </w:t>
            </w:r>
            <w:r>
              <w:t xml:space="preserve">résultats </w:t>
            </w:r>
            <w:r>
              <w:t xml:space="preserve">ont été </w:t>
            </w:r>
            <w:r>
              <w:t xml:space="preserve">rapportés </w:t>
            </w:r>
            <w:r>
              <w:t xml:space="preserve">séparément </w:t>
            </w:r>
            <w:r>
              <w:t xml:space="preserve">pour les </w:t>
            </w:r>
            <w:r>
              <w:t xml:space="preserve">transfemmes </w:t>
            </w:r>
            <w:r>
              <w:t xml:space="preserve">et les </w:t>
            </w:r>
            <w:r>
              <w:t xml:space="preserve">transmales.</w:t>
            </w:r>
          </w:p>
          <w:p>
            <w:pPr>
              <w:pStyle w:val="TableParagraph"/>
              <w:numPr>
                <w:ilvl w:val="0"/>
                <w:numId w:val="155"/>
              </w:numPr>
              <w:tabs>
                <w:tab w:val="left" w:pos="828"/>
                <w:tab w:val="left" w:pos="829"/>
              </w:tabs>
              <w:spacing w:before="1"/>
              <w:ind w:end="141"/>
            </w:pPr>
            <w:r>
              <w:t xml:space="preserve">Le z-score pour la DMO de la zone fémorale n'était pas statistiquement </w:t>
            </w:r>
            <w:r>
              <w:t xml:space="preserve">différent entre le début de l'administration des analogues de la GnRH et le </w:t>
            </w:r>
            <w:r>
              <w:t xml:space="preserve">début de l'administration des hormones d'affirmation du genre chez les transfemmes, mais était </w:t>
            </w:r>
            <w:r>
              <w:t xml:space="preserve">statistiquement plus faible chez les transmales (z-score moyen </w:t>
            </w:r>
            <w:r>
              <w:t xml:space="preserve">[</w:t>
            </w:r>
            <w:r>
              <w:rPr>
                <w:sz w:val="20"/>
              </w:rPr>
              <w:t xml:space="preserve">±SD</w:t>
            </w:r>
            <w:r>
              <w:t xml:space="preserve">] : </w:t>
            </w:r>
            <w:r>
              <w:t xml:space="preserve">analogue de la </w:t>
            </w:r>
            <w:r>
              <w:t xml:space="preserve">GnRH </w:t>
            </w:r>
            <w:r>
              <w:t xml:space="preserve">0,36 </w:t>
            </w:r>
            <w:r>
              <w:t xml:space="preserve">[</w:t>
            </w:r>
            <w:r>
              <w:rPr>
                <w:sz w:val="20"/>
              </w:rPr>
              <w:t xml:space="preserve">±0</w:t>
            </w:r>
            <w:r>
              <w:t xml:space="preserve">,88], </w:t>
            </w:r>
            <w:r>
              <w:t xml:space="preserve">hormone d'</w:t>
            </w:r>
            <w:r>
              <w:t xml:space="preserve">affirmation du genre</w:t>
            </w:r>
          </w:p>
          <w:p>
            <w:pPr>
              <w:pStyle w:val="TableParagraph"/>
              <w:spacing w:line="252" w:lineRule="exact"/>
              <w:ind w:start="828"/>
            </w:pPr>
            <w:r>
              <w:t xml:space="preserve">-0,35 </w:t>
            </w:r>
            <w:r>
              <w:t xml:space="preserve">[</w:t>
            </w:r>
            <w:r>
              <w:rPr>
                <w:sz w:val="20"/>
              </w:rPr>
              <w:t xml:space="preserve">±0</w:t>
            </w:r>
            <w:r>
              <w:t xml:space="preserve">,79], </w:t>
            </w:r>
            <w:r>
              <w:t xml:space="preserve">p=0,001) </w:t>
            </w:r>
            <w:r>
              <w:rPr>
                <w:b/>
              </w:rPr>
              <w:t xml:space="preserve">(TRÈS </w:t>
            </w:r>
            <w:r>
              <w:rPr>
                <w:b/>
              </w:rPr>
              <w:t xml:space="preserve">FAIBLE)</w:t>
            </w:r>
            <w:r>
              <w:t xml:space="preserve">.</w:t>
            </w:r>
          </w:p>
          <w:p>
            <w:pPr>
              <w:pStyle w:val="TableParagraph"/>
              <w:numPr>
                <w:ilvl w:val="0"/>
                <w:numId w:val="155"/>
              </w:numPr>
              <w:tabs>
                <w:tab w:val="left" w:pos="828"/>
                <w:tab w:val="left" w:pos="829"/>
                <w:tab w:val="left" w:pos="3900"/>
              </w:tabs>
              <w:spacing w:before="3" w:line="237" w:lineRule="auto"/>
              <w:ind w:end="96"/>
            </w:pPr>
            <w:r>
              <w:t xml:space="preserve">Les </w:t>
            </w:r>
            <w:r>
              <w:t xml:space="preserve">valeurs </w:t>
            </w:r>
            <w:r>
              <w:t xml:space="preserve">réelles </w:t>
            </w:r>
            <w:r>
              <w:t xml:space="preserve">de la DMO de </w:t>
            </w:r>
            <w:r>
              <w:t xml:space="preserve">la zone </w:t>
            </w:r>
            <w:r>
              <w:t xml:space="preserve">fémorale </w:t>
            </w:r>
            <w:r>
              <w:t xml:space="preserve">n'</w:t>
            </w:r>
            <w:r>
              <w:t xml:space="preserve">étaient </w:t>
            </w:r>
            <w:r>
              <w:t xml:space="preserve">pas </w:t>
            </w:r>
            <w:r>
              <w:t xml:space="preserve">significativement </w:t>
            </w:r>
            <w:r>
              <w:t xml:space="preserve">différentes </w:t>
            </w:r>
            <w:r>
              <w:t xml:space="preserve">sur le plan statistique </w:t>
            </w:r>
            <w:r>
              <w:t xml:space="preserve">entre les </w:t>
            </w:r>
            <w:r>
              <w:t xml:space="preserve">analogues de la </w:t>
            </w:r>
            <w:r>
              <w:t xml:space="preserve">GnRH </w:t>
            </w:r>
            <w:r>
              <w:t xml:space="preserve">au départ </w:t>
            </w:r>
            <w:r>
              <w:t xml:space="preserve">et le</w:t>
            </w:r>
          </w:p>
          <w:p>
            <w:pPr>
              <w:pStyle w:val="TableParagraph"/>
              <w:spacing w:before="2" w:line="232" w:lineRule="exact"/>
              <w:ind w:start="828"/>
            </w:pPr>
            <w:r>
              <w:t xml:space="preserve">de </w:t>
            </w:r>
            <w:r>
              <w:t xml:space="preserve">commencer les </w:t>
            </w:r>
            <w:r>
              <w:t xml:space="preserve">hormones </w:t>
            </w:r>
            <w:r>
              <w:t xml:space="preserve">d'affirmation du genre </w:t>
            </w:r>
            <w:r>
              <w:t xml:space="preserve">chez les </w:t>
            </w:r>
            <w:r>
              <w:t xml:space="preserve">transfemmes, </w:t>
            </w:r>
            <w:r>
              <w:t xml:space="preserve">mais </w:t>
            </w:r>
            <w:r>
              <w:t xml:space="preserve">étaient</w:t>
            </w:r>
          </w:p>
        </w:tc>
      </w:tr>
    </w:tbl>
    <w:p w:rsidR="00432386" w:rsidRDefault="00432386">
      <w:pPr>
        <w:spacing w:line="232" w:lineRule="exact"/>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3035"/>
        </w:trPr>
        <w:tc>
          <w:tcPr>
            <w:tcW w:w="1980" w:type="dxa"/>
          </w:tcPr>
          <w:p w:rsidR="00432386" w:rsidRDefault="00432386">
            <w:pPr>
              <w:pStyle w:val="TableParagraph"/>
              <w:rPr>
                <w:rFonts w:ascii="Times New Roman"/>
              </w:rPr>
            </w:pPr>
          </w:p>
        </w:tc>
        <w:tc>
          <w:tcPr>
            <w:tcW w:w="7089" w:type="dxa"/>
          </w:tcPr>
          <w:p>
            <w:pPr>
              <w:pStyle w:val="TableParagraph"/>
              <w:ind w:start="828" w:end="90"/>
              <w:jc w:val="both"/>
              <w:rPr>
                <w:sz w:val="20"/>
              </w:rPr>
            </w:pPr>
            <w:r>
              <w:t xml:space="preserve">statistiquement </w:t>
            </w:r>
            <w:r>
              <w:t xml:space="preserve">significativement </w:t>
            </w:r>
            <w:r>
              <w:t xml:space="preserve">plus faible </w:t>
            </w:r>
            <w:r>
              <w:t xml:space="preserve">chez les </w:t>
            </w:r>
            <w:r>
              <w:t xml:space="preserve">transmales </w:t>
            </w:r>
            <w:r>
              <w:t xml:space="preserve">(moyenne </w:t>
            </w:r>
            <w:r>
              <w:t xml:space="preserve">[</w:t>
            </w:r>
            <w:r>
              <w:rPr>
                <w:sz w:val="20"/>
              </w:rPr>
              <w:t xml:space="preserve">±SD</w:t>
            </w:r>
            <w:r>
              <w:t xml:space="preserve">] </w:t>
            </w:r>
            <w:r>
              <w:t xml:space="preserve">analogue de la </w:t>
            </w:r>
            <w:r>
              <w:t xml:space="preserve">GnRH </w:t>
            </w:r>
            <w:r>
              <w:t xml:space="preserve">0,92 [</w:t>
            </w:r>
            <w:r>
              <w:rPr>
                <w:sz w:val="20"/>
              </w:rPr>
              <w:t xml:space="preserve">±0</w:t>
            </w:r>
            <w:r>
              <w:t xml:space="preserve">,10], hormone d'affirmation du genre 0,88 [</w:t>
            </w:r>
            <w:r>
              <w:rPr>
                <w:sz w:val="20"/>
              </w:rPr>
              <w:t xml:space="preserve">±0</w:t>
            </w:r>
            <w:r>
              <w:t xml:space="preserve">,09], </w:t>
            </w:r>
            <w:r>
              <w:t xml:space="preserve">p=0,005) </w:t>
            </w:r>
            <w:r>
              <w:rPr>
                <w:b/>
              </w:rPr>
              <w:t xml:space="preserve">(TRÈS FAIBLE)</w:t>
            </w:r>
            <w:r>
              <w:rPr>
                <w:sz w:val="20"/>
              </w:rPr>
              <w:t xml:space="preserve">.</w:t>
            </w:r>
          </w:p>
          <w:p w:rsidR="00432386" w:rsidRDefault="00432386">
            <w:pPr>
              <w:pStyle w:val="TableParagraph"/>
              <w:spacing w:before="10"/>
              <w:rPr>
                <w:b/>
                <w:sz w:val="21"/>
              </w:rPr>
            </w:pPr>
          </w:p>
          <w:p>
            <w:pPr>
              <w:pStyle w:val="TableParagraph"/>
              <w:ind w:start="107" w:end="92"/>
              <w:jc w:val="both"/>
              <w:rPr>
                <w:b/>
              </w:rPr>
            </w:pPr>
            <w:r>
              <w:rPr>
                <w:b/>
              </w:rPr>
              <w:t xml:space="preserve">Ces études </w:t>
            </w:r>
            <w:r>
              <w:rPr>
                <w:b/>
              </w:rPr>
              <w:t xml:space="preserve">fournissent des </w:t>
            </w:r>
            <w:r>
              <w:rPr>
                <w:b/>
              </w:rPr>
              <w:t xml:space="preserve">preuves de </w:t>
            </w:r>
            <w:r>
              <w:rPr>
                <w:b/>
              </w:rPr>
              <w:t xml:space="preserve">certitude très faible </w:t>
            </w:r>
            <w:r>
              <w:rPr>
                <w:b/>
              </w:rPr>
              <w:t xml:space="preserve">que les </w:t>
            </w:r>
            <w:r>
              <w:rPr>
                <w:b/>
              </w:rPr>
              <w:t xml:space="preserve">analogues de la </w:t>
            </w:r>
            <w:r>
              <w:rPr>
                <w:b/>
              </w:rPr>
              <w:t xml:space="preserve">GnRH </w:t>
            </w:r>
            <w:r>
              <w:rPr>
                <w:b/>
              </w:rPr>
              <w:t xml:space="preserve">peuvent réduire l'augmentation attendue de la </w:t>
            </w:r>
            <w:r>
              <w:rPr>
                <w:b/>
              </w:rPr>
              <w:t xml:space="preserve">densité </w:t>
            </w:r>
            <w:r>
              <w:rPr>
                <w:b/>
              </w:rPr>
              <w:t xml:space="preserve">osseuse fémorale </w:t>
            </w:r>
            <w:r>
              <w:rPr>
                <w:b/>
              </w:rPr>
              <w:t xml:space="preserve">(</w:t>
            </w:r>
            <w:r>
              <w:rPr>
                <w:b/>
              </w:rPr>
              <w:t xml:space="preserve">col du </w:t>
            </w:r>
            <w:r>
              <w:rPr>
                <w:b/>
              </w:rPr>
              <w:t xml:space="preserve">fémur </w:t>
            </w:r>
            <w:r>
              <w:rPr>
                <w:b/>
              </w:rPr>
              <w:t xml:space="preserve">ou </w:t>
            </w:r>
            <w:r>
              <w:rPr>
                <w:b/>
              </w:rPr>
              <w:t xml:space="preserve">zone </w:t>
            </w:r>
            <w:r>
              <w:rPr>
                <w:b/>
              </w:rPr>
              <w:t xml:space="preserve">BMAD </w:t>
            </w:r>
            <w:r>
              <w:rPr>
                <w:b/>
              </w:rPr>
              <w:t xml:space="preserve">ou </w:t>
            </w:r>
            <w:r>
              <w:rPr>
                <w:b/>
              </w:rPr>
              <w:t xml:space="preserve">BMD) </w:t>
            </w:r>
            <w:r>
              <w:rPr>
                <w:b/>
              </w:rPr>
              <w:t xml:space="preserve">par rapport à </w:t>
            </w:r>
            <w:r>
              <w:rPr>
                <w:b/>
              </w:rPr>
              <w:t xml:space="preserve">la </w:t>
            </w:r>
            <w:r>
              <w:rPr>
                <w:b/>
              </w:rPr>
              <w:t xml:space="preserve">ligne de base </w:t>
            </w:r>
            <w:r>
              <w:rPr>
                <w:b/>
              </w:rPr>
              <w:t xml:space="preserve">(bien que </w:t>
            </w:r>
            <w:r>
              <w:rPr>
                <w:b/>
              </w:rPr>
              <w:t xml:space="preserve">certains </w:t>
            </w:r>
            <w:r>
              <w:rPr>
                <w:b/>
              </w:rPr>
              <w:t xml:space="preserve">résultats </w:t>
            </w:r>
            <w:r>
              <w:rPr>
                <w:b/>
              </w:rPr>
              <w:t xml:space="preserve">ne </w:t>
            </w:r>
            <w:r>
              <w:rPr>
                <w:b/>
              </w:rPr>
              <w:t xml:space="preserve">soient </w:t>
            </w:r>
            <w:r>
              <w:rPr>
                <w:b/>
              </w:rPr>
              <w:t xml:space="preserve">pas </w:t>
            </w:r>
            <w:r>
              <w:rPr>
                <w:b/>
              </w:rPr>
              <w:t xml:space="preserve">statistiquement </w:t>
            </w:r>
            <w:r>
              <w:rPr>
                <w:b/>
              </w:rPr>
              <w:t xml:space="preserve">significatifs). </w:t>
            </w:r>
            <w:r>
              <w:rPr>
                <w:b/>
              </w:rPr>
              <w:t xml:space="preserve">Ces </w:t>
            </w:r>
            <w:r>
              <w:rPr>
                <w:b/>
              </w:rPr>
              <w:t xml:space="preserve">études </w:t>
            </w:r>
            <w:r>
              <w:rPr>
                <w:b/>
              </w:rPr>
              <w:t xml:space="preserve">montrent </w:t>
            </w:r>
            <w:r>
              <w:rPr>
                <w:b/>
              </w:rPr>
              <w:t xml:space="preserve">également </w:t>
            </w:r>
            <w:r>
              <w:rPr>
                <w:b/>
              </w:rPr>
              <w:t xml:space="preserve">que </w:t>
            </w:r>
            <w:r>
              <w:rPr>
                <w:b/>
              </w:rPr>
              <w:t xml:space="preserve">les </w:t>
            </w:r>
            <w:r>
              <w:rPr>
                <w:b/>
              </w:rPr>
              <w:t xml:space="preserve">analogues de la </w:t>
            </w:r>
            <w:r>
              <w:rPr>
                <w:b/>
              </w:rPr>
              <w:t xml:space="preserve">GnRH </w:t>
            </w:r>
            <w:r>
              <w:rPr>
                <w:b/>
              </w:rPr>
              <w:t xml:space="preserve">ne </w:t>
            </w:r>
            <w:r>
              <w:rPr>
                <w:b/>
              </w:rPr>
              <w:t xml:space="preserve">diminuent </w:t>
            </w:r>
            <w:r>
              <w:rPr>
                <w:b/>
              </w:rPr>
              <w:t xml:space="preserve">pas de </w:t>
            </w:r>
            <w:r>
              <w:rPr>
                <w:b/>
              </w:rPr>
              <w:t xml:space="preserve">façon </w:t>
            </w:r>
            <w:r>
              <w:rPr>
                <w:b/>
              </w:rPr>
              <w:t xml:space="preserve">statistiquement </w:t>
            </w:r>
            <w:r>
              <w:rPr>
                <w:b/>
              </w:rPr>
              <w:t xml:space="preserve">significative la </w:t>
            </w:r>
            <w:r>
              <w:rPr>
                <w:b/>
              </w:rPr>
              <w:t xml:space="preserve">densité </w:t>
            </w:r>
            <w:r>
              <w:rPr>
                <w:b/>
              </w:rPr>
              <w:t xml:space="preserve">osseuse </w:t>
            </w:r>
            <w:r>
              <w:rPr>
                <w:b/>
              </w:rPr>
              <w:t xml:space="preserve">fémorale </w:t>
            </w:r>
            <w:r>
              <w:rPr>
                <w:b/>
              </w:rPr>
              <w:t xml:space="preserve">réelle.</w:t>
            </w:r>
          </w:p>
          <w:p>
            <w:pPr>
              <w:pStyle w:val="TableParagraph"/>
              <w:spacing w:line="252" w:lineRule="exact"/>
              <w:ind w:start="107" w:end="99"/>
              <w:jc w:val="both"/>
              <w:rPr>
                <w:b/>
              </w:rPr>
            </w:pPr>
            <w:r>
              <w:rPr>
                <w:b/>
              </w:rPr>
              <w:t xml:space="preserve">(DMO de la zone fémorale ou DMO du col du fémur), en dehors de la </w:t>
            </w:r>
            <w:r>
              <w:rPr>
                <w:b/>
              </w:rPr>
              <w:t xml:space="preserve">DMO </w:t>
            </w:r>
            <w:r>
              <w:rPr>
                <w:b/>
              </w:rPr>
              <w:t xml:space="preserve">réelle de </w:t>
            </w:r>
            <w:r>
              <w:rPr>
                <w:b/>
              </w:rPr>
              <w:t xml:space="preserve">la zone </w:t>
            </w:r>
            <w:r>
              <w:rPr>
                <w:b/>
              </w:rPr>
              <w:t xml:space="preserve">fémorale </w:t>
            </w:r>
            <w:r>
              <w:rPr>
                <w:b/>
              </w:rPr>
              <w:t xml:space="preserve">chez </w:t>
            </w:r>
            <w:r>
              <w:rPr>
                <w:b/>
              </w:rPr>
              <w:t xml:space="preserve">les transmales.</w:t>
            </w:r>
          </w:p>
        </w:tc>
      </w:tr>
      <w:tr w:rsidR="00432386">
        <w:trPr>
          <w:trHeight w:val="889"/>
        </w:trPr>
        <w:tc>
          <w:tcPr>
            <w:tcW w:w="1980" w:type="dxa"/>
            <w:tcBorders>
              <w:bottom w:val="nil"/>
            </w:tcBorders>
          </w:tcPr>
          <w:p>
            <w:pPr>
              <w:pStyle w:val="TableParagraph"/>
              <w:ind w:start="107" w:end="204"/>
              <w:rPr>
                <w:b/>
              </w:rPr>
            </w:pPr>
            <w:r>
              <w:rPr>
                <w:b/>
              </w:rPr>
              <w:t xml:space="preserve">Développement ou </w:t>
            </w:r>
            <w:r>
              <w:rPr>
                <w:b/>
              </w:rPr>
              <w:t xml:space="preserve">fonctionnement </w:t>
            </w:r>
            <w:r>
              <w:rPr>
                <w:b/>
              </w:rPr>
              <w:t xml:space="preserve">cognitif</w:t>
            </w:r>
          </w:p>
        </w:tc>
        <w:tc>
          <w:tcPr>
            <w:tcW w:w="7089" w:type="dxa"/>
            <w:tcBorders>
              <w:bottom w:val="nil"/>
            </w:tcBorders>
          </w:tcPr>
          <w:p>
            <w:pPr>
              <w:pStyle w:val="TableParagraph"/>
              <w:ind w:start="107" w:end="96"/>
              <w:jc w:val="both"/>
            </w:pPr>
            <w:r>
              <w:t xml:space="preserve">Il s'agit d'un résultat important car la puberté est une période importante pour le </w:t>
            </w:r>
            <w:r>
              <w:t xml:space="preserve">développement cognitif et la suppression de la puberté peut affecter le </w:t>
            </w:r>
            <w:r>
              <w:t xml:space="preserve">développement </w:t>
            </w:r>
            <w:r>
              <w:t xml:space="preserve">ou le </w:t>
            </w:r>
            <w:r>
              <w:t xml:space="preserve">fonctionnement </w:t>
            </w:r>
            <w:r>
              <w:t xml:space="preserve">cognitif</w:t>
            </w:r>
            <w:r>
              <w:t xml:space="preserve">.</w:t>
            </w:r>
          </w:p>
        </w:tc>
      </w:tr>
      <w:tr w:rsidR="00432386">
        <w:trPr>
          <w:trHeight w:val="5103"/>
        </w:trPr>
        <w:tc>
          <w:tcPr>
            <w:tcW w:w="1980" w:type="dxa"/>
            <w:tcBorders>
              <w:top w:val="nil"/>
              <w:bottom w:val="nil"/>
            </w:tcBorders>
          </w:tcPr>
          <w:p>
            <w:pPr>
              <w:pStyle w:val="TableParagraph"/>
              <w:spacing w:before="123"/>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before="123"/>
              <w:ind w:start="107" w:end="93"/>
              <w:jc w:val="both"/>
            </w:pPr>
            <w:r>
              <w:rPr>
                <w:spacing w:val="-1"/>
              </w:rPr>
              <w:t xml:space="preserve">Une </w:t>
            </w:r>
            <w:r>
              <w:t xml:space="preserve">étude </w:t>
            </w:r>
            <w:r>
              <w:rPr>
                <w:spacing w:val="-1"/>
              </w:rPr>
              <w:t xml:space="preserve">observationnelle </w:t>
            </w:r>
            <w:r>
              <w:rPr>
                <w:spacing w:val="-1"/>
              </w:rPr>
              <w:t xml:space="preserve">transversale </w:t>
            </w:r>
            <w:r>
              <w:t xml:space="preserve">(</w:t>
            </w:r>
            <w:hyperlink r:id="rId162">
              <w:r>
                <w:rPr>
                  <w:color w:val="0000FF"/>
                  <w:u w:val="single" w:color="0000FF"/>
                </w:rPr>
                <w:t xml:space="preserve">Staphorsius</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r>
              <w:t xml:space="preserve">n=70) </w:t>
            </w:r>
            <w:r>
              <w:t xml:space="preserve">a fourni des </w:t>
            </w:r>
            <w:r>
              <w:t xml:space="preserve">données </w:t>
            </w:r>
            <w:r>
              <w:t xml:space="preserve">comparatives </w:t>
            </w:r>
            <w:r>
              <w:t xml:space="preserve">sur le </w:t>
            </w:r>
            <w:r>
              <w:t xml:space="preserve">développement </w:t>
            </w:r>
            <w:r>
              <w:t xml:space="preserve">ou le </w:t>
            </w:r>
            <w:r>
              <w:t xml:space="preserve">fonctionnement </w:t>
            </w:r>
            <w:r>
              <w:t xml:space="preserve">cognitif </w:t>
            </w:r>
            <w:r>
              <w:t xml:space="preserve">chez les adolescents atteints de dysphorie de genre sous analogues de la GnRH </w:t>
            </w:r>
            <w:r>
              <w:t xml:space="preserve">par rapport </w:t>
            </w:r>
            <w:r>
              <w:t xml:space="preserve">aux </w:t>
            </w:r>
            <w:r>
              <w:t xml:space="preserve">adolescents </w:t>
            </w:r>
            <w:r>
              <w:t xml:space="preserve">atteints de </w:t>
            </w:r>
            <w:r>
              <w:t xml:space="preserve">dysphorie de </w:t>
            </w:r>
            <w:r>
              <w:t xml:space="preserve">genre </w:t>
            </w:r>
            <w:r>
              <w:t xml:space="preserve">non </w:t>
            </w:r>
            <w:r>
              <w:t xml:space="preserve">sous </w:t>
            </w:r>
            <w:r>
              <w:t xml:space="preserve">analogues de la </w:t>
            </w:r>
            <w:r>
              <w:t xml:space="preserve">GnRH</w:t>
            </w:r>
            <w:r>
              <w:t xml:space="preserve">. Le </w:t>
            </w:r>
            <w:r>
              <w:t xml:space="preserve">fonctionnement </w:t>
            </w:r>
            <w:r>
              <w:t xml:space="preserve">cognitif </w:t>
            </w:r>
            <w:r>
              <w:t xml:space="preserve">a été </w:t>
            </w:r>
            <w:r>
              <w:t xml:space="preserve">mesuré </w:t>
            </w:r>
            <w:r>
              <w:t xml:space="preserve">à l'aide d'</w:t>
            </w:r>
            <w:r>
              <w:t xml:space="preserve">un </w:t>
            </w:r>
            <w:r>
              <w:t xml:space="preserve">test de </w:t>
            </w:r>
            <w:r>
              <w:t xml:space="preserve">QI</w:t>
            </w:r>
            <w:r>
              <w:t xml:space="preserve">. Le </w:t>
            </w:r>
            <w:r>
              <w:t xml:space="preserve">temps de réaction (</w:t>
            </w:r>
            <w:r>
              <w:t xml:space="preserve">en secondes) et la précision (pourcentage d'essais corrects) </w:t>
            </w:r>
            <w:r>
              <w:t xml:space="preserve">ont été mesurés à l'aide de la tâche Tower of London (ToL). Tous les résultats ont été </w:t>
            </w:r>
            <w:r>
              <w:t xml:space="preserve">rapportés séparément pour les transfemmes et les transmales ; voir également le </w:t>
            </w:r>
            <w:r>
              <w:t xml:space="preserve">tableau des sous-groupes ci-dessous. Aucune analyse statistique ou interprétation des </w:t>
            </w:r>
            <w:r>
              <w:t xml:space="preserve">résultats </w:t>
            </w:r>
            <w:r>
              <w:t xml:space="preserve">dans ces </w:t>
            </w:r>
            <w:r>
              <w:t xml:space="preserve">groupes </w:t>
            </w:r>
            <w:r>
              <w:t xml:space="preserve">n'</w:t>
            </w:r>
            <w:r>
              <w:t xml:space="preserve">a été </w:t>
            </w:r>
            <w:r>
              <w:t xml:space="preserve">rapportée :</w:t>
            </w:r>
          </w:p>
          <w:p>
            <w:pPr>
              <w:pStyle w:val="TableParagraph"/>
              <w:numPr>
                <w:ilvl w:val="0"/>
                <w:numId w:val="154"/>
              </w:numPr>
              <w:tabs>
                <w:tab w:val="left" w:pos="828"/>
                <w:tab w:val="left" w:pos="829"/>
              </w:tabs>
              <w:ind w:end="268"/>
            </w:pPr>
            <w:r>
              <w:t xml:space="preserve">QI des transfemmes (moyenne [</w:t>
            </w:r>
            <w:r>
              <w:rPr>
                <w:sz w:val="20"/>
              </w:rPr>
              <w:t xml:space="preserve">±SD</w:t>
            </w:r>
            <w:r>
              <w:t xml:space="preserve">] analogue à la GnRH 94,0 [</w:t>
            </w:r>
            <w:r>
              <w:rPr>
                <w:sz w:val="20"/>
              </w:rPr>
              <w:t xml:space="preserve">±10</w:t>
            </w:r>
            <w:r>
              <w:t xml:space="preserve">,3], </w:t>
            </w:r>
            <w:r>
              <w:t xml:space="preserve">contrôle 109,4 [</w:t>
            </w:r>
            <w:r>
              <w:rPr>
                <w:sz w:val="20"/>
              </w:rPr>
              <w:t xml:space="preserve">±21</w:t>
            </w:r>
            <w:r>
              <w:t xml:space="preserve">,2]). QI des transfemmes (GnRH analogue 95,8 </w:t>
            </w:r>
            <w:r>
              <w:t xml:space="preserve">[</w:t>
            </w:r>
            <w:r>
              <w:rPr>
                <w:sz w:val="20"/>
              </w:rPr>
              <w:t xml:space="preserve">±15</w:t>
            </w:r>
            <w:r>
              <w:t xml:space="preserve">,6], </w:t>
            </w:r>
            <w:r>
              <w:t xml:space="preserve">contrôle </w:t>
            </w:r>
            <w:r>
              <w:t xml:space="preserve">98,5 </w:t>
            </w:r>
            <w:r>
              <w:t xml:space="preserve">[</w:t>
            </w:r>
            <w:r>
              <w:rPr>
                <w:sz w:val="20"/>
              </w:rPr>
              <w:t xml:space="preserve">±15</w:t>
            </w:r>
            <w:r>
              <w:t xml:space="preserve">,9].</w:t>
            </w:r>
          </w:p>
          <w:p>
            <w:pPr>
              <w:pStyle w:val="TableParagraph"/>
              <w:numPr>
                <w:ilvl w:val="0"/>
                <w:numId w:val="154"/>
              </w:numPr>
              <w:tabs>
                <w:tab w:val="left" w:pos="828"/>
                <w:tab w:val="left" w:pos="829"/>
              </w:tabs>
              <w:spacing w:line="268" w:lineRule="exact"/>
              <w:ind w:hanging="362"/>
            </w:pPr>
            <w:r>
              <w:t xml:space="preserve">Temps de </w:t>
            </w:r>
            <w:r>
              <w:t xml:space="preserve">réaction </w:t>
            </w:r>
            <w:r>
              <w:t xml:space="preserve">chez les </w:t>
            </w:r>
            <w:r>
              <w:t xml:space="preserve">transfemmes </w:t>
            </w:r>
            <w:r>
              <w:t xml:space="preserve">(moyenne </w:t>
            </w:r>
            <w:r>
              <w:t xml:space="preserve">[</w:t>
            </w:r>
            <w:r>
              <w:rPr>
                <w:sz w:val="20"/>
              </w:rPr>
              <w:t xml:space="preserve">±SD] </w:t>
            </w:r>
            <w:r>
              <w:t xml:space="preserve">analogue de la </w:t>
            </w:r>
            <w:r>
              <w:t xml:space="preserve">GnRH</w:t>
            </w:r>
          </w:p>
          <w:p>
            <w:pPr>
              <w:pStyle w:val="TableParagraph"/>
              <w:ind w:start="828" w:end="716"/>
            </w:pPr>
            <w:r>
              <w:t xml:space="preserve">10,9 [</w:t>
            </w:r>
            <w:r>
              <w:rPr>
                <w:sz w:val="20"/>
              </w:rPr>
              <w:t xml:space="preserve">±4</w:t>
            </w:r>
            <w:r>
              <w:t xml:space="preserve">,1], contrôle : 9,9 [</w:t>
            </w:r>
            <w:r>
              <w:rPr>
                <w:sz w:val="20"/>
              </w:rPr>
              <w:t xml:space="preserve">±3</w:t>
            </w:r>
            <w:r>
              <w:t xml:space="preserve">,1]). Temps de réaction transmallique </w:t>
            </w:r>
            <w:r>
              <w:t xml:space="preserve">(</w:t>
            </w:r>
            <w:r>
              <w:t xml:space="preserve">analogue de la </w:t>
            </w:r>
            <w:r>
              <w:t xml:space="preserve">GnRH </w:t>
            </w:r>
            <w:r>
              <w:t xml:space="preserve">9,9 </w:t>
            </w:r>
            <w:r>
              <w:t xml:space="preserve">[</w:t>
            </w:r>
            <w:r>
              <w:rPr>
                <w:sz w:val="20"/>
              </w:rPr>
              <w:t xml:space="preserve">±3</w:t>
            </w:r>
            <w:r>
              <w:t xml:space="preserve">,1], </w:t>
            </w:r>
            <w:r>
              <w:t xml:space="preserve">contrôle </w:t>
            </w:r>
            <w:r>
              <w:t xml:space="preserve">10,0 </w:t>
            </w:r>
            <w:r>
              <w:t xml:space="preserve">[</w:t>
            </w:r>
            <w:r>
              <w:rPr>
                <w:sz w:val="20"/>
              </w:rPr>
              <w:t xml:space="preserve">±2</w:t>
            </w:r>
            <w:r>
              <w:t xml:space="preserve">,0]).</w:t>
            </w:r>
          </w:p>
          <w:p>
            <w:pPr>
              <w:pStyle w:val="TableParagraph"/>
              <w:numPr>
                <w:ilvl w:val="0"/>
                <w:numId w:val="153"/>
              </w:numPr>
              <w:tabs>
                <w:tab w:val="left" w:pos="829"/>
              </w:tabs>
              <w:spacing w:before="1" w:line="237" w:lineRule="auto"/>
              <w:ind w:end="93"/>
              <w:jc w:val="both"/>
            </w:pPr>
            <w:r>
              <w:t xml:space="preserve">Score de précision chez les transfemmes (analogue de la GnRH 73,9 [</w:t>
            </w:r>
            <w:r>
              <w:rPr>
                <w:sz w:val="20"/>
              </w:rPr>
              <w:t xml:space="preserve">±9</w:t>
            </w:r>
            <w:r>
              <w:t xml:space="preserve">,1], </w:t>
            </w:r>
            <w:r>
              <w:t xml:space="preserve">contrôle </w:t>
            </w:r>
            <w:r>
              <w:t xml:space="preserve">83,4 </w:t>
            </w:r>
            <w:r>
              <w:t xml:space="preserve">[</w:t>
            </w:r>
            <w:r>
              <w:rPr>
                <w:sz w:val="20"/>
              </w:rPr>
              <w:t xml:space="preserve">±9</w:t>
            </w:r>
            <w:r>
              <w:t xml:space="preserve">,5]). </w:t>
            </w:r>
            <w:r>
              <w:t xml:space="preserve">Score de </w:t>
            </w:r>
            <w:r>
              <w:t xml:space="preserve">précision </w:t>
            </w:r>
            <w:r>
              <w:t xml:space="preserve">chez les </w:t>
            </w:r>
            <w:r>
              <w:t xml:space="preserve">transmales (</w:t>
            </w:r>
            <w:r>
              <w:t xml:space="preserve">analogue de la </w:t>
            </w:r>
            <w:r>
              <w:t xml:space="preserve">GnRH </w:t>
            </w:r>
            <w:r>
              <w:t xml:space="preserve">85,7 </w:t>
            </w:r>
            <w:r>
              <w:t xml:space="preserve">[</w:t>
            </w:r>
            <w:r>
              <w:rPr>
                <w:sz w:val="20"/>
              </w:rPr>
              <w:t xml:space="preserve">±10</w:t>
            </w:r>
            <w:r>
              <w:t xml:space="preserve">,5], </w:t>
            </w:r>
            <w:r>
              <w:t xml:space="preserve">contrôle </w:t>
            </w:r>
            <w:r>
              <w:t xml:space="preserve">88,8 </w:t>
            </w:r>
            <w:r>
              <w:t xml:space="preserve">[</w:t>
            </w:r>
            <w:r>
              <w:rPr>
                <w:sz w:val="20"/>
              </w:rPr>
              <w:t xml:space="preserve">±9</w:t>
            </w:r>
            <w:r>
              <w:t xml:space="preserve">,7].</w:t>
            </w:r>
          </w:p>
        </w:tc>
      </w:tr>
      <w:tr w:rsidR="00432386">
        <w:trPr>
          <w:trHeight w:val="881"/>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3"/>
              <w:ind w:start="107"/>
              <w:rPr>
                <w:b/>
              </w:rPr>
            </w:pPr>
            <w:r>
              <w:rPr>
                <w:b/>
                <w:spacing w:val="-1"/>
              </w:rPr>
              <w:t xml:space="preserve">Cette </w:t>
            </w:r>
            <w:r>
              <w:rPr>
                <w:b/>
                <w:spacing w:val="-1"/>
              </w:rPr>
              <w:t xml:space="preserve">étude </w:t>
            </w:r>
            <w:r>
              <w:rPr>
                <w:b/>
                <w:spacing w:val="-1"/>
              </w:rPr>
              <w:t xml:space="preserve">fournit des </w:t>
            </w:r>
            <w:r>
              <w:rPr>
                <w:b/>
              </w:rPr>
              <w:t xml:space="preserve">preuves de </w:t>
            </w:r>
            <w:r>
              <w:rPr>
                <w:b/>
                <w:spacing w:val="-1"/>
              </w:rPr>
              <w:t xml:space="preserve">très </w:t>
            </w:r>
            <w:r>
              <w:rPr>
                <w:b/>
                <w:spacing w:val="-1"/>
              </w:rPr>
              <w:t xml:space="preserve">faible niveau de </w:t>
            </w:r>
            <w:r>
              <w:rPr>
                <w:b/>
                <w:spacing w:val="-1"/>
              </w:rPr>
              <w:t xml:space="preserve">certitude </w:t>
            </w:r>
            <w:r>
              <w:rPr>
                <w:b/>
              </w:rPr>
              <w:t xml:space="preserve">(</w:t>
            </w:r>
            <w:r>
              <w:rPr>
                <w:b/>
              </w:rPr>
              <w:t xml:space="preserve">sans aucune </w:t>
            </w:r>
            <w:r>
              <w:rPr>
                <w:b/>
              </w:rPr>
              <w:t xml:space="preserve">statistique</w:t>
            </w:r>
          </w:p>
          <w:p>
            <w:pPr>
              <w:pStyle w:val="TableParagraph"/>
              <w:spacing w:line="252" w:lineRule="exact"/>
              <w:ind w:start="107"/>
              <w:rPr>
                <w:b/>
              </w:rPr>
            </w:pPr>
            <w:r>
              <w:rPr>
                <w:b/>
              </w:rPr>
              <w:t xml:space="preserve">) </w:t>
            </w:r>
            <w:r>
              <w:rPr>
                <w:b/>
              </w:rPr>
              <w:t xml:space="preserve">sur </w:t>
            </w:r>
            <w:r>
              <w:rPr>
                <w:b/>
              </w:rPr>
              <w:t xml:space="preserve">les </w:t>
            </w:r>
            <w:r>
              <w:rPr>
                <w:b/>
              </w:rPr>
              <w:t xml:space="preserve">effets </w:t>
            </w:r>
            <w:r>
              <w:rPr>
                <w:b/>
              </w:rPr>
              <w:t xml:space="preserve">des </w:t>
            </w:r>
            <w:r>
              <w:rPr>
                <w:b/>
              </w:rPr>
              <w:t xml:space="preserve">analogues de la </w:t>
            </w:r>
            <w:r>
              <w:rPr>
                <w:b/>
              </w:rPr>
              <w:t xml:space="preserve">GnRH </w:t>
            </w:r>
            <w:r>
              <w:rPr>
                <w:b/>
              </w:rPr>
              <w:t xml:space="preserve">sur le </w:t>
            </w:r>
            <w:r>
              <w:rPr>
                <w:b/>
              </w:rPr>
              <w:t xml:space="preserve">développement </w:t>
            </w:r>
            <w:r>
              <w:rPr>
                <w:b/>
              </w:rPr>
              <w:t xml:space="preserve">ou le </w:t>
            </w:r>
            <w:r>
              <w:rPr>
                <w:b/>
              </w:rPr>
              <w:t xml:space="preserve">fonctionnement </w:t>
            </w:r>
            <w:r>
              <w:rPr>
                <w:b/>
              </w:rPr>
              <w:t xml:space="preserve">cognitif</w:t>
            </w:r>
            <w:r>
              <w:rPr>
                <w:b/>
              </w:rPr>
              <w:t xml:space="preserve">. </w:t>
            </w:r>
            <w:r>
              <w:rPr>
                <w:b/>
              </w:rPr>
              <w:t xml:space="preserve">Aucune </w:t>
            </w:r>
            <w:r>
              <w:rPr>
                <w:b/>
              </w:rPr>
              <w:t xml:space="preserve">conclusion </w:t>
            </w:r>
            <w:r>
              <w:rPr>
                <w:b/>
              </w:rPr>
              <w:t xml:space="preserve">n'a </w:t>
            </w:r>
            <w:r>
              <w:rPr>
                <w:b/>
              </w:rPr>
              <w:t xml:space="preserve">pu </w:t>
            </w:r>
            <w:r>
              <w:rPr>
                <w:b/>
              </w:rPr>
              <w:t xml:space="preserve">être </w:t>
            </w:r>
            <w:r>
              <w:rPr>
                <w:b/>
              </w:rPr>
              <w:t xml:space="preserve">tirée.</w:t>
            </w:r>
          </w:p>
        </w:tc>
      </w:tr>
      <w:tr w:rsidR="00432386">
        <w:trPr>
          <w:trHeight w:val="889"/>
        </w:trPr>
        <w:tc>
          <w:tcPr>
            <w:tcW w:w="1980" w:type="dxa"/>
            <w:tcBorders>
              <w:bottom w:val="nil"/>
            </w:tcBorders>
          </w:tcPr>
          <w:p>
            <w:pPr>
              <w:pStyle w:val="TableParagraph"/>
              <w:spacing w:before="2"/>
              <w:ind w:start="107" w:end="224"/>
              <w:rPr>
                <w:b/>
              </w:rPr>
            </w:pPr>
            <w:r>
              <w:rPr>
                <w:b/>
              </w:rPr>
              <w:t xml:space="preserve">Autres </w:t>
            </w:r>
            <w:r>
              <w:rPr>
                <w:b/>
              </w:rPr>
              <w:t xml:space="preserve">critères de </w:t>
            </w:r>
            <w:r>
              <w:rPr>
                <w:b/>
              </w:rPr>
              <w:t xml:space="preserve">sécurité </w:t>
            </w:r>
            <w:r>
              <w:rPr>
                <w:b/>
              </w:rPr>
              <w:t xml:space="preserve">: </w:t>
            </w:r>
            <w:r>
              <w:rPr>
                <w:b/>
              </w:rPr>
              <w:t xml:space="preserve">fonction </w:t>
            </w:r>
            <w:r>
              <w:rPr>
                <w:b/>
              </w:rPr>
              <w:t xml:space="preserve">rénale</w:t>
            </w:r>
          </w:p>
        </w:tc>
        <w:tc>
          <w:tcPr>
            <w:tcW w:w="7089" w:type="dxa"/>
            <w:tcBorders>
              <w:bottom w:val="nil"/>
            </w:tcBorders>
          </w:tcPr>
          <w:p>
            <w:pPr>
              <w:pStyle w:val="TableParagraph"/>
              <w:spacing w:before="2"/>
              <w:ind w:start="107" w:end="91"/>
              <w:jc w:val="both"/>
            </w:pPr>
            <w:r>
              <w:t xml:space="preserve">Il s'agit d'un résultat important car si </w:t>
            </w:r>
            <w:r>
              <w:t xml:space="preserve">l'on </w:t>
            </w:r>
            <w:r>
              <w:t xml:space="preserve">soupçonne une </w:t>
            </w:r>
            <w:r>
              <w:t xml:space="preserve">atteinte rénale (l'augmentation de la </w:t>
            </w:r>
            <w:r>
              <w:t xml:space="preserve">créatinine </w:t>
            </w:r>
            <w:r>
              <w:t xml:space="preserve">sérique </w:t>
            </w:r>
            <w:r>
              <w:t xml:space="preserve">en </w:t>
            </w:r>
            <w:r>
              <w:t xml:space="preserve">est </w:t>
            </w:r>
            <w:r>
              <w:t xml:space="preserve">un </w:t>
            </w:r>
            <w:r>
              <w:t xml:space="preserve">marqueur</w:t>
            </w:r>
            <w:r>
              <w:t xml:space="preserve">)</w:t>
            </w:r>
            <w:r>
              <w:t xml:space="preserve">, il </w:t>
            </w:r>
            <w:r>
              <w:t xml:space="preserve">peut être </w:t>
            </w:r>
            <w:r>
              <w:t xml:space="preserve">nécessaire d</w:t>
            </w:r>
            <w:r>
              <w:t xml:space="preserve">'</w:t>
            </w:r>
            <w:r>
              <w:t xml:space="preserve">arrêter les </w:t>
            </w:r>
            <w:r>
              <w:t xml:space="preserve">analogues de la </w:t>
            </w:r>
            <w:r>
              <w:t xml:space="preserve">GnRH</w:t>
            </w:r>
            <w:r>
              <w:t xml:space="preserve">.</w:t>
            </w:r>
          </w:p>
        </w:tc>
      </w:tr>
      <w:tr w:rsidR="00432386">
        <w:trPr>
          <w:trHeight w:val="1515"/>
        </w:trPr>
        <w:tc>
          <w:tcPr>
            <w:tcW w:w="1980" w:type="dxa"/>
            <w:tcBorders>
              <w:top w:val="nil"/>
              <w:bottom w:val="nil"/>
            </w:tcBorders>
          </w:tcPr>
          <w:p>
            <w:pPr>
              <w:pStyle w:val="TableParagraph"/>
              <w:spacing w:before="123"/>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before="123"/>
              <w:ind w:start="107" w:end="92"/>
              <w:jc w:val="both"/>
            </w:pPr>
            <w:r>
              <w:t xml:space="preserve">Une étude observationnelle prospective (</w:t>
            </w:r>
            <w:hyperlink r:id="rId163">
              <w:r>
                <w:rPr>
                  <w:color w:val="0000FF"/>
                  <w:u w:val="single" w:color="0000FF"/>
                </w:rPr>
                <w:t xml:space="preserve">Schagen et al. 2016</w:t>
              </w:r>
            </w:hyperlink>
            <w:r>
              <w:t xml:space="preserve">, n=116) </w:t>
            </w:r>
            <w:r>
              <w:t xml:space="preserve">a fourni des preuves non comparatives sur le changement de la créatinine sérique </w:t>
            </w:r>
            <w:r>
              <w:t xml:space="preserve">entre le début de l'administration des analogues de la GnRH et à 1 an. Tous les résultats ont été </w:t>
            </w:r>
            <w:r>
              <w:t xml:space="preserve">rapportés </w:t>
            </w:r>
            <w:r>
              <w:t xml:space="preserve">séparément </w:t>
            </w:r>
            <w:r>
              <w:t xml:space="preserve">pour les </w:t>
            </w:r>
            <w:r>
              <w:t xml:space="preserve">transfemmes </w:t>
            </w:r>
            <w:r>
              <w:t xml:space="preserve">et les </w:t>
            </w:r>
            <w:r>
              <w:t xml:space="preserve">transmales ; </w:t>
            </w:r>
            <w:r>
              <w:t xml:space="preserve">voir </w:t>
            </w:r>
            <w:r>
              <w:t xml:space="preserve">également </w:t>
            </w:r>
            <w:r>
              <w:t xml:space="preserve">le </w:t>
            </w:r>
            <w:r>
              <w:t xml:space="preserve">tableau des </w:t>
            </w:r>
            <w:r>
              <w:t xml:space="preserve">sous-groupes </w:t>
            </w:r>
            <w:r>
              <w:t xml:space="preserve">ci-dessous.</w:t>
            </w:r>
          </w:p>
        </w:tc>
      </w:tr>
      <w:tr w:rsidR="00432386">
        <w:trPr>
          <w:trHeight w:val="1674"/>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numPr>
                <w:ilvl w:val="0"/>
                <w:numId w:val="152"/>
              </w:numPr>
              <w:tabs>
                <w:tab w:val="left" w:pos="829"/>
              </w:tabs>
              <w:spacing w:before="127"/>
              <w:ind w:end="94"/>
              <w:jc w:val="both"/>
            </w:pPr>
            <w:r>
              <w:t xml:space="preserve">Il </w:t>
            </w:r>
            <w:r>
              <w:t xml:space="preserve">n'y avait pas de </w:t>
            </w:r>
            <w:r>
              <w:t xml:space="preserve">différence </w:t>
            </w:r>
            <w:r>
              <w:t xml:space="preserve">statistiquement </w:t>
            </w:r>
            <w:r>
              <w:t xml:space="preserve">significative </w:t>
            </w:r>
            <w:r>
              <w:t xml:space="preserve">entre le </w:t>
            </w:r>
            <w:r>
              <w:t xml:space="preserve">début de l'étude </w:t>
            </w:r>
            <w:r>
              <w:t xml:space="preserve">et l'</w:t>
            </w:r>
            <w:r>
              <w:t xml:space="preserve">année </w:t>
            </w:r>
            <w:r>
              <w:t xml:space="preserve">suivante </w:t>
            </w:r>
            <w:r>
              <w:t xml:space="preserve">pour la </w:t>
            </w:r>
            <w:r>
              <w:t xml:space="preserve">créatinine </w:t>
            </w:r>
            <w:r>
              <w:t xml:space="preserve">sérique </w:t>
            </w:r>
            <w:r>
              <w:t xml:space="preserve">chez les </w:t>
            </w:r>
            <w:r>
              <w:t xml:space="preserve">femmes transfemmes </w:t>
            </w:r>
            <w:r>
              <w:t xml:space="preserve">(moyenne </w:t>
            </w:r>
            <w:r>
              <w:t xml:space="preserve">[</w:t>
            </w:r>
            <w:r>
              <w:rPr>
                <w:sz w:val="20"/>
              </w:rPr>
              <w:t xml:space="preserve">±SD</w:t>
            </w:r>
            <w:r>
              <w:t xml:space="preserve">] </w:t>
            </w:r>
            <w:r>
              <w:t xml:space="preserve">début 70 </w:t>
            </w:r>
            <w:r>
              <w:t xml:space="preserve">[</w:t>
            </w:r>
            <w:r>
              <w:rPr>
                <w:sz w:val="20"/>
              </w:rPr>
              <w:t xml:space="preserve">±12</w:t>
            </w:r>
            <w:r>
              <w:t xml:space="preserve">], </w:t>
            </w:r>
            <w:r>
              <w:t xml:space="preserve">1 an </w:t>
            </w:r>
            <w:r>
              <w:t xml:space="preserve">66 </w:t>
            </w:r>
            <w:r>
              <w:t xml:space="preserve">[</w:t>
            </w:r>
            <w:r>
              <w:rPr>
                <w:sz w:val="20"/>
              </w:rPr>
              <w:t xml:space="preserve">±13</w:t>
            </w:r>
            <w:r>
              <w:t xml:space="preserve">], </w:t>
            </w:r>
            <w:r>
              <w:t xml:space="preserve">p=0,20).</w:t>
            </w:r>
          </w:p>
          <w:p>
            <w:pPr>
              <w:pStyle w:val="TableParagraph"/>
              <w:numPr>
                <w:ilvl w:val="0"/>
                <w:numId w:val="152"/>
              </w:numPr>
              <w:tabs>
                <w:tab w:val="left" w:pos="829"/>
              </w:tabs>
              <w:spacing w:line="252" w:lineRule="exact"/>
              <w:ind w:end="92"/>
              <w:jc w:val="both"/>
            </w:pPr>
            <w:r>
              <w:t xml:space="preserve">On a constaté </w:t>
            </w:r>
            <w:r>
              <w:t xml:space="preserve">une diminution statistiquement significative de la </w:t>
            </w:r>
            <w:r>
              <w:t xml:space="preserve">créatinine sérique </w:t>
            </w:r>
            <w:r>
              <w:t xml:space="preserve">entre le début de l'étude </w:t>
            </w:r>
            <w:r>
              <w:t xml:space="preserve">et l'année suivante chez les transmaliens (début de l'étude 73 [</w:t>
            </w:r>
            <w:r>
              <w:rPr>
                <w:sz w:val="20"/>
              </w:rPr>
              <w:t xml:space="preserve">±8</w:t>
            </w:r>
            <w:r>
              <w:t xml:space="preserve">], </w:t>
            </w:r>
            <w:r>
              <w:t xml:space="preserve">1 </w:t>
            </w:r>
            <w:r>
              <w:t xml:space="preserve">an </w:t>
            </w:r>
            <w:r>
              <w:t xml:space="preserve">68 </w:t>
            </w:r>
            <w:r>
              <w:t xml:space="preserve">[</w:t>
            </w:r>
            <w:r>
              <w:rPr>
                <w:sz w:val="20"/>
              </w:rPr>
              <w:t xml:space="preserve">±13</w:t>
            </w:r>
            <w:r>
              <w:t xml:space="preserve">], </w:t>
            </w:r>
            <w:r>
              <w:t xml:space="preserve">p=0,01).</w:t>
            </w:r>
          </w:p>
        </w:tc>
      </w:tr>
    </w:tbl>
    <w:p w:rsidR="00432386" w:rsidRDefault="00432386">
      <w:pPr>
        <w:spacing w:line="252" w:lineRule="exact"/>
        <w:jc w:val="both"/>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980"/>
        <w:gridCol w:w="7089"/>
      </w:tblGrid>
      <w:tr w:rsidR="00432386">
        <w:trPr>
          <w:trHeight w:val="758"/>
        </w:trPr>
        <w:tc>
          <w:tcPr>
            <w:tcW w:w="1980" w:type="dxa"/>
          </w:tcPr>
          <w:p w:rsidR="00432386" w:rsidRDefault="00432386">
            <w:pPr>
              <w:pStyle w:val="TableParagraph"/>
              <w:rPr>
                <w:rFonts w:ascii="Times New Roman"/>
              </w:rPr>
            </w:pPr>
          </w:p>
        </w:tc>
        <w:tc>
          <w:tcPr>
            <w:tcW w:w="7089" w:type="dxa"/>
          </w:tcPr>
          <w:p w:rsidR="00432386" w:rsidRDefault="00432386">
            <w:pPr>
              <w:pStyle w:val="TableParagraph"/>
              <w:spacing w:before="2"/>
              <w:rPr>
                <w:b/>
                <w:sz w:val="20"/>
              </w:rPr>
            </w:pPr>
          </w:p>
          <w:p>
            <w:pPr>
              <w:pStyle w:val="TableParagraph"/>
              <w:spacing w:line="250" w:lineRule="atLeast"/>
              <w:ind w:start="107"/>
              <w:rPr>
                <w:b/>
              </w:rPr>
            </w:pPr>
            <w:r>
              <w:rPr>
                <w:b/>
              </w:rPr>
              <w:t xml:space="preserve">Cette </w:t>
            </w:r>
            <w:r>
              <w:rPr>
                <w:b/>
              </w:rPr>
              <w:t xml:space="preserve">étude </w:t>
            </w:r>
            <w:r>
              <w:rPr>
                <w:b/>
              </w:rPr>
              <w:t xml:space="preserve">fournit une </w:t>
            </w:r>
            <w:r>
              <w:rPr>
                <w:b/>
              </w:rPr>
              <w:t xml:space="preserve">preuve de </w:t>
            </w:r>
            <w:r>
              <w:rPr>
                <w:b/>
              </w:rPr>
              <w:t xml:space="preserve">très </w:t>
            </w:r>
            <w:r>
              <w:rPr>
                <w:b/>
              </w:rPr>
              <w:t xml:space="preserve">faible </w:t>
            </w:r>
            <w:r>
              <w:rPr>
                <w:b/>
              </w:rPr>
              <w:t xml:space="preserve">certitude </w:t>
            </w:r>
            <w:r>
              <w:rPr>
                <w:b/>
              </w:rPr>
              <w:t xml:space="preserve">que les </w:t>
            </w:r>
            <w:r>
              <w:rPr>
                <w:b/>
              </w:rPr>
              <w:t xml:space="preserve">analogues de la </w:t>
            </w:r>
            <w:r>
              <w:rPr>
                <w:b/>
              </w:rPr>
              <w:t xml:space="preserve">GnRH </w:t>
            </w:r>
            <w:r>
              <w:rPr>
                <w:b/>
              </w:rPr>
              <w:t xml:space="preserve">n'</w:t>
            </w:r>
            <w:r>
              <w:rPr>
                <w:b/>
              </w:rPr>
              <w:t xml:space="preserve">affectent </w:t>
            </w:r>
            <w:r>
              <w:rPr>
                <w:b/>
              </w:rPr>
              <w:t xml:space="preserve">pas </w:t>
            </w:r>
            <w:r>
              <w:rPr>
                <w:b/>
              </w:rPr>
              <w:t xml:space="preserve">la </w:t>
            </w:r>
            <w:r>
              <w:rPr>
                <w:b/>
              </w:rPr>
              <w:t xml:space="preserve">fonction </w:t>
            </w:r>
            <w:r>
              <w:rPr>
                <w:b/>
              </w:rPr>
              <w:t xml:space="preserve">rénale</w:t>
            </w:r>
            <w:r>
              <w:rPr>
                <w:b/>
              </w:rPr>
              <w:t xml:space="preserve">.</w:t>
            </w:r>
          </w:p>
        </w:tc>
      </w:tr>
      <w:tr w:rsidR="00432386">
        <w:trPr>
          <w:trHeight w:val="889"/>
        </w:trPr>
        <w:tc>
          <w:tcPr>
            <w:tcW w:w="1980" w:type="dxa"/>
            <w:tcBorders>
              <w:bottom w:val="nil"/>
            </w:tcBorders>
          </w:tcPr>
          <w:p>
            <w:pPr>
              <w:pStyle w:val="TableParagraph"/>
              <w:ind w:start="107" w:end="216"/>
              <w:rPr>
                <w:b/>
              </w:rPr>
            </w:pPr>
            <w:r>
              <w:rPr>
                <w:b/>
              </w:rPr>
              <w:t xml:space="preserve">Autres </w:t>
            </w:r>
            <w:r>
              <w:rPr>
                <w:b/>
              </w:rPr>
              <w:t xml:space="preserve">critères de </w:t>
            </w:r>
            <w:r>
              <w:rPr>
                <w:b/>
              </w:rPr>
              <w:t xml:space="preserve">sécurité </w:t>
            </w:r>
            <w:r>
              <w:rPr>
                <w:b/>
              </w:rPr>
              <w:t xml:space="preserve">: </w:t>
            </w:r>
            <w:r>
              <w:rPr>
                <w:b/>
              </w:rPr>
              <w:t xml:space="preserve">fonction </w:t>
            </w:r>
            <w:r>
              <w:rPr>
                <w:b/>
              </w:rPr>
              <w:t xml:space="preserve">hépatique</w:t>
            </w:r>
          </w:p>
        </w:tc>
        <w:tc>
          <w:tcPr>
            <w:tcW w:w="7089" w:type="dxa"/>
            <w:tcBorders>
              <w:bottom w:val="nil"/>
            </w:tcBorders>
          </w:tcPr>
          <w:p>
            <w:pPr>
              <w:pStyle w:val="TableParagraph"/>
              <w:ind w:start="107" w:end="97"/>
              <w:jc w:val="both"/>
            </w:pPr>
            <w:r>
              <w:t xml:space="preserve">Il s'agit d'un résultat important car si l</w:t>
            </w:r>
            <w:r>
              <w:t xml:space="preserve">'on </w:t>
            </w:r>
            <w:r>
              <w:t xml:space="preserve">soupçonne une </w:t>
            </w:r>
            <w:r>
              <w:t xml:space="preserve">atteinte hépatique induite par le traitement </w:t>
            </w:r>
            <w:r>
              <w:t xml:space="preserve">(l</w:t>
            </w:r>
            <w:r>
              <w:t xml:space="preserve">'</w:t>
            </w:r>
            <w:r>
              <w:t xml:space="preserve">augmentation des </w:t>
            </w:r>
            <w:r>
              <w:t xml:space="preserve">enzymes </w:t>
            </w:r>
            <w:r>
              <w:t xml:space="preserve">hépatiques </w:t>
            </w:r>
            <w:r>
              <w:t xml:space="preserve">en est </w:t>
            </w:r>
            <w:r>
              <w:t xml:space="preserve">un </w:t>
            </w:r>
            <w:r>
              <w:t xml:space="preserve">marqueur</w:t>
            </w:r>
            <w:r>
              <w:t xml:space="preserve">)</w:t>
            </w:r>
            <w:r>
              <w:t xml:space="preserve">, il </w:t>
            </w:r>
            <w:r>
              <w:t xml:space="preserve">peut être </w:t>
            </w:r>
            <w:r>
              <w:t xml:space="preserve">nécessaire d</w:t>
            </w:r>
            <w:r>
              <w:t xml:space="preserve">'</w:t>
            </w:r>
            <w:r>
              <w:t xml:space="preserve">arrêter les </w:t>
            </w:r>
            <w:r>
              <w:t xml:space="preserve">analogues de la </w:t>
            </w:r>
            <w:r>
              <w:t xml:space="preserve">GnRH</w:t>
            </w:r>
            <w:r>
              <w:t xml:space="preserve">.</w:t>
            </w:r>
          </w:p>
        </w:tc>
      </w:tr>
      <w:tr w:rsidR="00432386">
        <w:trPr>
          <w:trHeight w:val="3079"/>
        </w:trPr>
        <w:tc>
          <w:tcPr>
            <w:tcW w:w="1980" w:type="dxa"/>
            <w:tcBorders>
              <w:top w:val="nil"/>
              <w:bottom w:val="nil"/>
            </w:tcBorders>
          </w:tcPr>
          <w:p>
            <w:pPr>
              <w:pStyle w:val="TableParagraph"/>
              <w:spacing w:before="123"/>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before="123"/>
              <w:ind w:start="107" w:end="92"/>
              <w:jc w:val="both"/>
            </w:pPr>
            <w:r>
              <w:t xml:space="preserve">Une étude observationnelle prospective (</w:t>
            </w:r>
            <w:hyperlink r:id="rId164">
              <w:r>
                <w:rPr>
                  <w:color w:val="0000FF"/>
                  <w:u w:val="single" w:color="0000FF"/>
                </w:rPr>
                <w:t xml:space="preserve">Schagen et al. 2016</w:t>
              </w:r>
            </w:hyperlink>
            <w:r>
              <w:t xml:space="preserve">, n=116) a </w:t>
            </w:r>
            <w:r>
              <w:t xml:space="preserve">fourni des </w:t>
            </w:r>
            <w:r>
              <w:t xml:space="preserve">données </w:t>
            </w:r>
            <w:r>
              <w:t xml:space="preserve">non comparatives </w:t>
            </w:r>
            <w:r>
              <w:t xml:space="preserve">sur l'</w:t>
            </w:r>
            <w:r>
              <w:t xml:space="preserve">élévation des </w:t>
            </w:r>
            <w:r>
              <w:t xml:space="preserve">enzymes </w:t>
            </w:r>
            <w:r>
              <w:t xml:space="preserve">hépatiques </w:t>
            </w:r>
            <w:r>
              <w:t xml:space="preserve">entre le début du traitement par les analogues de la GnRH et pendant l'utilisation. Aucune </w:t>
            </w:r>
            <w:r>
              <w:t xml:space="preserve">valeur </w:t>
            </w:r>
            <w:r>
              <w:t xml:space="preserve">comparative </w:t>
            </w:r>
            <w:r>
              <w:t xml:space="preserve">ou </w:t>
            </w:r>
            <w:r>
              <w:t xml:space="preserve">analyse </w:t>
            </w:r>
            <w:r>
              <w:t xml:space="preserve">statistique </w:t>
            </w:r>
            <w:r>
              <w:t xml:space="preserve">n'a été </w:t>
            </w:r>
            <w:r>
              <w:t xml:space="preserve">rapportée.</w:t>
            </w:r>
          </w:p>
          <w:p>
            <w:pPr>
              <w:pStyle w:val="TableParagraph"/>
              <w:numPr>
                <w:ilvl w:val="0"/>
                <w:numId w:val="151"/>
              </w:numPr>
              <w:tabs>
                <w:tab w:val="left" w:pos="828"/>
                <w:tab w:val="left" w:pos="829"/>
              </w:tabs>
              <w:spacing w:before="3" w:line="237" w:lineRule="auto"/>
              <w:ind w:end="451"/>
            </w:pPr>
            <w:r>
              <w:t xml:space="preserve">La glutamyl-transférase n'a pas été élevée au départ ni pendant l'</w:t>
            </w:r>
            <w:r>
              <w:t xml:space="preserve">utilisation </w:t>
            </w:r>
            <w:r>
              <w:t xml:space="preserve">chez aucune </w:t>
            </w:r>
            <w:r>
              <w:t xml:space="preserve">personne.</w:t>
            </w:r>
          </w:p>
          <w:p>
            <w:pPr>
              <w:pStyle w:val="TableParagraph"/>
              <w:numPr>
                <w:ilvl w:val="0"/>
                <w:numId w:val="151"/>
              </w:numPr>
              <w:tabs>
                <w:tab w:val="left" w:pos="828"/>
                <w:tab w:val="left" w:pos="829"/>
              </w:tabs>
              <w:spacing w:before="3" w:line="237" w:lineRule="auto"/>
              <w:ind w:end="375"/>
            </w:pPr>
            <w:r>
              <w:t xml:space="preserve">De légères élévations de l'AST et de l'ALT au-dessus de la plage de référence </w:t>
            </w:r>
            <w:r>
              <w:t xml:space="preserve">étaient présentes au départ, mais n'étaient pas plus fréquentes pendant l'</w:t>
            </w:r>
            <w:r>
              <w:t xml:space="preserve">utilisation </w:t>
            </w:r>
            <w:r>
              <w:t xml:space="preserve">qu'</w:t>
            </w:r>
            <w:r>
              <w:t xml:space="preserve">au </w:t>
            </w:r>
            <w:r>
              <w:t xml:space="preserve">départ.</w:t>
            </w:r>
          </w:p>
          <w:p>
            <w:pPr>
              <w:pStyle w:val="TableParagraph"/>
              <w:numPr>
                <w:ilvl w:val="0"/>
                <w:numId w:val="151"/>
              </w:numPr>
              <w:tabs>
                <w:tab w:val="left" w:pos="828"/>
                <w:tab w:val="left" w:pos="829"/>
              </w:tabs>
              <w:spacing w:before="5" w:line="237" w:lineRule="auto"/>
              <w:ind w:end="172"/>
            </w:pPr>
            <w:r>
              <w:t xml:space="preserve">Les </w:t>
            </w:r>
            <w:r>
              <w:t xml:space="preserve">taux de </w:t>
            </w:r>
            <w:r>
              <w:t xml:space="preserve">glutamyl </w:t>
            </w:r>
            <w:r>
              <w:t xml:space="preserve">transférase, d'</w:t>
            </w:r>
            <w:r>
              <w:t xml:space="preserve">AST </w:t>
            </w:r>
            <w:r>
              <w:t xml:space="preserve">et d'</w:t>
            </w:r>
            <w:r>
              <w:t xml:space="preserve">ALT </w:t>
            </w:r>
            <w:r>
              <w:t xml:space="preserve">n'ont pas </w:t>
            </w:r>
            <w:r>
              <w:t xml:space="preserve">changé de </w:t>
            </w:r>
            <w:r>
              <w:t xml:space="preserve">façon significative </w:t>
            </w:r>
            <w:r>
              <w:t xml:space="preserve">entre le </w:t>
            </w:r>
            <w:r>
              <w:t xml:space="preserve">début de l'étude </w:t>
            </w:r>
            <w:r>
              <w:t xml:space="preserve">et les </w:t>
            </w:r>
            <w:r>
              <w:t xml:space="preserve">12 mois d'utilisation.</w:t>
            </w:r>
          </w:p>
        </w:tc>
      </w:tr>
      <w:tr w:rsidR="00432386">
        <w:trPr>
          <w:trHeight w:val="629"/>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03" w:line="250" w:lineRule="atLeast"/>
              <w:ind w:start="107"/>
              <w:rPr>
                <w:b/>
              </w:rPr>
            </w:pPr>
            <w:r>
              <w:rPr>
                <w:b/>
                <w:spacing w:val="-1"/>
              </w:rPr>
              <w:t xml:space="preserve">Cette </w:t>
            </w:r>
            <w:r>
              <w:rPr>
                <w:b/>
                <w:spacing w:val="-1"/>
              </w:rPr>
              <w:t xml:space="preserve">étude </w:t>
            </w:r>
            <w:r>
              <w:rPr>
                <w:b/>
                <w:spacing w:val="-1"/>
              </w:rPr>
              <w:t xml:space="preserve">fournit une </w:t>
            </w:r>
            <w:r>
              <w:rPr>
                <w:b/>
              </w:rPr>
              <w:t xml:space="preserve">preuve de </w:t>
            </w:r>
            <w:r>
              <w:rPr>
                <w:b/>
                <w:spacing w:val="-1"/>
              </w:rPr>
              <w:t xml:space="preserve">très </w:t>
            </w:r>
            <w:r>
              <w:rPr>
                <w:b/>
                <w:spacing w:val="-1"/>
              </w:rPr>
              <w:t xml:space="preserve">faible </w:t>
            </w:r>
            <w:r>
              <w:rPr>
                <w:b/>
                <w:spacing w:val="-1"/>
              </w:rPr>
              <w:t xml:space="preserve">certitude </w:t>
            </w:r>
            <w:r>
              <w:rPr>
                <w:b/>
              </w:rPr>
              <w:t xml:space="preserve">(</w:t>
            </w:r>
            <w:r>
              <w:rPr>
                <w:b/>
              </w:rPr>
              <w:t xml:space="preserve">sans </w:t>
            </w:r>
            <w:r>
              <w:rPr>
                <w:b/>
              </w:rPr>
              <w:t xml:space="preserve">analyse </w:t>
            </w:r>
            <w:r>
              <w:rPr>
                <w:b/>
              </w:rPr>
              <w:t xml:space="preserve">statistique</w:t>
            </w:r>
            <w:r>
              <w:rPr>
                <w:b/>
              </w:rPr>
              <w:t xml:space="preserve">) </w:t>
            </w:r>
            <w:r>
              <w:rPr>
                <w:b/>
              </w:rPr>
              <w:t xml:space="preserve">que les </w:t>
            </w:r>
            <w:r>
              <w:rPr>
                <w:b/>
              </w:rPr>
              <w:t xml:space="preserve">analogues de la GnRH </w:t>
            </w:r>
            <w:r>
              <w:rPr>
                <w:b/>
              </w:rPr>
              <w:t xml:space="preserve">n'</w:t>
            </w:r>
            <w:r>
              <w:rPr>
                <w:b/>
              </w:rPr>
              <w:t xml:space="preserve">affectent </w:t>
            </w:r>
            <w:r>
              <w:rPr>
                <w:b/>
              </w:rPr>
              <w:t xml:space="preserve">pas </w:t>
            </w:r>
            <w:r>
              <w:rPr>
                <w:b/>
              </w:rPr>
              <w:t xml:space="preserve">la </w:t>
            </w:r>
            <w:r>
              <w:rPr>
                <w:b/>
              </w:rPr>
              <w:t xml:space="preserve">fonction hépatique.</w:t>
            </w:r>
          </w:p>
        </w:tc>
      </w:tr>
      <w:tr w:rsidR="00432386">
        <w:trPr>
          <w:trHeight w:val="751"/>
        </w:trPr>
        <w:tc>
          <w:tcPr>
            <w:tcW w:w="1980" w:type="dxa"/>
            <w:tcBorders>
              <w:bottom w:val="nil"/>
            </w:tcBorders>
          </w:tcPr>
          <w:p>
            <w:pPr>
              <w:pStyle w:val="TableParagraph"/>
              <w:ind w:start="107"/>
              <w:rPr>
                <w:b/>
              </w:rPr>
            </w:pPr>
            <w:r>
              <w:rPr>
                <w:b/>
              </w:rPr>
              <w:t xml:space="preserve">Autre </w:t>
            </w:r>
            <w:r>
              <w:rPr>
                <w:b/>
              </w:rPr>
              <w:t xml:space="preserve">sécurité</w:t>
            </w:r>
          </w:p>
          <w:p>
            <w:pPr>
              <w:pStyle w:val="TableParagraph"/>
              <w:spacing w:line="252" w:lineRule="exact"/>
              <w:ind w:start="107" w:end="244"/>
              <w:rPr>
                <w:b/>
              </w:rPr>
            </w:pPr>
            <w:r>
              <w:rPr>
                <w:b/>
              </w:rPr>
              <w:t xml:space="preserve">résultats : </w:t>
            </w:r>
            <w:r>
              <w:rPr>
                <w:b/>
              </w:rPr>
              <w:t xml:space="preserve">effets </w:t>
            </w:r>
            <w:r>
              <w:rPr>
                <w:b/>
              </w:rPr>
              <w:t xml:space="preserve">indésirables</w:t>
            </w:r>
          </w:p>
        </w:tc>
        <w:tc>
          <w:tcPr>
            <w:tcW w:w="7089" w:type="dxa"/>
            <w:tcBorders>
              <w:bottom w:val="nil"/>
            </w:tcBorders>
          </w:tcPr>
          <w:p>
            <w:pPr>
              <w:pStyle w:val="TableParagraph"/>
              <w:ind w:start="107"/>
            </w:pPr>
            <w:r>
              <w:t xml:space="preserve">Il s'agit d</w:t>
            </w:r>
            <w:r>
              <w:t xml:space="preserve">'</w:t>
            </w:r>
            <w:r>
              <w:t xml:space="preserve">un </w:t>
            </w:r>
            <w:r>
              <w:t xml:space="preserve">résultat </w:t>
            </w:r>
            <w:r>
              <w:t xml:space="preserve">important </w:t>
            </w:r>
            <w:r>
              <w:t xml:space="preserve">car </w:t>
            </w:r>
            <w:r>
              <w:t xml:space="preserve">en cas d</w:t>
            </w:r>
            <w:r>
              <w:t xml:space="preserve">'</w:t>
            </w:r>
            <w:r>
              <w:t xml:space="preserve">effets </w:t>
            </w:r>
            <w:r>
              <w:t xml:space="preserve">indésirables</w:t>
            </w:r>
            <w:r>
              <w:t xml:space="preserve">, il </w:t>
            </w:r>
            <w:r>
              <w:t xml:space="preserve">peut être </w:t>
            </w:r>
            <w:r>
              <w:t xml:space="preserve">nécessaire d</w:t>
            </w:r>
            <w:r>
              <w:t xml:space="preserve">'</w:t>
            </w:r>
            <w:r>
              <w:t xml:space="preserve">arrêter les </w:t>
            </w:r>
            <w:r>
              <w:t xml:space="preserve">analogues de la </w:t>
            </w:r>
            <w:r>
              <w:t xml:space="preserve">GnRH</w:t>
            </w:r>
            <w:r>
              <w:t xml:space="preserve">.</w:t>
            </w:r>
          </w:p>
        </w:tc>
      </w:tr>
      <w:tr w:rsidR="00432386">
        <w:trPr>
          <w:trHeight w:val="1374"/>
        </w:trPr>
        <w:tc>
          <w:tcPr>
            <w:tcW w:w="1980" w:type="dxa"/>
            <w:tcBorders>
              <w:top w:val="nil"/>
              <w:bottom w:val="nil"/>
            </w:tcBorders>
          </w:tcPr>
          <w:p w:rsidR="00432386" w:rsidRDefault="00432386">
            <w:pPr>
              <w:pStyle w:val="TableParagraph"/>
              <w:spacing w:before="2"/>
              <w:rPr>
                <w:b/>
              </w:rPr>
            </w:pPr>
          </w:p>
          <w:p>
            <w:pPr>
              <w:pStyle w:val="TableParagraph"/>
              <w:ind w:start="107" w:end="314"/>
              <w:rPr>
                <w:b/>
              </w:rPr>
            </w:pPr>
            <w:r>
              <w:rPr>
                <w:b/>
              </w:rPr>
              <w:t xml:space="preserve">Certitude de la </w:t>
            </w:r>
            <w:r>
              <w:rPr>
                <w:b/>
              </w:rPr>
              <w:t xml:space="preserve">preuve : très </w:t>
            </w:r>
            <w:r>
              <w:rPr>
                <w:b/>
              </w:rPr>
              <w:t xml:space="preserve">faible</w:t>
            </w:r>
          </w:p>
        </w:tc>
        <w:tc>
          <w:tcPr>
            <w:tcW w:w="7089" w:type="dxa"/>
            <w:tcBorders>
              <w:top w:val="nil"/>
              <w:bottom w:val="nil"/>
            </w:tcBorders>
          </w:tcPr>
          <w:p>
            <w:pPr>
              <w:pStyle w:val="TableParagraph"/>
              <w:spacing w:line="232" w:lineRule="exact"/>
              <w:ind w:start="107"/>
              <w:jc w:val="both"/>
            </w:pPr>
            <w:r>
              <w:t xml:space="preserve">Une </w:t>
            </w:r>
            <w:r>
              <w:t xml:space="preserve">étude de </w:t>
            </w:r>
            <w:r>
              <w:t xml:space="preserve">cohorte </w:t>
            </w:r>
            <w:r>
              <w:t xml:space="preserve">observationnelle</w:t>
            </w:r>
            <w:r>
              <w:t xml:space="preserve">, non contrôlée et </w:t>
            </w:r>
            <w:r>
              <w:t xml:space="preserve">rétrospective.</w:t>
            </w:r>
          </w:p>
          <w:p>
            <w:pPr>
              <w:pStyle w:val="TableParagraph"/>
              <w:ind w:start="107" w:end="94"/>
              <w:jc w:val="both"/>
            </w:pPr>
            <w:r>
              <w:t xml:space="preserve">(</w:t>
            </w:r>
            <w:hyperlink r:id="rId165">
              <w:r>
                <w:rPr>
                  <w:color w:val="0000FF"/>
                  <w:u w:val="single" w:color="0000FF"/>
                </w:rPr>
                <w:t xml:space="preserve">Khatchadourian et al. 2014</w:t>
              </w:r>
            </w:hyperlink>
            <w:r>
              <w:t xml:space="preserve">) a </w:t>
            </w:r>
            <w:r>
              <w:t xml:space="preserve">fourni des preuves relatives aux </w:t>
            </w:r>
            <w:r>
              <w:t xml:space="preserve">effets </w:t>
            </w:r>
            <w:r>
              <w:t xml:space="preserve">indésirables </w:t>
            </w:r>
            <w:r>
              <w:t xml:space="preserve">des </w:t>
            </w:r>
            <w:r>
              <w:t xml:space="preserve">analogues de la </w:t>
            </w:r>
            <w:r>
              <w:t xml:space="preserve">GnRH</w:t>
            </w:r>
            <w:r>
              <w:t xml:space="preserve">. </w:t>
            </w:r>
            <w:r>
              <w:t xml:space="preserve">Le </w:t>
            </w:r>
            <w:r>
              <w:t xml:space="preserve">rapport </w:t>
            </w:r>
            <w:r>
              <w:t xml:space="preserve">de </w:t>
            </w:r>
            <w:r>
              <w:t xml:space="preserve">sa </w:t>
            </w:r>
            <w:r>
              <w:t xml:space="preserve">cohorte était </w:t>
            </w:r>
            <w:r>
              <w:t xml:space="preserve">incomplet</w:t>
            </w:r>
            <w:r>
              <w:t xml:space="preserve">, </w:t>
            </w:r>
            <w:r>
              <w:t xml:space="preserve">en particulier </w:t>
            </w:r>
            <w:r>
              <w:t xml:space="preserve">pour les </w:t>
            </w:r>
            <w:r>
              <w:t xml:space="preserve">transfemmes </w:t>
            </w:r>
            <w:r>
              <w:t xml:space="preserve">où les </w:t>
            </w:r>
            <w:r>
              <w:t xml:space="preserve">résultats </w:t>
            </w:r>
            <w:r>
              <w:t xml:space="preserve">de </w:t>
            </w:r>
            <w:r>
              <w:t xml:space="preserve">seulement </w:t>
            </w:r>
            <w:r>
              <w:t xml:space="preserve">4/11 </w:t>
            </w:r>
            <w:r>
              <w:t xml:space="preserve">ont été </w:t>
            </w:r>
            <w:r>
              <w:t xml:space="preserve">rapportés.</w:t>
            </w:r>
          </w:p>
        </w:tc>
      </w:tr>
      <w:tr w:rsidR="00432386">
        <w:trPr>
          <w:trHeight w:val="2574"/>
        </w:trPr>
        <w:tc>
          <w:tcPr>
            <w:tcW w:w="1980" w:type="dxa"/>
            <w:tcBorders>
              <w:top w:val="nil"/>
              <w:bottom w:val="nil"/>
            </w:tcBorders>
          </w:tcPr>
          <w:p w:rsidR="00432386" w:rsidRDefault="00432386">
            <w:pPr>
              <w:pStyle w:val="TableParagraph"/>
              <w:rPr>
                <w:rFonts w:ascii="Times New Roman"/>
              </w:rPr>
            </w:pPr>
          </w:p>
        </w:tc>
        <w:tc>
          <w:tcPr>
            <w:tcW w:w="7089" w:type="dxa"/>
            <w:tcBorders>
              <w:top w:val="nil"/>
              <w:bottom w:val="nil"/>
            </w:tcBorders>
          </w:tcPr>
          <w:p>
            <w:pPr>
              <w:pStyle w:val="TableParagraph"/>
              <w:spacing w:before="122"/>
              <w:ind w:start="107" w:end="93"/>
              <w:jc w:val="both"/>
            </w:pPr>
            <w:r>
              <w:t xml:space="preserve">Khatchadourian et al. 2014 ont rapporté des effets indésirables dans une cohorte de 26 </w:t>
            </w:r>
            <w:r>
              <w:t xml:space="preserve">adolescents </w:t>
            </w:r>
            <w:r>
              <w:t xml:space="preserve">(15 transmales </w:t>
            </w:r>
            <w:r>
              <w:t xml:space="preserve">et </w:t>
            </w:r>
            <w:r>
              <w:t xml:space="preserve">11 transfemales) </w:t>
            </w:r>
            <w:r>
              <w:t xml:space="preserve">recevant des </w:t>
            </w:r>
            <w:r>
              <w:t xml:space="preserve">analogues de la </w:t>
            </w:r>
            <w:r>
              <w:t xml:space="preserve">GnRH</w:t>
            </w:r>
            <w:r>
              <w:t xml:space="preserve">. </w:t>
            </w:r>
            <w:r>
              <w:t xml:space="preserve">Parmi </w:t>
            </w:r>
            <w:r>
              <w:t xml:space="preserve">ceux-ci :</w:t>
            </w:r>
          </w:p>
          <w:p>
            <w:pPr>
              <w:pStyle w:val="TableParagraph"/>
              <w:numPr>
                <w:ilvl w:val="0"/>
                <w:numId w:val="150"/>
              </w:numPr>
              <w:tabs>
                <w:tab w:val="left" w:pos="828"/>
                <w:tab w:val="left" w:pos="829"/>
              </w:tabs>
              <w:spacing w:before="4" w:line="237" w:lineRule="auto"/>
              <w:ind w:end="92"/>
            </w:pPr>
            <w:r>
              <w:t xml:space="preserve">1 </w:t>
            </w:r>
            <w:r>
              <w:t xml:space="preserve">transmale a développé des </w:t>
            </w:r>
            <w:r>
              <w:t xml:space="preserve">abcès </w:t>
            </w:r>
            <w:r>
              <w:t xml:space="preserve">stériles </w:t>
            </w:r>
            <w:r>
              <w:t xml:space="preserve">; ils sont </w:t>
            </w:r>
            <w:r>
              <w:t xml:space="preserve">passés </w:t>
            </w:r>
            <w:r>
              <w:t xml:space="preserve">de l'</w:t>
            </w:r>
            <w:r>
              <w:t xml:space="preserve">acétate de </w:t>
            </w:r>
            <w:r>
              <w:t xml:space="preserve">leuprolide </w:t>
            </w:r>
            <w:r>
              <w:t xml:space="preserve">à la </w:t>
            </w:r>
            <w:r>
              <w:t xml:space="preserve">triptoréline</w:t>
            </w:r>
            <w:r>
              <w:t xml:space="preserve">, </w:t>
            </w:r>
            <w:r>
              <w:t xml:space="preserve">qui </w:t>
            </w:r>
            <w:r>
              <w:t xml:space="preserve">a été </w:t>
            </w:r>
            <w:r>
              <w:t xml:space="preserve">bien </w:t>
            </w:r>
            <w:r>
              <w:t xml:space="preserve">tolérée.</w:t>
            </w:r>
          </w:p>
          <w:p>
            <w:pPr>
              <w:pStyle w:val="TableParagraph"/>
              <w:numPr>
                <w:ilvl w:val="0"/>
                <w:numId w:val="150"/>
              </w:numPr>
              <w:tabs>
                <w:tab w:val="left" w:pos="828"/>
                <w:tab w:val="left" w:pos="829"/>
              </w:tabs>
              <w:spacing w:before="3" w:line="237" w:lineRule="auto"/>
              <w:ind w:end="96"/>
            </w:pPr>
            <w:r>
              <w:t xml:space="preserve">1 </w:t>
            </w:r>
            <w:r>
              <w:t xml:space="preserve">transmale </w:t>
            </w:r>
            <w:r>
              <w:t xml:space="preserve">a développé des </w:t>
            </w:r>
            <w:r>
              <w:t xml:space="preserve">douleurs dans </w:t>
            </w:r>
            <w:r>
              <w:t xml:space="preserve">les jambes </w:t>
            </w:r>
            <w:r>
              <w:t xml:space="preserve">et des </w:t>
            </w:r>
            <w:r>
              <w:t xml:space="preserve">maux de tête, </w:t>
            </w:r>
            <w:r>
              <w:t xml:space="preserve">qui ont </w:t>
            </w:r>
            <w:r>
              <w:t xml:space="preserve">fini par disparaître.</w:t>
            </w:r>
          </w:p>
          <w:p>
            <w:pPr>
              <w:pStyle w:val="TableParagraph"/>
              <w:numPr>
                <w:ilvl w:val="0"/>
                <w:numId w:val="150"/>
              </w:numPr>
              <w:tabs>
                <w:tab w:val="left" w:pos="828"/>
                <w:tab w:val="left" w:pos="829"/>
              </w:tabs>
              <w:spacing w:before="4" w:line="237" w:lineRule="auto"/>
              <w:ind w:end="93"/>
            </w:pPr>
            <w:r>
              <w:t xml:space="preserve">Un </w:t>
            </w:r>
            <w:r>
              <w:t xml:space="preserve">participant a </w:t>
            </w:r>
            <w:r>
              <w:t xml:space="preserve">pris </w:t>
            </w:r>
            <w:r>
              <w:t xml:space="preserve">19 </w:t>
            </w:r>
            <w:r>
              <w:t xml:space="preserve">kg </w:t>
            </w:r>
            <w:r>
              <w:t xml:space="preserve">dans les </w:t>
            </w:r>
            <w:r>
              <w:t xml:space="preserve">9 </w:t>
            </w:r>
            <w:r>
              <w:t xml:space="preserve">mois </w:t>
            </w:r>
            <w:r>
              <w:t xml:space="preserve">suivant le </w:t>
            </w:r>
            <w:r>
              <w:t xml:space="preserve">début de la prise d'</w:t>
            </w:r>
            <w:r>
              <w:t xml:space="preserve">analogues de la </w:t>
            </w:r>
            <w:r>
              <w:t xml:space="preserve">GnRH</w:t>
            </w:r>
            <w:r>
              <w:t xml:space="preserve">.</w:t>
            </w:r>
          </w:p>
        </w:tc>
      </w:tr>
      <w:tr w:rsidR="00432386">
        <w:trPr>
          <w:trHeight w:val="881"/>
        </w:trPr>
        <w:tc>
          <w:tcPr>
            <w:tcW w:w="1980" w:type="dxa"/>
            <w:tcBorders>
              <w:top w:val="nil"/>
            </w:tcBorders>
          </w:tcPr>
          <w:p w:rsidR="00432386" w:rsidRDefault="00432386">
            <w:pPr>
              <w:pStyle w:val="TableParagraph"/>
              <w:rPr>
                <w:rFonts w:ascii="Times New Roman"/>
              </w:rPr>
            </w:pPr>
          </w:p>
        </w:tc>
        <w:tc>
          <w:tcPr>
            <w:tcW w:w="7089" w:type="dxa"/>
            <w:tcBorders>
              <w:top w:val="nil"/>
            </w:tcBorders>
          </w:tcPr>
          <w:p>
            <w:pPr>
              <w:pStyle w:val="TableParagraph"/>
              <w:spacing w:before="123"/>
              <w:ind w:start="107"/>
              <w:rPr>
                <w:b/>
              </w:rPr>
            </w:pPr>
            <w:r>
              <w:rPr>
                <w:b/>
              </w:rPr>
              <w:t xml:space="preserve">Cette </w:t>
            </w:r>
            <w:r>
              <w:rPr>
                <w:b/>
              </w:rPr>
              <w:t xml:space="preserve">étude </w:t>
            </w:r>
            <w:r>
              <w:rPr>
                <w:b/>
              </w:rPr>
              <w:t xml:space="preserve">fournit des </w:t>
            </w:r>
            <w:r>
              <w:rPr>
                <w:b/>
              </w:rPr>
              <w:t xml:space="preserve">preuves de </w:t>
            </w:r>
            <w:r>
              <w:rPr>
                <w:b/>
              </w:rPr>
              <w:t xml:space="preserve">très </w:t>
            </w:r>
            <w:r>
              <w:rPr>
                <w:b/>
              </w:rPr>
              <w:t xml:space="preserve">faible </w:t>
            </w:r>
            <w:r>
              <w:rPr>
                <w:b/>
              </w:rPr>
              <w:t xml:space="preserve">certitude </w:t>
            </w:r>
            <w:r>
              <w:rPr>
                <w:b/>
              </w:rPr>
              <w:t xml:space="preserve">concernant les </w:t>
            </w:r>
            <w:r>
              <w:rPr>
                <w:b/>
              </w:rPr>
              <w:t xml:space="preserve">effets </w:t>
            </w:r>
            <w:r>
              <w:rPr>
                <w:b/>
              </w:rPr>
              <w:t xml:space="preserve">indésirables </w:t>
            </w:r>
            <w:r>
              <w:rPr>
                <w:b/>
              </w:rPr>
              <w:t xml:space="preserve">potentiels </w:t>
            </w:r>
            <w:r>
              <w:rPr>
                <w:b/>
              </w:rPr>
              <w:t xml:space="preserve">des </w:t>
            </w:r>
            <w:r>
              <w:rPr>
                <w:b/>
              </w:rPr>
              <w:t xml:space="preserve">analogues de la </w:t>
            </w:r>
            <w:r>
              <w:rPr>
                <w:b/>
              </w:rPr>
              <w:t xml:space="preserve">GnRH</w:t>
            </w:r>
            <w:r>
              <w:rPr>
                <w:b/>
              </w:rPr>
              <w:t xml:space="preserve">. </w:t>
            </w:r>
            <w:r>
              <w:rPr>
                <w:b/>
              </w:rPr>
              <w:t xml:space="preserve">Aucune </w:t>
            </w:r>
            <w:r>
              <w:rPr>
                <w:b/>
              </w:rPr>
              <w:t xml:space="preserve">conclusion </w:t>
            </w:r>
            <w:r>
              <w:rPr>
                <w:b/>
              </w:rPr>
              <w:t xml:space="preserve">n'a </w:t>
            </w:r>
            <w:r>
              <w:rPr>
                <w:b/>
              </w:rPr>
              <w:t xml:space="preserve">pu </w:t>
            </w:r>
            <w:r>
              <w:rPr>
                <w:b/>
              </w:rPr>
              <w:t xml:space="preserve">être</w:t>
            </w:r>
          </w:p>
          <w:p>
            <w:pPr>
              <w:pStyle w:val="TableParagraph"/>
              <w:spacing w:before="1" w:line="232" w:lineRule="exact"/>
              <w:ind w:start="107"/>
              <w:rPr>
                <w:b/>
              </w:rPr>
            </w:pPr>
            <w:r>
              <w:rPr>
                <w:b/>
              </w:rPr>
              <w:t xml:space="preserve">dessiné.</w:t>
            </w:r>
          </w:p>
        </w:tc>
      </w:tr>
    </w:tbl>
    <w:p>
      <w:pPr>
        <w:pStyle w:val="Corpsdetexte"/>
        <w:spacing w:before="1"/>
        <w:ind w:end="454"/>
        <w:jc w:val="both"/>
      </w:pPr>
      <w:r>
        <w:rPr>
          <w:b/>
        </w:rPr>
        <w:t xml:space="preserve">Abréviations : </w:t>
      </w:r>
      <w:r>
        <w:t xml:space="preserve">ALT, alanine aminotransférase ; AST, aspartate aminotransférase ; BMAD, </w:t>
      </w:r>
      <w:r>
        <w:t xml:space="preserve">densité minérale osseuse apparente ; BMD, densité minérale osseuse ; GnRH, gonadotrophin releasing </w:t>
      </w:r>
      <w:r>
        <w:t xml:space="preserve">hormone ; </w:t>
      </w:r>
      <w:r>
        <w:t xml:space="preserve">QI, </w:t>
      </w:r>
      <w:r>
        <w:t xml:space="preserve">quotient </w:t>
      </w:r>
      <w:r>
        <w:t xml:space="preserve">intellectuel </w:t>
      </w:r>
      <w:r>
        <w:t xml:space="preserve">; NS, non significatif ; </w:t>
      </w:r>
      <w:r>
        <w:t xml:space="preserve">SD, </w:t>
      </w:r>
      <w:r>
        <w:t xml:space="preserve">écart-type.</w:t>
      </w:r>
    </w:p>
    <w:p w:rsidR="00432386" w:rsidRDefault="00432386">
      <w:pPr>
        <w:pStyle w:val="Corpsdetexte"/>
        <w:spacing w:before="3"/>
        <w:ind w:start="0"/>
        <w:rPr>
          <w:sz w:val="24"/>
        </w:rPr>
      </w:pPr>
    </w:p>
    <w:p>
      <w:pPr>
        <w:pStyle w:val="Titre1"/>
        <w:spacing w:line="276" w:lineRule="auto"/>
        <w:ind w:end="1362"/>
      </w:pPr>
      <w:r>
        <w:rPr>
          <w:color w:val="4F81BC"/>
        </w:rPr>
        <w:t xml:space="preserve">Chez les enfants et les </w:t>
      </w:r>
      <w:r>
        <w:rPr>
          <w:color w:val="4F81BC"/>
        </w:rPr>
        <w:t xml:space="preserve">adolescents souffrant de dysphorie de genre, quel est le rapport </w:t>
      </w:r>
      <w:r>
        <w:rPr>
          <w:color w:val="4F81BC"/>
        </w:rPr>
        <w:t xml:space="preserve">coût-efficacité des analogues de la GnRH par rapport à une ou une combinaison de </w:t>
      </w:r>
      <w:r>
        <w:rPr>
          <w:color w:val="4F81BC"/>
        </w:rPr>
        <w:t xml:space="preserve">soutien psychologique, de transition sociale vers le genre désiré ou d'aucune </w:t>
      </w:r>
      <w:r>
        <w:rPr>
          <w:color w:val="4F81BC"/>
        </w:rPr>
        <w:t xml:space="preserve">intervention ?</w:t>
      </w:r>
    </w:p>
    <w:p w:rsidR="00432386" w:rsidRDefault="00432386">
      <w:pPr>
        <w:pStyle w:val="Corpsdetexte"/>
        <w:spacing w:before="3"/>
        <w:ind w:start="0"/>
        <w:rPr>
          <w:b/>
          <w:sz w:val="17"/>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720"/>
        <w:gridCol w:w="6349"/>
      </w:tblGrid>
      <w:tr w:rsidR="00432386">
        <w:trPr>
          <w:trHeight w:val="275"/>
        </w:trPr>
        <w:tc>
          <w:tcPr>
            <w:tcW w:w="2720" w:type="dxa"/>
          </w:tcPr>
          <w:p>
            <w:pPr>
              <w:pStyle w:val="TableParagraph"/>
              <w:spacing w:line="255" w:lineRule="exact"/>
              <w:ind w:start="107"/>
              <w:rPr>
                <w:b/>
                <w:sz w:val="24"/>
              </w:rPr>
            </w:pPr>
            <w:r>
              <w:rPr>
                <w:b/>
                <w:sz w:val="24"/>
              </w:rPr>
              <w:t xml:space="preserve">Résultat</w:t>
            </w:r>
          </w:p>
        </w:tc>
        <w:tc>
          <w:tcPr>
            <w:tcW w:w="6349" w:type="dxa"/>
          </w:tcPr>
          <w:p>
            <w:pPr>
              <w:pStyle w:val="TableParagraph"/>
              <w:spacing w:line="255" w:lineRule="exact"/>
              <w:ind w:start="107"/>
              <w:rPr>
                <w:b/>
                <w:sz w:val="24"/>
              </w:rPr>
            </w:pPr>
            <w:r>
              <w:rPr>
                <w:b/>
                <w:sz w:val="24"/>
              </w:rPr>
              <w:t xml:space="preserve">Déclaration de </w:t>
            </w:r>
            <w:r>
              <w:rPr>
                <w:b/>
                <w:sz w:val="24"/>
              </w:rPr>
              <w:t xml:space="preserve">preuves</w:t>
            </w:r>
          </w:p>
        </w:tc>
      </w:tr>
    </w:tbl>
    <w:p w:rsidR="00432386" w:rsidRDefault="00432386">
      <w:pPr>
        <w:spacing w:line="255" w:lineRule="exact"/>
        <w:rPr>
          <w:sz w:val="24"/>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720"/>
        <w:gridCol w:w="6349"/>
      </w:tblGrid>
      <w:tr w:rsidR="00432386">
        <w:trPr>
          <w:trHeight w:val="758"/>
        </w:trPr>
        <w:tc>
          <w:tcPr>
            <w:tcW w:w="2720" w:type="dxa"/>
          </w:tcPr>
          <w:p>
            <w:pPr>
              <w:pStyle w:val="TableParagraph"/>
              <w:ind w:start="107"/>
              <w:rPr>
                <w:b/>
              </w:rPr>
            </w:pPr>
            <w:r>
              <w:rPr>
                <w:b/>
              </w:rPr>
              <w:lastRenderedPageBreak/>
              <w:t xml:space="preserve">Rapport coût-efficacité</w:t>
            </w:r>
          </w:p>
        </w:tc>
        <w:tc>
          <w:tcPr>
            <w:tcW w:w="6349" w:type="dxa"/>
          </w:tcPr>
          <w:p>
            <w:pPr>
              <w:pStyle w:val="TableParagraph"/>
              <w:ind w:start="107"/>
            </w:pPr>
            <w:r>
              <w:t xml:space="preserve">Aucune </w:t>
            </w:r>
            <w:r>
              <w:t xml:space="preserve">étude </w:t>
            </w:r>
            <w:r>
              <w:t xml:space="preserve">n'a </w:t>
            </w:r>
            <w:r>
              <w:t xml:space="preserve">été </w:t>
            </w:r>
            <w:r>
              <w:t xml:space="preserve">identifiée </w:t>
            </w:r>
            <w:r>
              <w:t xml:space="preserve">pour </w:t>
            </w:r>
            <w:r>
              <w:t xml:space="preserve">évaluer le </w:t>
            </w:r>
            <w:r>
              <w:t xml:space="preserve">rapport coût-efficacité </w:t>
            </w:r>
            <w:r>
              <w:t xml:space="preserve">des </w:t>
            </w:r>
            <w:r>
              <w:t xml:space="preserve">analogues de la </w:t>
            </w:r>
            <w:r>
              <w:t xml:space="preserve">GnRH </w:t>
            </w:r>
            <w:r>
              <w:t xml:space="preserve">pour les </w:t>
            </w:r>
            <w:r>
              <w:t xml:space="preserve">enfants </w:t>
            </w:r>
            <w:r>
              <w:t xml:space="preserve">et les </w:t>
            </w:r>
            <w:r>
              <w:t xml:space="preserve">adolescents </w:t>
            </w:r>
            <w:r>
              <w:t xml:space="preserve">présentant un </w:t>
            </w:r>
            <w:r>
              <w:t xml:space="preserve">trouble </w:t>
            </w:r>
            <w:r>
              <w:t xml:space="preserve">du sexe.</w:t>
            </w:r>
          </w:p>
          <w:p>
            <w:pPr>
              <w:pStyle w:val="TableParagraph"/>
              <w:spacing w:line="232" w:lineRule="exact"/>
              <w:ind w:start="107"/>
            </w:pPr>
            <w:r>
              <w:t xml:space="preserve">dysphorie.</w:t>
            </w:r>
          </w:p>
        </w:tc>
      </w:tr>
    </w:tbl>
    <w:p w:rsidR="00432386" w:rsidRDefault="00432386">
      <w:pPr>
        <w:pStyle w:val="Corpsdetexte"/>
        <w:spacing w:before="1"/>
        <w:ind w:start="0"/>
        <w:rPr>
          <w:b/>
          <w:sz w:val="17"/>
        </w:rPr>
      </w:pPr>
    </w:p>
    <w:p>
      <w:pPr>
        <w:spacing w:before="92" w:line="276" w:lineRule="auto"/>
        <w:ind w:start="160" w:end="459"/>
        <w:jc w:val="both"/>
        <w:rPr>
          <w:b/>
          <w:sz w:val="24"/>
        </w:rPr>
      </w:pPr>
      <w:r>
        <w:rPr>
          <w:b/>
          <w:color w:val="4F81BC"/>
          <w:sz w:val="24"/>
        </w:rPr>
        <w:t xml:space="preserve">D'après </w:t>
      </w:r>
      <w:r>
        <w:rPr>
          <w:b/>
          <w:color w:val="4F81BC"/>
          <w:sz w:val="24"/>
        </w:rPr>
        <w:t xml:space="preserve">les </w:t>
      </w:r>
      <w:r>
        <w:rPr>
          <w:b/>
          <w:color w:val="4F81BC"/>
          <w:sz w:val="24"/>
        </w:rPr>
        <w:t xml:space="preserve">preuves </w:t>
      </w:r>
      <w:r>
        <w:rPr>
          <w:b/>
          <w:color w:val="4F81BC"/>
          <w:sz w:val="24"/>
        </w:rPr>
        <w:t xml:space="preserve">sélectionnées, </w:t>
      </w:r>
      <w:r>
        <w:rPr>
          <w:b/>
          <w:color w:val="4F81BC"/>
          <w:sz w:val="24"/>
        </w:rPr>
        <w:t xml:space="preserve">existe-t-il </w:t>
      </w:r>
      <w:r>
        <w:rPr>
          <w:b/>
          <w:color w:val="4F81BC"/>
          <w:sz w:val="24"/>
        </w:rPr>
        <w:t xml:space="preserve">des </w:t>
      </w:r>
      <w:r>
        <w:rPr>
          <w:b/>
          <w:color w:val="4F81BC"/>
          <w:sz w:val="24"/>
        </w:rPr>
        <w:t xml:space="preserve">sous-groupes </w:t>
      </w:r>
      <w:r>
        <w:rPr>
          <w:b/>
          <w:color w:val="4F81BC"/>
          <w:sz w:val="24"/>
        </w:rPr>
        <w:t xml:space="preserve">d'</w:t>
      </w:r>
      <w:r>
        <w:rPr>
          <w:b/>
          <w:color w:val="4F81BC"/>
          <w:sz w:val="24"/>
        </w:rPr>
        <w:t xml:space="preserve">enfants </w:t>
      </w:r>
      <w:r>
        <w:rPr>
          <w:b/>
          <w:color w:val="4F81BC"/>
          <w:sz w:val="24"/>
        </w:rPr>
        <w:t xml:space="preserve">et d'</w:t>
      </w:r>
      <w:r>
        <w:rPr>
          <w:b/>
          <w:color w:val="4F81BC"/>
          <w:spacing w:val="-1"/>
          <w:sz w:val="24"/>
        </w:rPr>
        <w:t xml:space="preserve">adolescents </w:t>
      </w:r>
      <w:r>
        <w:rPr>
          <w:b/>
          <w:color w:val="4F81BC"/>
          <w:spacing w:val="-1"/>
          <w:sz w:val="24"/>
        </w:rPr>
        <w:t xml:space="preserve">souffrant de </w:t>
      </w:r>
      <w:r>
        <w:rPr>
          <w:b/>
          <w:color w:val="4F81BC"/>
          <w:spacing w:val="-1"/>
          <w:sz w:val="24"/>
        </w:rPr>
        <w:t xml:space="preserve">dysphorie de </w:t>
      </w:r>
      <w:r>
        <w:rPr>
          <w:b/>
          <w:color w:val="4F81BC"/>
          <w:spacing w:val="-1"/>
          <w:sz w:val="24"/>
        </w:rPr>
        <w:t xml:space="preserve">genre </w:t>
      </w:r>
      <w:r>
        <w:rPr>
          <w:b/>
          <w:color w:val="4F81BC"/>
          <w:sz w:val="24"/>
        </w:rPr>
        <w:t xml:space="preserve">qui </w:t>
      </w:r>
      <w:r>
        <w:rPr>
          <w:b/>
          <w:color w:val="4F81BC"/>
          <w:sz w:val="24"/>
        </w:rPr>
        <w:t xml:space="preserve">pourraient </w:t>
      </w:r>
      <w:r>
        <w:rPr>
          <w:b/>
          <w:color w:val="4F81BC"/>
          <w:sz w:val="24"/>
        </w:rPr>
        <w:t xml:space="preserve">bénéficier </w:t>
      </w:r>
      <w:r>
        <w:rPr>
          <w:b/>
          <w:color w:val="4F81BC"/>
          <w:sz w:val="24"/>
        </w:rPr>
        <w:t xml:space="preserve">davantage </w:t>
      </w:r>
      <w:r>
        <w:rPr>
          <w:b/>
          <w:color w:val="4F81BC"/>
          <w:sz w:val="24"/>
        </w:rPr>
        <w:t xml:space="preserve">des </w:t>
      </w:r>
      <w:r>
        <w:rPr>
          <w:b/>
          <w:color w:val="4F81BC"/>
          <w:sz w:val="24"/>
        </w:rPr>
        <w:t xml:space="preserve">analogues de la </w:t>
      </w:r>
      <w:r>
        <w:rPr>
          <w:b/>
          <w:color w:val="4F81BC"/>
          <w:sz w:val="24"/>
        </w:rPr>
        <w:t xml:space="preserve">GnRH </w:t>
      </w:r>
      <w:r>
        <w:rPr>
          <w:b/>
          <w:color w:val="4F81BC"/>
          <w:sz w:val="24"/>
        </w:rPr>
        <w:t xml:space="preserve">que la </w:t>
      </w:r>
      <w:r>
        <w:rPr>
          <w:b/>
          <w:color w:val="4F81BC"/>
          <w:sz w:val="24"/>
        </w:rPr>
        <w:t xml:space="preserve">population d'</w:t>
      </w:r>
      <w:r>
        <w:rPr>
          <w:b/>
          <w:color w:val="4F81BC"/>
          <w:sz w:val="24"/>
        </w:rPr>
        <w:t xml:space="preserve">intérêt </w:t>
      </w:r>
      <w:r>
        <w:rPr>
          <w:b/>
          <w:color w:val="4F81BC"/>
          <w:sz w:val="24"/>
        </w:rPr>
        <w:t xml:space="preserve">plus large </w:t>
      </w:r>
      <w:r>
        <w:rPr>
          <w:b/>
          <w:color w:val="4F81BC"/>
          <w:sz w:val="24"/>
        </w:rPr>
        <w:t xml:space="preserve">?</w:t>
      </w:r>
    </w:p>
    <w:p w:rsidR="00432386" w:rsidRDefault="00432386">
      <w:pPr>
        <w:pStyle w:val="Corpsdetexte"/>
        <w:spacing w:before="7"/>
        <w:ind w:start="0"/>
        <w:rPr>
          <w:b/>
          <w:sz w:val="27"/>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277"/>
        </w:trPr>
        <w:tc>
          <w:tcPr>
            <w:tcW w:w="2122" w:type="dxa"/>
          </w:tcPr>
          <w:p>
            <w:pPr>
              <w:pStyle w:val="TableParagraph"/>
              <w:spacing w:before="2" w:line="255" w:lineRule="exact"/>
              <w:ind w:start="107"/>
              <w:rPr>
                <w:b/>
                <w:sz w:val="24"/>
              </w:rPr>
            </w:pPr>
            <w:r>
              <w:rPr>
                <w:b/>
                <w:sz w:val="24"/>
              </w:rPr>
              <w:t xml:space="preserve">Sous-groupe</w:t>
            </w:r>
          </w:p>
        </w:tc>
        <w:tc>
          <w:tcPr>
            <w:tcW w:w="6948" w:type="dxa"/>
          </w:tcPr>
          <w:p>
            <w:pPr>
              <w:pStyle w:val="TableParagraph"/>
              <w:spacing w:before="2" w:line="255" w:lineRule="exact"/>
              <w:ind w:start="107"/>
              <w:rPr>
                <w:b/>
                <w:sz w:val="24"/>
              </w:rPr>
            </w:pPr>
            <w:r>
              <w:rPr>
                <w:b/>
                <w:sz w:val="24"/>
              </w:rPr>
              <w:t xml:space="preserve">Déclaration de </w:t>
            </w:r>
            <w:r>
              <w:rPr>
                <w:b/>
                <w:sz w:val="24"/>
              </w:rPr>
              <w:t xml:space="preserve">preuves</w:t>
            </w:r>
          </w:p>
        </w:tc>
      </w:tr>
      <w:tr w:rsidR="00432386">
        <w:trPr>
          <w:trHeight w:val="11415"/>
        </w:trPr>
        <w:tc>
          <w:tcPr>
            <w:tcW w:w="2122" w:type="dxa"/>
          </w:tcPr>
          <w:p>
            <w:pPr>
              <w:pStyle w:val="TableParagraph"/>
              <w:ind w:start="107" w:end="322"/>
              <w:rPr>
                <w:b/>
              </w:rPr>
            </w:pPr>
            <w:r>
              <w:rPr>
                <w:b/>
              </w:rPr>
              <w:t xml:space="preserve">Sexe assigné à la </w:t>
            </w:r>
            <w:r>
              <w:rPr>
                <w:b/>
              </w:rPr>
              <w:t xml:space="preserve">naissance : hommes </w:t>
            </w:r>
            <w:r>
              <w:rPr>
                <w:b/>
              </w:rPr>
              <w:t xml:space="preserve">(transfemmes)</w:t>
            </w:r>
          </w:p>
          <w:p w:rsidR="00432386" w:rsidRDefault="00432386">
            <w:pPr>
              <w:pStyle w:val="TableParagraph"/>
              <w:spacing w:before="9"/>
              <w:rPr>
                <w:b/>
                <w:sz w:val="21"/>
              </w:rPr>
            </w:pPr>
          </w:p>
          <w:p>
            <w:pPr>
              <w:pStyle w:val="TableParagraph"/>
              <w:spacing w:before="1"/>
              <w:ind w:start="107" w:end="431"/>
              <w:rPr>
                <w:b/>
              </w:rPr>
            </w:pPr>
            <w:r>
              <w:rPr>
                <w:b/>
              </w:rPr>
              <w:t xml:space="preserve">Certitude de la </w:t>
            </w:r>
            <w:r>
              <w:rPr>
                <w:b/>
              </w:rPr>
              <w:t xml:space="preserve">preuve : Très </w:t>
            </w:r>
            <w:r>
              <w:rPr>
                <w:b/>
              </w:rPr>
              <w:t xml:space="preserve">faible</w:t>
            </w:r>
          </w:p>
        </w:tc>
        <w:tc>
          <w:tcPr>
            <w:tcW w:w="6948" w:type="dxa"/>
          </w:tcPr>
          <w:p>
            <w:pPr>
              <w:pStyle w:val="TableParagraph"/>
              <w:ind w:start="107" w:end="94"/>
              <w:jc w:val="both"/>
            </w:pPr>
            <w:r>
              <w:t xml:space="preserve">Certaines </w:t>
            </w:r>
            <w:r>
              <w:t xml:space="preserve">études </w:t>
            </w:r>
            <w:r>
              <w:t xml:space="preserve">ont rapporté des </w:t>
            </w:r>
            <w:r>
              <w:t xml:space="preserve">données </w:t>
            </w:r>
            <w:r>
              <w:t xml:space="preserve">séparément </w:t>
            </w:r>
            <w:r>
              <w:t xml:space="preserve">pour les </w:t>
            </w:r>
            <w:r>
              <w:t xml:space="preserve">hommes </w:t>
            </w:r>
            <w:r>
              <w:t xml:space="preserve">assignés au </w:t>
            </w:r>
            <w:r>
              <w:t xml:space="preserve">sexe </w:t>
            </w:r>
            <w:r>
              <w:t xml:space="preserve">à la </w:t>
            </w:r>
            <w:r>
              <w:t xml:space="preserve">naissance </w:t>
            </w:r>
            <w:r>
              <w:t xml:space="preserve">(transfemmes). </w:t>
            </w:r>
            <w:r>
              <w:t xml:space="preserve">Cela </w:t>
            </w:r>
            <w:r>
              <w:t xml:space="preserve">inclut </w:t>
            </w:r>
            <w:r>
              <w:t xml:space="preserve">certaines </w:t>
            </w:r>
            <w:r>
              <w:t xml:space="preserve">comparaisons </w:t>
            </w:r>
            <w:r>
              <w:t xml:space="preserve">directes </w:t>
            </w:r>
            <w:r>
              <w:t xml:space="preserve">avec les </w:t>
            </w:r>
            <w:r>
              <w:t xml:space="preserve">femmes </w:t>
            </w:r>
            <w:r>
              <w:t xml:space="preserve">assignées à </w:t>
            </w:r>
            <w:r>
              <w:t xml:space="preserve">la </w:t>
            </w:r>
            <w:r>
              <w:t xml:space="preserve">naissance </w:t>
            </w:r>
            <w:r>
              <w:t xml:space="preserve">(transmales).</w:t>
            </w:r>
          </w:p>
          <w:p w:rsidR="00432386" w:rsidRDefault="00432386">
            <w:pPr>
              <w:pStyle w:val="TableParagraph"/>
              <w:spacing w:before="9"/>
              <w:rPr>
                <w:b/>
                <w:sz w:val="21"/>
              </w:rPr>
            </w:pPr>
          </w:p>
          <w:p>
            <w:pPr>
              <w:pStyle w:val="TableParagraph"/>
              <w:spacing w:before="1"/>
              <w:ind w:start="107"/>
              <w:jc w:val="both"/>
              <w:rPr>
                <w:b/>
              </w:rPr>
            </w:pPr>
            <w:r>
              <w:rPr>
                <w:b/>
              </w:rPr>
              <w:t xml:space="preserve">Impact </w:t>
            </w:r>
            <w:r>
              <w:rPr>
                <w:b/>
              </w:rPr>
              <w:t xml:space="preserve">sur la </w:t>
            </w:r>
            <w:r>
              <w:rPr>
                <w:b/>
              </w:rPr>
              <w:t xml:space="preserve">dysphorie de </w:t>
            </w:r>
            <w:r>
              <w:rPr>
                <w:b/>
              </w:rPr>
              <w:t xml:space="preserve">genre</w:t>
            </w:r>
          </w:p>
          <w:p>
            <w:pPr>
              <w:pStyle w:val="TableParagraph"/>
              <w:spacing w:before="1"/>
              <w:ind w:start="107" w:end="91"/>
              <w:jc w:val="both"/>
            </w:pPr>
            <w:r>
              <w:t xml:space="preserve">Une étude longitudinale observationnelle prospective non contrôlée (</w:t>
            </w:r>
            <w:hyperlink r:id="rId166">
              <w:r>
                <w:rPr>
                  <w:color w:val="0000FF"/>
                  <w:u w:val="single" w:color="0000FF"/>
                </w:rPr>
                <w:t xml:space="preserve">de </w:t>
              </w:r>
            </w:hyperlink>
            <w:hyperlink r:id="rId167">
              <w:r>
                <w:rPr>
                  <w:color w:val="0000FF"/>
                  <w:u w:val="single" w:color="0000FF"/>
                </w:rPr>
                <w:t xml:space="preserve">Vries et al. 2011</w:t>
              </w:r>
            </w:hyperlink>
            <w:r>
              <w:t xml:space="preserve">) a fourni des preuves de la dysphorie de genre </w:t>
            </w:r>
            <w:r>
              <w:t xml:space="preserve">chez les </w:t>
            </w:r>
            <w:r>
              <w:t xml:space="preserve">hommes assignés à un </w:t>
            </w:r>
            <w:r>
              <w:t xml:space="preserve">sexe à </w:t>
            </w:r>
            <w:r>
              <w:t xml:space="preserve">la naissance. Voir le tableau des résultats de l'efficacité clinique </w:t>
            </w:r>
            <w:r>
              <w:t xml:space="preserve">ci-dessus </w:t>
            </w:r>
            <w:r>
              <w:t xml:space="preserve">pour </w:t>
            </w:r>
            <w:r>
              <w:t xml:space="preserve">une </w:t>
            </w:r>
            <w:r>
              <w:t xml:space="preserve">description complète de l</w:t>
            </w:r>
            <w:r>
              <w:t xml:space="preserve">'</w:t>
            </w:r>
            <w:r>
              <w:t xml:space="preserve">étude.</w:t>
            </w:r>
          </w:p>
          <w:p>
            <w:pPr>
              <w:pStyle w:val="TableParagraph"/>
              <w:ind w:start="107" w:end="97"/>
              <w:jc w:val="both"/>
            </w:pPr>
            <w:r>
              <w:t xml:space="preserve">Le </w:t>
            </w:r>
            <w:r>
              <w:t xml:space="preserve">score UGDS moyen (±SD) était significativement plus bas </w:t>
            </w:r>
            <w:r>
              <w:rPr>
                <w:spacing w:val="-1"/>
              </w:rPr>
              <w:t xml:space="preserve">(amélioré) </w:t>
            </w:r>
            <w:r>
              <w:rPr>
                <w:spacing w:val="-1"/>
              </w:rPr>
              <w:t xml:space="preserve">chez les </w:t>
            </w:r>
            <w:r>
              <w:t xml:space="preserve">hommes </w:t>
            </w:r>
            <w:r>
              <w:rPr>
                <w:spacing w:val="-1"/>
              </w:rPr>
              <w:t xml:space="preserve">dont le </w:t>
            </w:r>
            <w:r>
              <w:rPr>
                <w:spacing w:val="-1"/>
              </w:rPr>
              <w:t xml:space="preserve">sexe </w:t>
            </w:r>
            <w:r>
              <w:rPr>
                <w:spacing w:val="-1"/>
              </w:rPr>
              <w:t xml:space="preserve">a été assigné à </w:t>
            </w:r>
            <w:r>
              <w:rPr>
                <w:spacing w:val="-1"/>
              </w:rPr>
              <w:t xml:space="preserve">la </w:t>
            </w:r>
            <w:r>
              <w:t xml:space="preserve">naissance </w:t>
            </w:r>
            <w:r>
              <w:t xml:space="preserve">par rapport </w:t>
            </w:r>
            <w:r>
              <w:t xml:space="preserve">aux </w:t>
            </w:r>
            <w:r>
              <w:t xml:space="preserve">femmes </w:t>
            </w:r>
            <w:r>
              <w:t xml:space="preserve">dont le </w:t>
            </w:r>
            <w:r>
              <w:t xml:space="preserve">sexe </w:t>
            </w:r>
            <w:r>
              <w:t xml:space="preserve">a été assigné à </w:t>
            </w:r>
            <w:r>
              <w:t xml:space="preserve">la naissance, tant au début de l'étude (T0) (n=non rapporté, </w:t>
            </w:r>
            <w:r>
              <w:t xml:space="preserve">score </w:t>
            </w:r>
            <w:r>
              <w:t xml:space="preserve">UGDS moyen </w:t>
            </w:r>
            <w:r>
              <w:t xml:space="preserve">[±SD] : </w:t>
            </w:r>
            <w:r>
              <w:t xml:space="preserve">47,95 </w:t>
            </w:r>
            <w:r>
              <w:t xml:space="preserve">[±9,70] </w:t>
            </w:r>
            <w:r>
              <w:t xml:space="preserve">contre </w:t>
            </w:r>
            <w:r>
              <w:t xml:space="preserve">56,57 </w:t>
            </w:r>
            <w:r>
              <w:t xml:space="preserve">[±3,89]) </w:t>
            </w:r>
            <w:r>
              <w:t xml:space="preserve">qu'à </w:t>
            </w:r>
            <w:r>
              <w:t xml:space="preserve">T1 </w:t>
            </w:r>
            <w:r>
              <w:t xml:space="preserve">(n=non rapporté).</w:t>
            </w:r>
          </w:p>
          <w:p>
            <w:pPr>
              <w:pStyle w:val="TableParagraph"/>
              <w:ind w:start="107" w:end="94"/>
              <w:jc w:val="both"/>
            </w:pPr>
            <w:r>
              <w:t xml:space="preserve">rapporté, 49,67 [±9,47] contre 56,62 [±4,00]) ; différence entre les sexes </w:t>
            </w:r>
            <w:r>
              <w:t xml:space="preserve">p&lt;0,001 (</w:t>
            </w:r>
            <w:r>
              <w:rPr>
                <w:b/>
              </w:rPr>
              <w:t xml:space="preserve">TRÈS FAIBLE).</w:t>
            </w:r>
          </w:p>
          <w:p w:rsidR="00432386" w:rsidRDefault="00432386">
            <w:pPr>
              <w:pStyle w:val="TableParagraph"/>
              <w:spacing w:before="11"/>
              <w:rPr>
                <w:b/>
                <w:sz w:val="21"/>
              </w:rPr>
            </w:pPr>
          </w:p>
          <w:p>
            <w:pPr>
              <w:pStyle w:val="TableParagraph"/>
              <w:ind w:start="107" w:end="96"/>
              <w:jc w:val="both"/>
            </w:pPr>
            <w:r>
              <w:t xml:space="preserve">Une autre étude longitudinale observationnelle prospective (</w:t>
            </w:r>
            <w:hyperlink r:id="rId168">
              <w:r>
                <w:rPr>
                  <w:color w:val="0000FF"/>
                  <w:u w:val="single" w:color="0000FF"/>
                </w:rPr>
                <w:t xml:space="preserve">Costa et al. </w:t>
              </w:r>
            </w:hyperlink>
            <w:hyperlink r:id="rId169">
              <w:r>
                <w:rPr>
                  <w:color w:val="0000FF"/>
                  <w:u w:val="single" w:color="0000FF"/>
                </w:rPr>
                <w:t xml:space="preserve">2015</w:t>
              </w:r>
            </w:hyperlink>
            <w:r>
              <w:t xml:space="preserve">) a fourni des preuves de l'impact sur la dysphorie de genre chez les </w:t>
            </w:r>
            <w:r>
              <w:t xml:space="preserve">hommes assignés à un </w:t>
            </w:r>
            <w:r>
              <w:t xml:space="preserve">sexe à </w:t>
            </w:r>
            <w:r>
              <w:t xml:space="preserve">la naissance. Voir le tableau des résultats de l'efficacité clinique </w:t>
            </w:r>
            <w:r>
              <w:t xml:space="preserve">ci-dessus pour une description complète de l'étude. Les hommes assignés sexuellement à la naissance </w:t>
            </w:r>
            <w:r>
              <w:t xml:space="preserve">avaient un </w:t>
            </w:r>
            <w:r>
              <w:rPr>
                <w:spacing w:val="-1"/>
              </w:rPr>
              <w:t xml:space="preserve">score </w:t>
            </w:r>
            <w:r>
              <w:t xml:space="preserve">UGDS moyen (±SD</w:t>
            </w:r>
            <w:r>
              <w:t xml:space="preserve">) statistiquement significatif inférieur (amélioré) </w:t>
            </w:r>
            <w:r>
              <w:rPr>
                <w:spacing w:val="-1"/>
              </w:rPr>
              <w:t xml:space="preserve">de </w:t>
            </w:r>
            <w:r>
              <w:rPr>
                <w:spacing w:val="-1"/>
              </w:rPr>
              <w:t xml:space="preserve">51,6 </w:t>
            </w:r>
            <w:r>
              <w:rPr>
                <w:spacing w:val="-1"/>
              </w:rPr>
              <w:t xml:space="preserve">[±9,7] </w:t>
            </w:r>
            <w:r>
              <w:t xml:space="preserve">par rapport </w:t>
            </w:r>
            <w:r>
              <w:t xml:space="preserve">aux </w:t>
            </w:r>
            <w:r>
              <w:t xml:space="preserve">femmes </w:t>
            </w:r>
            <w:r>
              <w:t xml:space="preserve">assignées </w:t>
            </w:r>
            <w:r>
              <w:t xml:space="preserve">sexuellement à </w:t>
            </w:r>
            <w:r>
              <w:t xml:space="preserve">la </w:t>
            </w:r>
            <w:r>
              <w:t xml:space="preserve">naissance </w:t>
            </w:r>
            <w:r>
              <w:t xml:space="preserve">(56,1 </w:t>
            </w:r>
            <w:r>
              <w:t xml:space="preserve">[±4,3], p&lt;0,001). Cependant, il n'a pas été indiqué s'il s'agissait du niveau de référence ou du </w:t>
            </w:r>
            <w:r>
              <w:t xml:space="preserve">suivi </w:t>
            </w:r>
            <w:r>
              <w:rPr>
                <w:b/>
              </w:rPr>
              <w:t xml:space="preserve">(TRÈS FAIBLE)</w:t>
            </w:r>
            <w:r>
              <w:t xml:space="preserve">.</w:t>
            </w:r>
          </w:p>
          <w:p w:rsidR="00432386" w:rsidRDefault="00432386">
            <w:pPr>
              <w:pStyle w:val="TableParagraph"/>
              <w:spacing w:before="1"/>
              <w:rPr>
                <w:b/>
              </w:rPr>
            </w:pPr>
          </w:p>
          <w:p>
            <w:pPr>
              <w:pStyle w:val="TableParagraph"/>
              <w:ind w:start="107" w:end="98"/>
              <w:jc w:val="both"/>
              <w:rPr>
                <w:b/>
              </w:rPr>
            </w:pPr>
            <w:r>
              <w:rPr>
                <w:b/>
              </w:rPr>
              <w:t xml:space="preserve">Ces études fournissent une preuve de très faible certitude que la </w:t>
            </w:r>
            <w:r>
              <w:rPr>
                <w:b/>
              </w:rPr>
              <w:t xml:space="preserve">dysphorie de </w:t>
            </w:r>
            <w:r>
              <w:rPr>
                <w:b/>
              </w:rPr>
              <w:t xml:space="preserve">genre </w:t>
            </w:r>
            <w:r>
              <w:rPr>
                <w:b/>
              </w:rPr>
              <w:t xml:space="preserve">est </w:t>
            </w:r>
            <w:r>
              <w:rPr>
                <w:b/>
              </w:rPr>
              <w:t xml:space="preserve">plus faible </w:t>
            </w:r>
            <w:r>
              <w:rPr>
                <w:b/>
              </w:rPr>
              <w:t xml:space="preserve">chez les </w:t>
            </w:r>
            <w:r>
              <w:rPr>
                <w:b/>
              </w:rPr>
              <w:t xml:space="preserve">hommes </w:t>
            </w:r>
            <w:r>
              <w:rPr>
                <w:b/>
              </w:rPr>
              <w:t xml:space="preserve">assignés à </w:t>
            </w:r>
            <w:r>
              <w:rPr>
                <w:b/>
              </w:rPr>
              <w:t xml:space="preserve">la </w:t>
            </w:r>
            <w:r>
              <w:rPr>
                <w:b/>
              </w:rPr>
              <w:t xml:space="preserve">naissance </w:t>
            </w:r>
            <w:r>
              <w:rPr>
                <w:b/>
              </w:rPr>
              <w:t xml:space="preserve">(transfemmes) </w:t>
            </w:r>
            <w:r>
              <w:rPr>
                <w:b/>
              </w:rPr>
              <w:t xml:space="preserve">que chez </w:t>
            </w:r>
            <w:r>
              <w:rPr>
                <w:b/>
              </w:rPr>
              <w:t xml:space="preserve">les </w:t>
            </w:r>
            <w:r>
              <w:rPr>
                <w:b/>
              </w:rPr>
              <w:t xml:space="preserve">femmes </w:t>
            </w:r>
            <w:r>
              <w:rPr>
                <w:b/>
              </w:rPr>
              <w:t xml:space="preserve">assignées à </w:t>
            </w:r>
            <w:r>
              <w:rPr>
                <w:b/>
              </w:rPr>
              <w:t xml:space="preserve">la </w:t>
            </w:r>
            <w:r>
              <w:rPr>
                <w:b/>
              </w:rPr>
              <w:t xml:space="preserve">naissance </w:t>
            </w:r>
            <w:r>
              <w:rPr>
                <w:b/>
              </w:rPr>
              <w:t xml:space="preserve">(transmales).</w:t>
            </w:r>
          </w:p>
          <w:p w:rsidR="00432386" w:rsidRDefault="00432386">
            <w:pPr>
              <w:pStyle w:val="TableParagraph"/>
              <w:spacing w:before="1"/>
              <w:rPr>
                <w:b/>
              </w:rPr>
            </w:pPr>
          </w:p>
          <w:p>
            <w:pPr>
              <w:pStyle w:val="TableParagraph"/>
              <w:spacing w:line="252" w:lineRule="exact"/>
              <w:ind w:start="107"/>
              <w:jc w:val="both"/>
              <w:rPr>
                <w:b/>
              </w:rPr>
            </w:pPr>
            <w:r>
              <w:rPr>
                <w:b/>
              </w:rPr>
              <w:t xml:space="preserve">Impact </w:t>
            </w:r>
            <w:r>
              <w:rPr>
                <w:b/>
              </w:rPr>
              <w:t xml:space="preserve">sur la </w:t>
            </w:r>
            <w:r>
              <w:rPr>
                <w:b/>
              </w:rPr>
              <w:t xml:space="preserve">santé </w:t>
            </w:r>
            <w:r>
              <w:rPr>
                <w:b/>
              </w:rPr>
              <w:t xml:space="preserve">mentale</w:t>
            </w:r>
          </w:p>
          <w:p>
            <w:pPr>
              <w:pStyle w:val="TableParagraph"/>
              <w:ind w:start="107" w:end="91"/>
              <w:jc w:val="both"/>
            </w:pPr>
            <w:r>
              <w:t xml:space="preserve">Une étude longitudinale observationnelle prospective non contrôlée (</w:t>
            </w:r>
            <w:hyperlink r:id="rId170">
              <w:r>
                <w:rPr>
                  <w:color w:val="0000FF"/>
                  <w:u w:val="single" w:color="0000FF"/>
                </w:rPr>
                <w:t xml:space="preserve">de </w:t>
              </w:r>
            </w:hyperlink>
            <w:hyperlink r:id="rId171">
              <w:r>
                <w:rPr>
                  <w:color w:val="0000FF"/>
                  <w:u w:val="single" w:color="0000FF"/>
                </w:rPr>
                <w:t xml:space="preserve">Vries et al. 2011</w:t>
              </w:r>
            </w:hyperlink>
            <w:r>
              <w:t xml:space="preserve">) a fourni des preuves de l'impact sur la santé mentale </w:t>
            </w:r>
            <w:r>
              <w:t xml:space="preserve">(dépression, colère et anxiété) chez les </w:t>
            </w:r>
            <w:r>
              <w:t xml:space="preserve">hommes assignés à un</w:t>
            </w:r>
            <w:r>
              <w:t xml:space="preserve"> sexe </w:t>
            </w:r>
            <w:r>
              <w:t xml:space="preserve">à la naissance. Voir le </w:t>
            </w:r>
            <w:r>
              <w:t xml:space="preserve">tableau des résultats de l'efficacité clinique ci-dessus pour une description complète de l</w:t>
            </w:r>
            <w:r>
              <w:t xml:space="preserve">'</w:t>
            </w:r>
            <w:r>
              <w:t xml:space="preserve">étude.</w:t>
            </w:r>
          </w:p>
          <w:p>
            <w:pPr>
              <w:pStyle w:val="TableParagraph"/>
              <w:numPr>
                <w:ilvl w:val="0"/>
                <w:numId w:val="149"/>
              </w:numPr>
              <w:tabs>
                <w:tab w:val="left" w:pos="828"/>
              </w:tabs>
              <w:spacing w:before="1"/>
              <w:ind w:end="96"/>
              <w:jc w:val="both"/>
            </w:pPr>
            <w:r>
              <w:t xml:space="preserve">Le </w:t>
            </w:r>
            <w:r>
              <w:t xml:space="preserve">score </w:t>
            </w:r>
            <w:r>
              <w:t xml:space="preserve">moyen </w:t>
            </w:r>
            <w:r>
              <w:t xml:space="preserve">(±SD) </w:t>
            </w:r>
            <w:r>
              <w:t xml:space="preserve">de </w:t>
            </w:r>
            <w:r>
              <w:t xml:space="preserve">dépression </w:t>
            </w:r>
            <w:r>
              <w:t xml:space="preserve">(BDI-II) </w:t>
            </w:r>
            <w:r>
              <w:t xml:space="preserve">n'</w:t>
            </w:r>
            <w:r>
              <w:t xml:space="preserve">était </w:t>
            </w:r>
            <w:r>
              <w:t xml:space="preserve">pas </w:t>
            </w:r>
            <w:r>
              <w:t xml:space="preserve">statistiquement </w:t>
            </w:r>
            <w:r>
              <w:t xml:space="preserve">différent chez les hommes assignés à la naissance par rapport </w:t>
            </w:r>
            <w:r>
              <w:t xml:space="preserve">aux </w:t>
            </w:r>
            <w:r>
              <w:t xml:space="preserve">femmes </w:t>
            </w:r>
            <w:r>
              <w:t xml:space="preserve">assignées à </w:t>
            </w:r>
            <w:r>
              <w:t xml:space="preserve">la </w:t>
            </w:r>
            <w:r>
              <w:t xml:space="preserve">naissance</w:t>
            </w:r>
            <w:r>
              <w:t xml:space="preserve">, </w:t>
            </w:r>
            <w:r>
              <w:t xml:space="preserve">tant </w:t>
            </w:r>
            <w:r>
              <w:t xml:space="preserve">au </w:t>
            </w:r>
            <w:r>
              <w:t xml:space="preserve">début de l'étude </w:t>
            </w:r>
            <w:r>
              <w:t xml:space="preserve">(T0) </w:t>
            </w:r>
            <w:r>
              <w:t xml:space="preserve">(n=non </w:t>
            </w:r>
            <w:r>
              <w:t xml:space="preserve">rapporté, score BDI moyen [±SD] : 5,71 [±4,31] contre 10,34 </w:t>
            </w:r>
            <w:r>
              <w:t xml:space="preserve">[±8,24]) </w:t>
            </w:r>
            <w:r>
              <w:t xml:space="preserve">qu'à T1 (n=non rapporté, 3,50 [±4,58] contre 6,09 </w:t>
            </w:r>
            <w:r>
              <w:t xml:space="preserve">[±7,93]), </w:t>
            </w:r>
            <w:r>
              <w:t xml:space="preserve">différence </w:t>
            </w:r>
            <w:r>
              <w:t xml:space="preserve">entre les </w:t>
            </w:r>
            <w:r>
              <w:t xml:space="preserve">sexes </w:t>
            </w:r>
            <w:r>
              <w:t xml:space="preserve">p=0,057.</w:t>
            </w:r>
          </w:p>
          <w:p>
            <w:pPr>
              <w:pStyle w:val="TableParagraph"/>
              <w:numPr>
                <w:ilvl w:val="0"/>
                <w:numId w:val="149"/>
              </w:numPr>
              <w:tabs>
                <w:tab w:val="left" w:pos="828"/>
              </w:tabs>
              <w:ind w:end="99"/>
              <w:jc w:val="both"/>
            </w:pPr>
            <w:r>
              <w:t xml:space="preserve">Le </w:t>
            </w:r>
            <w:r>
              <w:t xml:space="preserve">score </w:t>
            </w:r>
            <w:r>
              <w:t xml:space="preserve">moyen </w:t>
            </w:r>
            <w:r>
              <w:t xml:space="preserve">(±SD) </w:t>
            </w:r>
            <w:r>
              <w:t xml:space="preserve">de </w:t>
            </w:r>
            <w:r>
              <w:t xml:space="preserve">colère </w:t>
            </w:r>
            <w:r>
              <w:t xml:space="preserve">(TPI) </w:t>
            </w:r>
            <w:r>
              <w:t xml:space="preserve">était </w:t>
            </w:r>
            <w:r>
              <w:t xml:space="preserve">significativement plus bas (amélioré) chez les hommes dont le sexe a été assigné à la naissance </w:t>
            </w:r>
            <w:r>
              <w:t xml:space="preserve">par rapport </w:t>
            </w:r>
            <w:r>
              <w:t xml:space="preserve">aux </w:t>
            </w:r>
            <w:r>
              <w:t xml:space="preserve">femmes </w:t>
            </w:r>
            <w:r>
              <w:t xml:space="preserve">dont le </w:t>
            </w:r>
            <w:r>
              <w:t xml:space="preserve">sexe </w:t>
            </w:r>
            <w:r>
              <w:t xml:space="preserve">a été assigné à </w:t>
            </w:r>
            <w:r>
              <w:t xml:space="preserve">la </w:t>
            </w:r>
            <w:r>
              <w:t xml:space="preserve">naissance</w:t>
            </w:r>
            <w:r>
              <w:t xml:space="preserve">, </w:t>
            </w:r>
            <w:r>
              <w:t xml:space="preserve">tant </w:t>
            </w:r>
            <w:r>
              <w:t xml:space="preserve">au </w:t>
            </w:r>
            <w:r>
              <w:t xml:space="preserve">départ qu'à l'arrivée.</w:t>
            </w:r>
          </w:p>
          <w:p>
            <w:pPr>
              <w:pStyle w:val="TableParagraph"/>
              <w:spacing w:line="232" w:lineRule="exact"/>
              <w:ind w:start="827"/>
              <w:jc w:val="both"/>
            </w:pPr>
            <w:r>
              <w:t xml:space="preserve">(T0) </w:t>
            </w:r>
            <w:r>
              <w:t xml:space="preserve">(n=non </w:t>
            </w:r>
            <w:r>
              <w:t xml:space="preserve">communiqué, </w:t>
            </w:r>
            <w:r>
              <w:t xml:space="preserve">score </w:t>
            </w:r>
            <w:r>
              <w:t xml:space="preserve">TPI </w:t>
            </w:r>
            <w:r>
              <w:t xml:space="preserve">moyen </w:t>
            </w:r>
            <w:r>
              <w:t xml:space="preserve">[±SD] : </w:t>
            </w:r>
            <w:r>
              <w:t xml:space="preserve">5,22 </w:t>
            </w:r>
            <w:r>
              <w:t xml:space="preserve">[±2,76])</w:t>
            </w:r>
          </w:p>
        </w:tc>
      </w:tr>
    </w:tbl>
    <w:p w:rsidR="00432386" w:rsidRDefault="00432386">
      <w:pPr>
        <w:spacing w:line="232" w:lineRule="exact"/>
        <w:jc w:val="both"/>
        <w:sectPr w:rsidR="00432386">
          <w:type w:val="continuous"/>
          <w:pgSz w:w="11910" w:h="16840"/>
          <w:pgMar w:top="1260" w:right="980" w:bottom="142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13952"/>
        </w:trPr>
        <w:tc>
          <w:tcPr>
            <w:tcW w:w="2122" w:type="dxa"/>
          </w:tcPr>
          <w:p w:rsidR="00432386" w:rsidRDefault="00432386">
            <w:pPr>
              <w:pStyle w:val="TableParagraph"/>
              <w:rPr>
                <w:rFonts w:ascii="Times New Roman"/>
              </w:rPr>
            </w:pPr>
          </w:p>
        </w:tc>
        <w:tc>
          <w:tcPr>
            <w:tcW w:w="6948" w:type="dxa"/>
          </w:tcPr>
          <w:p>
            <w:pPr>
              <w:pStyle w:val="TableParagraph"/>
              <w:ind w:start="827" w:end="97"/>
              <w:jc w:val="both"/>
            </w:pPr>
            <w:r>
              <w:t xml:space="preserve">contre 6,43 [±2,78]) </w:t>
            </w:r>
            <w:r>
              <w:t xml:space="preserve">et T1 (n=non rapporté, 5,00 [±3,07] </w:t>
            </w:r>
            <w:r>
              <w:t xml:space="preserve">contre </w:t>
            </w:r>
            <w:r>
              <w:t xml:space="preserve">6,39 </w:t>
            </w:r>
            <w:r>
              <w:t xml:space="preserve">[±2,59]), </w:t>
            </w:r>
            <w:r>
              <w:t xml:space="preserve">différence </w:t>
            </w:r>
            <w:r>
              <w:t xml:space="preserve">entre les </w:t>
            </w:r>
            <w:r>
              <w:t xml:space="preserve">sexes </w:t>
            </w:r>
            <w:r>
              <w:t xml:space="preserve">p=0,022.</w:t>
            </w:r>
          </w:p>
          <w:p>
            <w:pPr>
              <w:pStyle w:val="TableParagraph"/>
              <w:numPr>
                <w:ilvl w:val="0"/>
                <w:numId w:val="148"/>
              </w:numPr>
              <w:tabs>
                <w:tab w:val="left" w:pos="828"/>
              </w:tabs>
              <w:ind w:end="94"/>
              <w:jc w:val="both"/>
            </w:pPr>
            <w:r>
              <w:t xml:space="preserve">Le </w:t>
            </w:r>
            <w:r>
              <w:t xml:space="preserve">score </w:t>
            </w:r>
            <w:r>
              <w:t xml:space="preserve">moyen </w:t>
            </w:r>
            <w:r>
              <w:t xml:space="preserve">(±SD) </w:t>
            </w:r>
            <w:r>
              <w:t xml:space="preserve">d'</w:t>
            </w:r>
            <w:r>
              <w:t xml:space="preserve">anxiété </w:t>
            </w:r>
            <w:r>
              <w:t xml:space="preserve">(STAI) </w:t>
            </w:r>
            <w:r>
              <w:t xml:space="preserve">était </w:t>
            </w:r>
            <w:r>
              <w:t xml:space="preserve">significativement plus bas (amélioré) chez les hommes assignés au sexe de naissance </w:t>
            </w:r>
            <w:r>
              <w:t xml:space="preserve">par rapport aux femmes assignées au sexe de naissance, à la fois au début de l'étude </w:t>
            </w:r>
            <w:r>
              <w:t xml:space="preserve">(T0) (n=non rapporté, score STAI moyen [±SD] : 4,33 [±2,68] </w:t>
            </w:r>
            <w:r>
              <w:t xml:space="preserve">contre 7,00 [±2,36]) et à T1 (n=non rapporté, 4,39 [±2,64] </w:t>
            </w:r>
            <w:r>
              <w:t xml:space="preserve">contre 6,17 [±2,69]), différence entre les sexes p&lt;0,001 (</w:t>
            </w:r>
            <w:r>
              <w:rPr>
                <w:b/>
              </w:rPr>
              <w:t xml:space="preserve">TRÈS FAIBLE</w:t>
            </w:r>
            <w:r>
              <w:rPr>
                <w:b/>
              </w:rPr>
              <w:t xml:space="preserve">).</w:t>
            </w:r>
          </w:p>
          <w:p w:rsidR="00432386" w:rsidRDefault="00432386">
            <w:pPr>
              <w:pStyle w:val="TableParagraph"/>
              <w:spacing w:before="9"/>
              <w:rPr>
                <w:b/>
                <w:sz w:val="21"/>
              </w:rPr>
            </w:pPr>
          </w:p>
          <w:p>
            <w:pPr>
              <w:pStyle w:val="TableParagraph"/>
              <w:ind w:start="107" w:end="93"/>
              <w:jc w:val="both"/>
              <w:rPr>
                <w:b/>
              </w:rPr>
            </w:pPr>
            <w:r>
              <w:rPr>
                <w:b/>
              </w:rPr>
              <w:t xml:space="preserve">Cette étude </w:t>
            </w:r>
            <w:r>
              <w:rPr>
                <w:b/>
              </w:rPr>
              <w:t xml:space="preserve">fournit des preuves de certitude très faible que l'impact </w:t>
            </w:r>
            <w:r>
              <w:rPr>
                <w:b/>
              </w:rPr>
              <w:t xml:space="preserve">sur la </w:t>
            </w:r>
            <w:r>
              <w:rPr>
                <w:b/>
              </w:rPr>
              <w:t xml:space="preserve">santé </w:t>
            </w:r>
            <w:r>
              <w:rPr>
                <w:b/>
              </w:rPr>
              <w:t xml:space="preserve">mentale </w:t>
            </w:r>
            <w:r>
              <w:rPr>
                <w:b/>
              </w:rPr>
              <w:t xml:space="preserve">(dépression, </w:t>
            </w:r>
            <w:r>
              <w:rPr>
                <w:b/>
              </w:rPr>
              <w:t xml:space="preserve">colère </w:t>
            </w:r>
            <w:r>
              <w:rPr>
                <w:b/>
              </w:rPr>
              <w:t xml:space="preserve">et </w:t>
            </w:r>
            <w:r>
              <w:rPr>
                <w:b/>
              </w:rPr>
              <w:t xml:space="preserve">anxiété) </w:t>
            </w:r>
            <w:r>
              <w:rPr>
                <w:b/>
              </w:rPr>
              <w:t xml:space="preserve">peut </w:t>
            </w:r>
            <w:r>
              <w:rPr>
                <w:b/>
              </w:rPr>
              <w:t xml:space="preserve">être </w:t>
            </w:r>
            <w:r>
              <w:rPr>
                <w:b/>
              </w:rPr>
              <w:t xml:space="preserve">différent </w:t>
            </w:r>
            <w:r>
              <w:rPr>
                <w:b/>
              </w:rPr>
              <w:t xml:space="preserve">chez les </w:t>
            </w:r>
            <w:r>
              <w:rPr>
                <w:b/>
              </w:rPr>
              <w:t xml:space="preserve">hommes </w:t>
            </w:r>
            <w:r>
              <w:rPr>
                <w:b/>
              </w:rPr>
              <w:t xml:space="preserve">assignés à </w:t>
            </w:r>
            <w:r>
              <w:rPr>
                <w:b/>
              </w:rPr>
              <w:t xml:space="preserve">la </w:t>
            </w:r>
            <w:r>
              <w:rPr>
                <w:b/>
              </w:rPr>
              <w:t xml:space="preserve">naissance </w:t>
            </w:r>
            <w:r>
              <w:rPr>
                <w:b/>
              </w:rPr>
              <w:t xml:space="preserve">(transfemmes) </w:t>
            </w:r>
            <w:r>
              <w:rPr>
                <w:b/>
              </w:rPr>
              <w:t xml:space="preserve">par </w:t>
            </w:r>
            <w:r>
              <w:rPr>
                <w:b/>
              </w:rPr>
              <w:t xml:space="preserve">rapport </w:t>
            </w:r>
            <w:r>
              <w:rPr>
                <w:b/>
              </w:rPr>
              <w:t xml:space="preserve">aux femmes assignées à la naissance (transmales). Au fil du temps, il </w:t>
            </w:r>
            <w:r>
              <w:rPr>
                <w:b/>
              </w:rPr>
              <w:t xml:space="preserve">n'y a pas eu de </w:t>
            </w:r>
            <w:r>
              <w:rPr>
                <w:b/>
              </w:rPr>
              <w:t xml:space="preserve">différence </w:t>
            </w:r>
            <w:r>
              <w:rPr>
                <w:b/>
              </w:rPr>
              <w:t xml:space="preserve">statistiquement </w:t>
            </w:r>
            <w:r>
              <w:rPr>
                <w:b/>
              </w:rPr>
              <w:t xml:space="preserve">significative entre les </w:t>
            </w:r>
            <w:r>
              <w:rPr>
                <w:b/>
              </w:rPr>
              <w:t xml:space="preserve">hommes et les femmes </w:t>
            </w:r>
            <w:r>
              <w:rPr>
                <w:b/>
              </w:rPr>
              <w:t xml:space="preserve">assignés à la </w:t>
            </w:r>
            <w:r>
              <w:rPr>
                <w:b/>
              </w:rPr>
              <w:t xml:space="preserve">naissance pour la dépression. </w:t>
            </w:r>
            <w:r>
              <w:rPr>
                <w:b/>
              </w:rPr>
              <w:t xml:space="preserve">Cependant, les </w:t>
            </w:r>
            <w:r>
              <w:rPr>
                <w:b/>
              </w:rPr>
              <w:t xml:space="preserve">hommes </w:t>
            </w:r>
            <w:r>
              <w:rPr>
                <w:b/>
              </w:rPr>
              <w:t xml:space="preserve">assignés </w:t>
            </w:r>
            <w:r>
              <w:rPr>
                <w:b/>
              </w:rPr>
              <w:t xml:space="preserve">sexuellement à </w:t>
            </w:r>
            <w:r>
              <w:rPr>
                <w:b/>
              </w:rPr>
              <w:t xml:space="preserve">la </w:t>
            </w:r>
            <w:r>
              <w:rPr>
                <w:b/>
              </w:rPr>
              <w:t xml:space="preserve">naissance </w:t>
            </w:r>
            <w:r>
              <w:rPr>
                <w:b/>
              </w:rPr>
              <w:t xml:space="preserve">présentaient des </w:t>
            </w:r>
            <w:r>
              <w:rPr>
                <w:b/>
              </w:rPr>
              <w:t xml:space="preserve">niveaux </w:t>
            </w:r>
            <w:r>
              <w:rPr>
                <w:b/>
              </w:rPr>
              <w:t xml:space="preserve">de </w:t>
            </w:r>
            <w:r>
              <w:rPr>
                <w:b/>
              </w:rPr>
              <w:t xml:space="preserve">colère </w:t>
            </w:r>
            <w:r>
              <w:rPr>
                <w:b/>
              </w:rPr>
              <w:t xml:space="preserve">et d'</w:t>
            </w:r>
            <w:r>
              <w:rPr>
                <w:b/>
              </w:rPr>
              <w:t xml:space="preserve">anxiété </w:t>
            </w:r>
            <w:r>
              <w:rPr>
                <w:b/>
              </w:rPr>
              <w:t xml:space="preserve">statistiquement </w:t>
            </w:r>
            <w:r>
              <w:rPr>
                <w:b/>
              </w:rPr>
              <w:t xml:space="preserve">plus faibles </w:t>
            </w:r>
            <w:r>
              <w:rPr>
                <w:b/>
              </w:rPr>
              <w:t xml:space="preserve">que les </w:t>
            </w:r>
            <w:r>
              <w:rPr>
                <w:b/>
              </w:rPr>
              <w:t xml:space="preserve">femmes </w:t>
            </w:r>
            <w:r>
              <w:rPr>
                <w:b/>
              </w:rPr>
              <w:t xml:space="preserve">assignées </w:t>
            </w:r>
            <w:r>
              <w:rPr>
                <w:b/>
              </w:rPr>
              <w:t xml:space="preserve">sexuellement à </w:t>
            </w:r>
            <w:r>
              <w:rPr>
                <w:b/>
              </w:rPr>
              <w:t xml:space="preserve">la naissance</w:t>
            </w:r>
            <w:r>
              <w:rPr>
                <w:b/>
              </w:rPr>
              <w:t xml:space="preserve">, </w:t>
            </w:r>
            <w:r>
              <w:rPr>
                <w:b/>
              </w:rPr>
              <w:t xml:space="preserve">tant </w:t>
            </w:r>
            <w:r>
              <w:rPr>
                <w:b/>
              </w:rPr>
              <w:t xml:space="preserve">au </w:t>
            </w:r>
            <w:r>
              <w:rPr>
                <w:b/>
              </w:rPr>
              <w:t xml:space="preserve">départ qu'au cours du </w:t>
            </w:r>
            <w:r>
              <w:rPr>
                <w:b/>
              </w:rPr>
              <w:t xml:space="preserve">suivi</w:t>
            </w:r>
            <w:r>
              <w:rPr>
                <w:b/>
              </w:rPr>
              <w:t xml:space="preserve">.</w:t>
            </w:r>
          </w:p>
          <w:p w:rsidR="00432386" w:rsidRDefault="00432386">
            <w:pPr>
              <w:pStyle w:val="TableParagraph"/>
              <w:rPr>
                <w:b/>
              </w:rPr>
            </w:pPr>
          </w:p>
          <w:p>
            <w:pPr>
              <w:pStyle w:val="TableParagraph"/>
              <w:spacing w:before="1"/>
              <w:ind w:start="107"/>
              <w:jc w:val="both"/>
              <w:rPr>
                <w:b/>
              </w:rPr>
            </w:pPr>
            <w:r>
              <w:rPr>
                <w:b/>
              </w:rPr>
              <w:t xml:space="preserve">Impact </w:t>
            </w:r>
            <w:r>
              <w:rPr>
                <w:b/>
              </w:rPr>
              <w:t xml:space="preserve">sur l'</w:t>
            </w:r>
            <w:r>
              <w:rPr>
                <w:b/>
              </w:rPr>
              <w:t xml:space="preserve">image </w:t>
            </w:r>
            <w:r>
              <w:rPr>
                <w:b/>
              </w:rPr>
              <w:t xml:space="preserve">corporelle</w:t>
            </w:r>
          </w:p>
          <w:p>
            <w:pPr>
              <w:pStyle w:val="TableParagraph"/>
              <w:spacing w:before="1"/>
              <w:ind w:start="107" w:end="91"/>
              <w:jc w:val="both"/>
            </w:pPr>
            <w:r>
              <w:t xml:space="preserve">Une étude longitudinale d'observation prospective non contrôlée (</w:t>
            </w:r>
            <w:hyperlink r:id="rId172">
              <w:r>
                <w:rPr>
                  <w:color w:val="0000FF"/>
                  <w:u w:val="single" w:color="0000FF"/>
                </w:rPr>
                <w:t xml:space="preserve">de </w:t>
              </w:r>
            </w:hyperlink>
            <w:hyperlink r:id="rId173">
              <w:r>
                <w:rPr>
                  <w:color w:val="0000FF"/>
                  <w:u w:val="single" w:color="0000FF"/>
                </w:rPr>
                <w:t xml:space="preserve">Vries et al. 2011</w:t>
              </w:r>
            </w:hyperlink>
            <w:r>
              <w:t xml:space="preserve">) a fourni des preuves relatives à l'impact sur l'</w:t>
            </w:r>
            <w:r>
              <w:t xml:space="preserve">image </w:t>
            </w:r>
            <w:r>
              <w:t xml:space="preserve">corporelle </w:t>
            </w:r>
            <w:r>
              <w:t xml:space="preserve">chez les </w:t>
            </w:r>
            <w:r>
              <w:t xml:space="preserve">hommes </w:t>
            </w:r>
            <w:r>
              <w:t xml:space="preserve">dont le </w:t>
            </w:r>
            <w:r>
              <w:t xml:space="preserve">sexe </w:t>
            </w:r>
            <w:r>
              <w:t xml:space="preserve">a été assigné à la </w:t>
            </w:r>
            <w:r>
              <w:t xml:space="preserve">naissance</w:t>
            </w:r>
            <w:r>
              <w:t xml:space="preserve">.</w:t>
            </w:r>
          </w:p>
          <w:p>
            <w:pPr>
              <w:pStyle w:val="TableParagraph"/>
              <w:numPr>
                <w:ilvl w:val="0"/>
                <w:numId w:val="148"/>
              </w:numPr>
              <w:tabs>
                <w:tab w:val="left" w:pos="828"/>
              </w:tabs>
              <w:ind w:end="96"/>
              <w:jc w:val="both"/>
            </w:pPr>
            <w:r>
              <w:t xml:space="preserve">Le </w:t>
            </w:r>
            <w:r>
              <w:t xml:space="preserve">score </w:t>
            </w:r>
            <w:r>
              <w:t xml:space="preserve">BIS </w:t>
            </w:r>
            <w:r>
              <w:t xml:space="preserve">moyen </w:t>
            </w:r>
            <w:r>
              <w:t xml:space="preserve">(±SD) </w:t>
            </w:r>
            <w:r>
              <w:t xml:space="preserve">pour les </w:t>
            </w:r>
            <w:r>
              <w:t xml:space="preserve">caractéristiques </w:t>
            </w:r>
            <w:r>
              <w:t xml:space="preserve">primaires </w:t>
            </w:r>
            <w:r>
              <w:t xml:space="preserve">du </w:t>
            </w:r>
            <w:r>
              <w:t xml:space="preserve">sexe </w:t>
            </w:r>
            <w:r>
              <w:t xml:space="preserve">était </w:t>
            </w:r>
            <w:r>
              <w:t xml:space="preserve">significativement plus bas (amélioré) chez les </w:t>
            </w:r>
            <w:r>
              <w:t xml:space="preserve">hommes </w:t>
            </w:r>
            <w:r>
              <w:t xml:space="preserve">assignés à la </w:t>
            </w:r>
            <w:r>
              <w:t xml:space="preserve">naissance par rapport aux femmes assignées à la naissance, </w:t>
            </w:r>
            <w:r>
              <w:t xml:space="preserve">tant </w:t>
            </w:r>
            <w:r>
              <w:t xml:space="preserve">au </w:t>
            </w:r>
            <w:r>
              <w:t xml:space="preserve">début de l'étude (T0) (n=non rapporté, score BIS moyen [±SD] : </w:t>
            </w:r>
            <w:r>
              <w:t xml:space="preserve">4,02 </w:t>
            </w:r>
            <w:r>
              <w:t xml:space="preserve">[±0,61] </w:t>
            </w:r>
            <w:r>
              <w:t xml:space="preserve">contre </w:t>
            </w:r>
            <w:r>
              <w:t xml:space="preserve">4,16 </w:t>
            </w:r>
            <w:r>
              <w:t xml:space="preserve">[±0,52]) </w:t>
            </w:r>
            <w:r>
              <w:t xml:space="preserve">qu'à </w:t>
            </w:r>
            <w:r>
              <w:t xml:space="preserve">T1 </w:t>
            </w:r>
            <w:r>
              <w:t xml:space="preserve">(n=non </w:t>
            </w:r>
            <w:r>
              <w:t xml:space="preserve">rapporté, </w:t>
            </w:r>
            <w:r>
              <w:t xml:space="preserve">3,74 </w:t>
            </w:r>
            <w:r>
              <w:t xml:space="preserve">[±0,78] </w:t>
            </w:r>
            <w:r>
              <w:t xml:space="preserve">contre </w:t>
            </w:r>
            <w:r>
              <w:t xml:space="preserve">4,17 </w:t>
            </w:r>
            <w:r>
              <w:t xml:space="preserve">[±0,58]), </w:t>
            </w:r>
            <w:r>
              <w:t xml:space="preserve">différence </w:t>
            </w:r>
            <w:r>
              <w:t xml:space="preserve">entre les </w:t>
            </w:r>
            <w:r>
              <w:t xml:space="preserve">sexes </w:t>
            </w:r>
            <w:r>
              <w:t xml:space="preserve">p=0,047.</w:t>
            </w:r>
          </w:p>
          <w:p>
            <w:pPr>
              <w:pStyle w:val="TableParagraph"/>
              <w:numPr>
                <w:ilvl w:val="0"/>
                <w:numId w:val="148"/>
              </w:numPr>
              <w:tabs>
                <w:tab w:val="left" w:pos="828"/>
              </w:tabs>
              <w:ind w:end="98"/>
              <w:jc w:val="both"/>
            </w:pPr>
            <w:r>
              <w:t xml:space="preserve">Le </w:t>
            </w:r>
            <w:r>
              <w:t xml:space="preserve">score </w:t>
            </w:r>
            <w:r>
              <w:t xml:space="preserve">BIS </w:t>
            </w:r>
            <w:r>
              <w:t xml:space="preserve">moyen </w:t>
            </w:r>
            <w:r>
              <w:t xml:space="preserve">(±SD) </w:t>
            </w:r>
            <w:r>
              <w:t xml:space="preserve">pour le </w:t>
            </w:r>
            <w:r>
              <w:t xml:space="preserve">sexe </w:t>
            </w:r>
            <w:r>
              <w:t xml:space="preserve">secondaire </w:t>
            </w:r>
            <w:r>
              <w:t xml:space="preserve">était </w:t>
            </w:r>
            <w:r>
              <w:t xml:space="preserve">significativement plus bas (amélioré) chez les hommes assignés à la naissance </w:t>
            </w:r>
            <w:r>
              <w:t xml:space="preserve">par rapport aux femmes assignées à la naissance, tant au début de l'étude </w:t>
            </w:r>
            <w:r>
              <w:t xml:space="preserve">(T0) (n=non rapporté, score BIS moyen [±SD] : 2,66 [±0,50] </w:t>
            </w:r>
            <w:r>
              <w:t xml:space="preserve">contre 2,81 [±0,76]) qu'à T1 (n=non rapporté, 2,39 [±0,69] </w:t>
            </w:r>
            <w:r>
              <w:t xml:space="preserve">contre </w:t>
            </w:r>
            <w:r>
              <w:t xml:space="preserve">3,18 </w:t>
            </w:r>
            <w:r>
              <w:t xml:space="preserve">[±0,42]), </w:t>
            </w:r>
            <w:r>
              <w:t xml:space="preserve">différence </w:t>
            </w:r>
            <w:r>
              <w:t xml:space="preserve">entre les </w:t>
            </w:r>
            <w:r>
              <w:t xml:space="preserve">sexes </w:t>
            </w:r>
            <w:r>
              <w:t xml:space="preserve">p=0,001.</w:t>
            </w:r>
          </w:p>
          <w:p>
            <w:pPr>
              <w:pStyle w:val="TableParagraph"/>
              <w:numPr>
                <w:ilvl w:val="0"/>
                <w:numId w:val="148"/>
              </w:numPr>
              <w:tabs>
                <w:tab w:val="left" w:pos="828"/>
              </w:tabs>
              <w:ind w:end="97"/>
              <w:jc w:val="both"/>
            </w:pPr>
            <w:r>
              <w:t xml:space="preserve">Le </w:t>
            </w:r>
            <w:r>
              <w:t xml:space="preserve">score BIS moyen (±SD) pour les caractéristiques corporelles neutres </w:t>
            </w:r>
            <w:r>
              <w:t xml:space="preserve">n'était pas statistiquement </w:t>
            </w:r>
            <w:r>
              <w:t xml:space="preserve">différent chez les </w:t>
            </w:r>
            <w:r>
              <w:t xml:space="preserve">hommes </w:t>
            </w:r>
            <w:r>
              <w:t xml:space="preserve">assignés à la </w:t>
            </w:r>
            <w:r>
              <w:t xml:space="preserve">naissance par rapport aux femmes assignées à la naissance, </w:t>
            </w:r>
            <w:r>
              <w:t xml:space="preserve">tant </w:t>
            </w:r>
            <w:r>
              <w:t xml:space="preserve">au </w:t>
            </w:r>
            <w:r>
              <w:t xml:space="preserve">début de l'étude (T0) (n=non rapporté, score BIS moyen [±SD] : </w:t>
            </w:r>
            <w:r>
              <w:t xml:space="preserve">2,60 </w:t>
            </w:r>
            <w:r>
              <w:t xml:space="preserve">[±0,58] </w:t>
            </w:r>
            <w:r>
              <w:t xml:space="preserve">contre </w:t>
            </w:r>
            <w:r>
              <w:t xml:space="preserve">2,24 </w:t>
            </w:r>
            <w:r>
              <w:t xml:space="preserve">[±0,62]) </w:t>
            </w:r>
            <w:r>
              <w:t xml:space="preserve">qu'à </w:t>
            </w:r>
            <w:r>
              <w:t xml:space="preserve">T1 </w:t>
            </w:r>
            <w:r>
              <w:t xml:space="preserve">(n=non </w:t>
            </w:r>
            <w:r>
              <w:t xml:space="preserve">rapporté, </w:t>
            </w:r>
            <w:r>
              <w:t xml:space="preserve">2,32 </w:t>
            </w:r>
            <w:r>
              <w:t xml:space="preserve">[±0,59] contre 2,61 [±0,50]), différence entre les sexes </w:t>
            </w:r>
            <w:r>
              <w:t xml:space="preserve">p=0,777 </w:t>
            </w:r>
            <w:r>
              <w:rPr>
                <w:b/>
              </w:rPr>
              <w:t xml:space="preserve">(TRÈS </w:t>
            </w:r>
            <w:r>
              <w:rPr>
                <w:b/>
              </w:rPr>
              <w:t xml:space="preserve">FAIBLE)</w:t>
            </w:r>
            <w:r>
              <w:t xml:space="preserve">.</w:t>
            </w:r>
          </w:p>
          <w:p w:rsidR="00432386" w:rsidRDefault="00432386">
            <w:pPr>
              <w:pStyle w:val="TableParagraph"/>
              <w:spacing w:before="6"/>
              <w:rPr>
                <w:b/>
                <w:sz w:val="19"/>
              </w:rPr>
            </w:pPr>
          </w:p>
          <w:p>
            <w:pPr>
              <w:pStyle w:val="TableParagraph"/>
              <w:ind w:start="107" w:end="92"/>
              <w:jc w:val="both"/>
              <w:rPr>
                <w:b/>
              </w:rPr>
            </w:pPr>
            <w:r>
              <w:rPr>
                <w:b/>
              </w:rPr>
              <w:t xml:space="preserve">Cette étude fournit des preuves de certitude très faible que l'impact </w:t>
            </w:r>
            <w:r>
              <w:rPr>
                <w:b/>
              </w:rPr>
              <w:t xml:space="preserve">sur l'image corporelle peut être différent chez les hommes dont le sexe a été assigné à la naissance </w:t>
            </w:r>
            <w:r>
              <w:rPr>
                <w:b/>
              </w:rPr>
              <w:t xml:space="preserve">(transfemmes) </w:t>
            </w:r>
            <w:r>
              <w:rPr>
                <w:b/>
              </w:rPr>
              <w:t xml:space="preserve">par rapport </w:t>
            </w:r>
            <w:r>
              <w:rPr>
                <w:b/>
              </w:rPr>
              <w:t xml:space="preserve">aux </w:t>
            </w:r>
            <w:r>
              <w:rPr>
                <w:b/>
              </w:rPr>
              <w:t xml:space="preserve">femmes dont le </w:t>
            </w:r>
            <w:r>
              <w:rPr>
                <w:b/>
              </w:rPr>
              <w:t xml:space="preserve">sexe a été </w:t>
            </w:r>
            <w:r>
              <w:rPr>
                <w:b/>
              </w:rPr>
              <w:t xml:space="preserve">assigné à </w:t>
            </w:r>
            <w:r>
              <w:rPr>
                <w:b/>
              </w:rPr>
              <w:t xml:space="preserve">la </w:t>
            </w:r>
            <w:r>
              <w:rPr>
                <w:b/>
              </w:rPr>
              <w:t xml:space="preserve">naissance </w:t>
            </w:r>
            <w:r>
              <w:rPr>
                <w:b/>
              </w:rPr>
              <w:t xml:space="preserve">(transmales). Les hommes assignés sexuellement à la naissance sont moins insatisfaits </w:t>
            </w:r>
            <w:r>
              <w:rPr>
                <w:b/>
              </w:rPr>
              <w:t xml:space="preserve">de leurs caractéristiques sexuelles primaires et secondaires que les </w:t>
            </w:r>
            <w:r>
              <w:rPr>
                <w:b/>
              </w:rPr>
              <w:t xml:space="preserve">femmes assignées </w:t>
            </w:r>
            <w:r>
              <w:rPr>
                <w:b/>
              </w:rPr>
              <w:t xml:space="preserve">sexuellement à </w:t>
            </w:r>
            <w:r>
              <w:rPr>
                <w:b/>
              </w:rPr>
              <w:t xml:space="preserve">la naissance, tant au début de l'étude qu'au cours du suivi, mais la </w:t>
            </w:r>
            <w:r>
              <w:rPr>
                <w:b/>
              </w:rPr>
              <w:t xml:space="preserve">satisfaction </w:t>
            </w:r>
            <w:r>
              <w:rPr>
                <w:b/>
              </w:rPr>
              <w:t xml:space="preserve">à l'égard des </w:t>
            </w:r>
            <w:r>
              <w:rPr>
                <w:b/>
              </w:rPr>
              <w:t xml:space="preserve">caractéristiques </w:t>
            </w:r>
            <w:r>
              <w:rPr>
                <w:b/>
              </w:rPr>
              <w:t xml:space="preserve">corporelles </w:t>
            </w:r>
            <w:r>
              <w:rPr>
                <w:b/>
              </w:rPr>
              <w:t xml:space="preserve">neutres </w:t>
            </w:r>
            <w:r>
              <w:rPr>
                <w:b/>
              </w:rPr>
              <w:t xml:space="preserve">n'</w:t>
            </w:r>
            <w:r>
              <w:rPr>
                <w:b/>
              </w:rPr>
              <w:t xml:space="preserve">est </w:t>
            </w:r>
            <w:r>
              <w:rPr>
                <w:b/>
              </w:rPr>
              <w:t xml:space="preserve">pas différente.</w:t>
            </w:r>
          </w:p>
          <w:p w:rsidR="00432386" w:rsidRDefault="00432386">
            <w:pPr>
              <w:pStyle w:val="TableParagraph"/>
              <w:rPr>
                <w:b/>
              </w:rPr>
            </w:pPr>
          </w:p>
          <w:p>
            <w:pPr>
              <w:pStyle w:val="TableParagraph"/>
              <w:ind w:start="107"/>
              <w:jc w:val="both"/>
              <w:rPr>
                <w:b/>
              </w:rPr>
            </w:pPr>
            <w:r>
              <w:rPr>
                <w:b/>
              </w:rPr>
              <w:t xml:space="preserve">Impact </w:t>
            </w:r>
            <w:r>
              <w:rPr>
                <w:b/>
              </w:rPr>
              <w:t xml:space="preserve">psychosocial</w:t>
            </w:r>
          </w:p>
          <w:p>
            <w:pPr>
              <w:pStyle w:val="TableParagraph"/>
              <w:spacing w:line="252" w:lineRule="exact"/>
              <w:ind w:start="107" w:end="91"/>
              <w:jc w:val="both"/>
            </w:pPr>
            <w:r>
              <w:t xml:space="preserve">Une étude longitudinale d'observation prospective non contrôlée (</w:t>
            </w:r>
            <w:hyperlink r:id="rId174">
              <w:r>
                <w:rPr>
                  <w:color w:val="0000FF"/>
                  <w:u w:val="single" w:color="0000FF"/>
                </w:rPr>
                <w:t xml:space="preserve">de </w:t>
              </w:r>
            </w:hyperlink>
            <w:hyperlink r:id="rId175">
              <w:r>
                <w:rPr>
                  <w:color w:val="0000FF"/>
                  <w:u w:val="single" w:color="0000FF"/>
                </w:rPr>
                <w:t xml:space="preserve">Vries et al.</w:t>
              </w:r>
              <w:r>
                <w:rPr>
                  <w:color w:val="0000FF"/>
                  <w:u w:val="single" w:color="0000FF"/>
                </w:rPr>
                <w:t xml:space="preserve">2011</w:t>
              </w:r>
            </w:hyperlink>
            <w:r>
              <w:t xml:space="preserve">) </w:t>
            </w:r>
            <w:r>
              <w:t xml:space="preserve">a fourni des preuves de l'</w:t>
            </w:r>
            <w:r>
              <w:t xml:space="preserve">impact psychosocial </w:t>
            </w:r>
            <w:r>
              <w:t xml:space="preserve">en </w:t>
            </w:r>
            <w:r>
              <w:t xml:space="preserve">termes de</w:t>
            </w:r>
          </w:p>
        </w:tc>
      </w:tr>
    </w:tbl>
    <w:p w:rsidR="00432386" w:rsidRDefault="00432386">
      <w:pPr>
        <w:spacing w:line="252" w:lineRule="exact"/>
        <w:jc w:val="both"/>
        <w:sectPr w:rsidR="00432386">
          <w:type w:val="continuous"/>
          <w:pgSz w:w="11910" w:h="16840"/>
          <w:pgMar w:top="1260" w:right="980" w:bottom="146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14034"/>
        </w:trPr>
        <w:tc>
          <w:tcPr>
            <w:tcW w:w="2122" w:type="dxa"/>
          </w:tcPr>
          <w:p w:rsidR="00432386" w:rsidRDefault="00432386">
            <w:pPr>
              <w:pStyle w:val="TableParagraph"/>
              <w:rPr>
                <w:rFonts w:ascii="Times New Roman"/>
              </w:rPr>
            </w:pPr>
          </w:p>
        </w:tc>
        <w:tc>
          <w:tcPr>
            <w:tcW w:w="6948" w:type="dxa"/>
          </w:tcPr>
          <w:p>
            <w:pPr>
              <w:pStyle w:val="TableParagraph"/>
              <w:ind w:start="107" w:end="96"/>
              <w:jc w:val="both"/>
            </w:pPr>
            <w:r>
              <w:rPr>
                <w:spacing w:val="-1"/>
              </w:rPr>
              <w:t xml:space="preserve">du </w:t>
            </w:r>
            <w:r>
              <w:rPr>
                <w:spacing w:val="-1"/>
              </w:rPr>
              <w:t xml:space="preserve">fonctionnement </w:t>
            </w:r>
            <w:r>
              <w:rPr>
                <w:spacing w:val="-1"/>
              </w:rPr>
              <w:t xml:space="preserve">global </w:t>
            </w:r>
            <w:r>
              <w:rPr>
                <w:spacing w:val="-1"/>
              </w:rPr>
              <w:t xml:space="preserve">(CGAS) </w:t>
            </w:r>
            <w:r>
              <w:rPr>
                <w:spacing w:val="-1"/>
              </w:rPr>
              <w:t xml:space="preserve">et du </w:t>
            </w:r>
            <w:r>
              <w:t xml:space="preserve">fonctionnement </w:t>
            </w:r>
            <w:r>
              <w:rPr>
                <w:spacing w:val="-1"/>
              </w:rPr>
              <w:t xml:space="preserve">psychosocial </w:t>
            </w:r>
            <w:r>
              <w:t xml:space="preserve">(CBCL </w:t>
            </w:r>
            <w:r>
              <w:t xml:space="preserve">et </w:t>
            </w:r>
            <w:r>
              <w:t xml:space="preserve">YSR) chez les </w:t>
            </w:r>
            <w:r>
              <w:t xml:space="preserve">hommes </w:t>
            </w:r>
            <w:r>
              <w:t xml:space="preserve">assignés à un </w:t>
            </w:r>
            <w:r>
              <w:t xml:space="preserve">sexe à la </w:t>
            </w:r>
            <w:r>
              <w:t xml:space="preserve">naissance</w:t>
            </w:r>
            <w:r>
              <w:t xml:space="preserve">.</w:t>
            </w:r>
          </w:p>
          <w:p>
            <w:pPr>
              <w:pStyle w:val="TableParagraph"/>
              <w:numPr>
                <w:ilvl w:val="0"/>
                <w:numId w:val="147"/>
              </w:numPr>
              <w:tabs>
                <w:tab w:val="left" w:pos="828"/>
              </w:tabs>
              <w:ind w:end="96"/>
              <w:jc w:val="both"/>
            </w:pPr>
            <w:r>
              <w:t xml:space="preserve">Les hommes assignés à la naissance avaient des </w:t>
            </w:r>
            <w:r>
              <w:t xml:space="preserve">scores CGAS </w:t>
            </w:r>
            <w:r>
              <w:t xml:space="preserve">moyens </w:t>
            </w:r>
            <w:r>
              <w:t xml:space="preserve">(±SD) </w:t>
            </w:r>
            <w:r>
              <w:t xml:space="preserve">statistiquement plus élevés </w:t>
            </w:r>
            <w:r>
              <w:t xml:space="preserve">que les </w:t>
            </w:r>
            <w:r>
              <w:t xml:space="preserve">femmes </w:t>
            </w:r>
            <w:r>
              <w:t xml:space="preserve">assignées </w:t>
            </w:r>
            <w:r>
              <w:t xml:space="preserve">à la </w:t>
            </w:r>
            <w:r>
              <w:t xml:space="preserve">naissance</w:t>
            </w:r>
            <w:r>
              <w:t xml:space="preserve">, tant au départ (T0) (n=54, 73,10 [±8,44] contre </w:t>
            </w:r>
            <w:r>
              <w:t xml:space="preserve">67,25 [±11,06]) qu'à T1 (n=54, 77,33 [±8,69] </w:t>
            </w:r>
            <w:r>
              <w:t xml:space="preserve">contre 70,30 </w:t>
            </w:r>
            <w:r>
              <w:t xml:space="preserve">[±9,44]), </w:t>
            </w:r>
            <w:r>
              <w:t xml:space="preserve">différence </w:t>
            </w:r>
            <w:r>
              <w:t xml:space="preserve">entre les </w:t>
            </w:r>
            <w:r>
              <w:t xml:space="preserve">sexes </w:t>
            </w:r>
            <w:r>
              <w:t xml:space="preserve">p=0,021.</w:t>
            </w:r>
          </w:p>
          <w:p>
            <w:pPr>
              <w:pStyle w:val="TableParagraph"/>
              <w:numPr>
                <w:ilvl w:val="0"/>
                <w:numId w:val="147"/>
              </w:numPr>
              <w:tabs>
                <w:tab w:val="left" w:pos="828"/>
              </w:tabs>
              <w:ind w:end="98"/>
              <w:jc w:val="both"/>
            </w:pPr>
            <w:r>
              <w:t xml:space="preserve">Il n'y avait pas de différence statistiquement significative entre les </w:t>
            </w:r>
            <w:r>
              <w:t xml:space="preserve">hommes et les femmes assignés à la naissance pour </w:t>
            </w:r>
            <w:r>
              <w:t xml:space="preserve">le </w:t>
            </w:r>
            <w:r>
              <w:t xml:space="preserve">score </w:t>
            </w:r>
            <w:r>
              <w:t xml:space="preserve">CBCL Total T </w:t>
            </w:r>
            <w:r>
              <w:t xml:space="preserve">à </w:t>
            </w:r>
            <w:r>
              <w:t xml:space="preserve">T0 </w:t>
            </w:r>
            <w:r>
              <w:t xml:space="preserve">ou </w:t>
            </w:r>
            <w:r>
              <w:t xml:space="preserve">T1 </w:t>
            </w:r>
            <w:r>
              <w:t xml:space="preserve">(n=54, </w:t>
            </w:r>
            <w:r>
              <w:t xml:space="preserve">p=0,110).</w:t>
            </w:r>
          </w:p>
          <w:p>
            <w:pPr>
              <w:pStyle w:val="TableParagraph"/>
              <w:numPr>
                <w:ilvl w:val="0"/>
                <w:numId w:val="147"/>
              </w:numPr>
              <w:tabs>
                <w:tab w:val="left" w:pos="828"/>
              </w:tabs>
              <w:spacing w:line="237" w:lineRule="auto"/>
              <w:ind w:end="98"/>
              <w:jc w:val="both"/>
            </w:pPr>
            <w:r>
              <w:t xml:space="preserve">Il n'y avait pas de différence statistiquement significative entre les </w:t>
            </w:r>
            <w:r>
              <w:t xml:space="preserve">hommes et les femmes assignés à la naissance pour </w:t>
            </w:r>
            <w:r>
              <w:t xml:space="preserve">le </w:t>
            </w:r>
            <w:r>
              <w:t xml:space="preserve">score </w:t>
            </w:r>
            <w:r>
              <w:t xml:space="preserve">T d'</w:t>
            </w:r>
            <w:r>
              <w:t xml:space="preserve">internalisation du CBCL </w:t>
            </w:r>
            <w:r>
              <w:t xml:space="preserve">à </w:t>
            </w:r>
            <w:r>
              <w:t xml:space="preserve">T0 </w:t>
            </w:r>
            <w:r>
              <w:t xml:space="preserve">ou </w:t>
            </w:r>
            <w:r>
              <w:t xml:space="preserve">T1 </w:t>
            </w:r>
            <w:r>
              <w:t xml:space="preserve">(n=54, </w:t>
            </w:r>
            <w:r>
              <w:t xml:space="preserve">p=0,286).</w:t>
            </w:r>
          </w:p>
          <w:p>
            <w:pPr>
              <w:pStyle w:val="TableParagraph"/>
              <w:numPr>
                <w:ilvl w:val="0"/>
                <w:numId w:val="147"/>
              </w:numPr>
              <w:tabs>
                <w:tab w:val="left" w:pos="828"/>
              </w:tabs>
              <w:spacing w:before="3"/>
              <w:ind w:end="95"/>
              <w:jc w:val="both"/>
            </w:pPr>
            <w:r>
              <w:t xml:space="preserve">Les </w:t>
            </w:r>
            <w:r>
              <w:t xml:space="preserve">hommes </w:t>
            </w:r>
            <w:r>
              <w:t xml:space="preserve">assignés à </w:t>
            </w:r>
            <w:r>
              <w:t xml:space="preserve">la </w:t>
            </w:r>
            <w:r>
              <w:t xml:space="preserve">naissance </w:t>
            </w:r>
            <w:r>
              <w:t xml:space="preserve">avaient des </w:t>
            </w:r>
            <w:r>
              <w:t xml:space="preserve">scores T externalisants</w:t>
            </w:r>
            <w:r>
              <w:t xml:space="preserve"> CBCL </w:t>
            </w:r>
            <w:r>
              <w:t xml:space="preserve">moyens </w:t>
            </w:r>
            <w:r>
              <w:t xml:space="preserve">(±SD) </w:t>
            </w:r>
            <w:r>
              <w:t xml:space="preserve">statistiquement </w:t>
            </w:r>
            <w:r>
              <w:t xml:space="preserve">plus faibles que </w:t>
            </w:r>
            <w:r>
              <w:t xml:space="preserve">les </w:t>
            </w:r>
            <w:r>
              <w:t xml:space="preserve">femmes </w:t>
            </w:r>
            <w:r>
              <w:t xml:space="preserve">assignées à la </w:t>
            </w:r>
            <w:r>
              <w:t xml:space="preserve">naissance à la fois à T0 (n=54, 54,71 [±12,91] contre 60,70 </w:t>
            </w:r>
            <w:r>
              <w:t xml:space="preserve">[±12,64]) </w:t>
            </w:r>
            <w:r>
              <w:t xml:space="preserve">et </w:t>
            </w:r>
            <w:r>
              <w:t xml:space="preserve">T1 </w:t>
            </w:r>
            <w:r>
              <w:t xml:space="preserve">(n=54, </w:t>
            </w:r>
            <w:r>
              <w:t xml:space="preserve">48,75 </w:t>
            </w:r>
            <w:r>
              <w:t xml:space="preserve">[±10,22] </w:t>
            </w:r>
            <w:r>
              <w:t xml:space="preserve">contre </w:t>
            </w:r>
            <w:r>
              <w:t xml:space="preserve">57,87 </w:t>
            </w:r>
            <w:r>
              <w:t xml:space="preserve">[±11,66]), </w:t>
            </w:r>
            <w:r>
              <w:t xml:space="preserve">différence </w:t>
            </w:r>
            <w:r>
              <w:t xml:space="preserve">entre les </w:t>
            </w:r>
            <w:r>
              <w:t xml:space="preserve">sexes </w:t>
            </w:r>
            <w:r>
              <w:t xml:space="preserve">p=0,015.</w:t>
            </w:r>
          </w:p>
          <w:p>
            <w:pPr>
              <w:pStyle w:val="TableParagraph"/>
              <w:numPr>
                <w:ilvl w:val="0"/>
                <w:numId w:val="147"/>
              </w:numPr>
              <w:tabs>
                <w:tab w:val="left" w:pos="828"/>
              </w:tabs>
              <w:ind w:end="97"/>
              <w:jc w:val="both"/>
            </w:pPr>
            <w:r>
              <w:t xml:space="preserve">Il n'y a pas de différence statistiquement significative entre les </w:t>
            </w:r>
            <w:r>
              <w:t xml:space="preserve">hommes et les femmes assignés à la naissance pour </w:t>
            </w:r>
            <w:r>
              <w:t xml:space="preserve">le </w:t>
            </w:r>
            <w:r>
              <w:t xml:space="preserve">score </w:t>
            </w:r>
            <w:r>
              <w:t xml:space="preserve">T </w:t>
            </w:r>
            <w:r>
              <w:t xml:space="preserve">total YSR </w:t>
            </w:r>
            <w:r>
              <w:t xml:space="preserve">à </w:t>
            </w:r>
            <w:r>
              <w:t xml:space="preserve">T0 </w:t>
            </w:r>
            <w:r>
              <w:t xml:space="preserve">ou </w:t>
            </w:r>
            <w:r>
              <w:t xml:space="preserve">T1 </w:t>
            </w:r>
            <w:r>
              <w:t xml:space="preserve">(n=54, </w:t>
            </w:r>
            <w:r>
              <w:t xml:space="preserve">p=0,164).</w:t>
            </w:r>
          </w:p>
          <w:p>
            <w:pPr>
              <w:pStyle w:val="TableParagraph"/>
              <w:numPr>
                <w:ilvl w:val="0"/>
                <w:numId w:val="147"/>
              </w:numPr>
              <w:tabs>
                <w:tab w:val="left" w:pos="828"/>
              </w:tabs>
              <w:spacing w:line="237" w:lineRule="auto"/>
              <w:ind w:end="98"/>
              <w:jc w:val="both"/>
            </w:pPr>
            <w:r>
              <w:t xml:space="preserve">Il n'y a pas de différence statistiquement significative entre les </w:t>
            </w:r>
            <w:r>
              <w:t xml:space="preserve">garçons </w:t>
            </w:r>
            <w:r>
              <w:t xml:space="preserve">et les filles </w:t>
            </w:r>
            <w:r>
              <w:t xml:space="preserve">assignés à la naissance pour </w:t>
            </w:r>
            <w:r>
              <w:t xml:space="preserve">le </w:t>
            </w:r>
            <w:r>
              <w:t xml:space="preserve">score </w:t>
            </w:r>
            <w:r>
              <w:t xml:space="preserve">T d'</w:t>
            </w:r>
            <w:r>
              <w:t xml:space="preserve">internalisation </w:t>
            </w:r>
            <w:r>
              <w:t xml:space="preserve">YSR </w:t>
            </w:r>
            <w:r>
              <w:t xml:space="preserve">à T0 </w:t>
            </w:r>
            <w:r>
              <w:t xml:space="preserve">ou </w:t>
            </w:r>
            <w:r>
              <w:t xml:space="preserve">T1 </w:t>
            </w:r>
            <w:r>
              <w:t xml:space="preserve">(n=54, </w:t>
            </w:r>
            <w:r>
              <w:t xml:space="preserve">p=0,825).</w:t>
            </w:r>
          </w:p>
          <w:p>
            <w:pPr>
              <w:pStyle w:val="TableParagraph"/>
              <w:numPr>
                <w:ilvl w:val="0"/>
                <w:numId w:val="147"/>
              </w:numPr>
              <w:tabs>
                <w:tab w:val="left" w:pos="828"/>
              </w:tabs>
              <w:spacing w:before="3"/>
              <w:ind w:end="94"/>
              <w:jc w:val="both"/>
            </w:pPr>
            <w:r>
              <w:t xml:space="preserve">Les </w:t>
            </w:r>
            <w:r>
              <w:t xml:space="preserve">hommes </w:t>
            </w:r>
            <w:r>
              <w:t xml:space="preserve">assignés à </w:t>
            </w:r>
            <w:r>
              <w:t xml:space="preserve">la </w:t>
            </w:r>
            <w:r>
              <w:t xml:space="preserve">naissance </w:t>
            </w:r>
            <w:r>
              <w:t xml:space="preserve">avaient des </w:t>
            </w:r>
            <w:r>
              <w:t xml:space="preserve">scores T externalisants YSR </w:t>
            </w:r>
            <w:r>
              <w:t xml:space="preserve">moyens </w:t>
            </w:r>
            <w:r>
              <w:t xml:space="preserve">(±SD) </w:t>
            </w:r>
            <w:r>
              <w:t xml:space="preserve">statistiquement </w:t>
            </w:r>
            <w:r>
              <w:t xml:space="preserve">plus faibles </w:t>
            </w:r>
            <w:r>
              <w:t xml:space="preserve">que les </w:t>
            </w:r>
            <w:r>
              <w:t xml:space="preserve">femmes </w:t>
            </w:r>
            <w:r>
              <w:t xml:space="preserve">assignées à la </w:t>
            </w:r>
            <w:r>
              <w:t xml:space="preserve">naissance à la fois à T0 (n=54, 48,72 [±11,38] contre 57,24 </w:t>
            </w:r>
            <w:r>
              <w:t xml:space="preserve">[±10,59]) et à T1 (n=54, 46,52 [±9,23] contre 52,97 [±8,51]), </w:t>
            </w:r>
            <w:r>
              <w:t xml:space="preserve">différence </w:t>
            </w:r>
            <w:r>
              <w:t xml:space="preserve">entre les </w:t>
            </w:r>
            <w:r>
              <w:t xml:space="preserve">sexes </w:t>
            </w:r>
            <w:r>
              <w:t xml:space="preserve">p=0,004 </w:t>
            </w:r>
            <w:r>
              <w:rPr>
                <w:b/>
              </w:rPr>
              <w:t xml:space="preserve">(TRÈS </w:t>
            </w:r>
            <w:r>
              <w:rPr>
                <w:b/>
              </w:rPr>
              <w:t xml:space="preserve">FAIBLE)</w:t>
            </w:r>
            <w:r>
              <w:t xml:space="preserve">.</w:t>
            </w:r>
          </w:p>
          <w:p w:rsidR="00432386" w:rsidRDefault="00432386">
            <w:pPr>
              <w:pStyle w:val="TableParagraph"/>
              <w:spacing w:before="8"/>
              <w:rPr>
                <w:b/>
                <w:sz w:val="21"/>
              </w:rPr>
            </w:pPr>
          </w:p>
          <w:p>
            <w:pPr>
              <w:pStyle w:val="TableParagraph"/>
              <w:ind w:start="107" w:end="95"/>
              <w:jc w:val="both"/>
            </w:pPr>
            <w:r>
              <w:t xml:space="preserve">Une étude de cohorte prospective, observationnelle et non contrôlée (</w:t>
            </w:r>
            <w:hyperlink r:id="rId176">
              <w:r>
                <w:rPr>
                  <w:color w:val="0000FF"/>
                  <w:u w:val="single" w:color="0000FF"/>
                </w:rPr>
                <w:t xml:space="preserve">Costa et </w:t>
              </w:r>
            </w:hyperlink>
            <w:hyperlink r:id="rId177">
              <w:r>
                <w:rPr>
                  <w:color w:val="0000FF"/>
                  <w:u w:val="single" w:color="0000FF"/>
                </w:rPr>
                <w:t xml:space="preserve">al.</w:t>
              </w:r>
              <w:r>
                <w:rPr>
                  <w:color w:val="0000FF"/>
                  <w:u w:val="single" w:color="0000FF"/>
                </w:rPr>
                <w:t xml:space="preserve">2015</w:t>
              </w:r>
            </w:hyperlink>
            <w:r>
              <w:t xml:space="preserve">) a </w:t>
            </w:r>
            <w:r>
              <w:t xml:space="preserve">fourni des </w:t>
            </w:r>
            <w:r>
              <w:t xml:space="preserve">preuves </w:t>
            </w:r>
            <w:r>
              <w:t xml:space="preserve">de l'</w:t>
            </w:r>
            <w:r>
              <w:t xml:space="preserve">impact </w:t>
            </w:r>
            <w:r>
              <w:t xml:space="preserve">psychosocial </w:t>
            </w:r>
            <w:r>
              <w:t xml:space="preserve">en </w:t>
            </w:r>
            <w:r>
              <w:t xml:space="preserve">termes </w:t>
            </w:r>
            <w:r>
              <w:t xml:space="preserve">de </w:t>
            </w:r>
            <w:r>
              <w:t xml:space="preserve">fonctionnement </w:t>
            </w:r>
            <w:r>
              <w:t xml:space="preserve">global </w:t>
            </w:r>
            <w:r>
              <w:t xml:space="preserve">(CGAS) </w:t>
            </w:r>
            <w:r>
              <w:t xml:space="preserve">chez les </w:t>
            </w:r>
            <w:r>
              <w:t xml:space="preserve">hommes </w:t>
            </w:r>
            <w:r>
              <w:t xml:space="preserve">assignés à un sexe à </w:t>
            </w:r>
            <w:r>
              <w:t xml:space="preserve">la </w:t>
            </w:r>
            <w:r>
              <w:t xml:space="preserve">naissance</w:t>
            </w:r>
            <w:r>
              <w:t xml:space="preserve">.</w:t>
            </w:r>
          </w:p>
          <w:p>
            <w:pPr>
              <w:pStyle w:val="TableParagraph"/>
              <w:numPr>
                <w:ilvl w:val="0"/>
                <w:numId w:val="147"/>
              </w:numPr>
              <w:tabs>
                <w:tab w:val="left" w:pos="881"/>
              </w:tabs>
              <w:spacing w:before="2"/>
              <w:ind w:start="880" w:end="96"/>
              <w:jc w:val="both"/>
            </w:pPr>
            <w:r>
              <w:t xml:space="preserve">Les hommes dont le sexe a été assigné à la naissance avaient des </w:t>
            </w:r>
            <w:r>
              <w:t xml:space="preserve">scores moyens (±SD) </w:t>
            </w:r>
            <w:r>
              <w:t xml:space="preserve">statistiquement plus faibles au </w:t>
            </w:r>
            <w:r>
              <w:t xml:space="preserve">CGAS au départ que les </w:t>
            </w:r>
            <w:r>
              <w:t xml:space="preserve">femmes dont le </w:t>
            </w:r>
            <w:r>
              <w:t xml:space="preserve">sexe </w:t>
            </w:r>
            <w:r>
              <w:t xml:space="preserve">a été assigné à la naissance (n=201, 55,4 [±12,7] contre 59,2 </w:t>
            </w:r>
            <w:r>
              <w:t xml:space="preserve">[±11,8], </w:t>
            </w:r>
            <w:r>
              <w:t xml:space="preserve">p=0,03) </w:t>
            </w:r>
            <w:r>
              <w:rPr>
                <w:b/>
              </w:rPr>
              <w:t xml:space="preserve">(TRÈS </w:t>
            </w:r>
            <w:r>
              <w:rPr>
                <w:b/>
              </w:rPr>
              <w:t xml:space="preserve">FAIBLE)</w:t>
            </w:r>
            <w:r>
              <w:t xml:space="preserve">.</w:t>
            </w:r>
          </w:p>
          <w:p w:rsidR="00432386" w:rsidRDefault="00432386">
            <w:pPr>
              <w:pStyle w:val="TableParagraph"/>
              <w:spacing w:before="10"/>
              <w:rPr>
                <w:b/>
                <w:sz w:val="21"/>
              </w:rPr>
            </w:pPr>
          </w:p>
          <w:p>
            <w:pPr>
              <w:pStyle w:val="TableParagraph"/>
              <w:ind w:start="107" w:end="96"/>
              <w:jc w:val="both"/>
              <w:rPr>
                <w:b/>
              </w:rPr>
            </w:pPr>
            <w:r>
              <w:rPr>
                <w:b/>
              </w:rPr>
              <w:t xml:space="preserve">Ces </w:t>
            </w:r>
            <w:r>
              <w:rPr>
                <w:b/>
              </w:rPr>
              <w:t xml:space="preserve">études </w:t>
            </w:r>
            <w:r>
              <w:rPr>
                <w:b/>
              </w:rPr>
              <w:t xml:space="preserve">fournissent des </w:t>
            </w:r>
            <w:r>
              <w:rPr>
                <w:b/>
              </w:rPr>
              <w:t xml:space="preserve">preuves de </w:t>
            </w:r>
            <w:r>
              <w:rPr>
                <w:b/>
              </w:rPr>
              <w:t xml:space="preserve">très </w:t>
            </w:r>
            <w:r>
              <w:rPr>
                <w:b/>
              </w:rPr>
              <w:t xml:space="preserve">faible </w:t>
            </w:r>
            <w:r>
              <w:rPr>
                <w:b/>
              </w:rPr>
              <w:t xml:space="preserve">certitude </w:t>
            </w:r>
            <w:r>
              <w:rPr>
                <w:b/>
              </w:rPr>
              <w:t xml:space="preserve">que </w:t>
            </w:r>
            <w:r>
              <w:rPr>
                <w:b/>
              </w:rPr>
              <w:t xml:space="preserve">l'impact psychosocial peut être différent chez les </w:t>
            </w:r>
            <w:r>
              <w:rPr>
                <w:b/>
              </w:rPr>
              <w:t xml:space="preserve">hommes </w:t>
            </w:r>
            <w:r>
              <w:rPr>
                <w:b/>
              </w:rPr>
              <w:t xml:space="preserve">dont le sexe a été assigné à la naissance </w:t>
            </w:r>
            <w:r>
              <w:rPr>
                <w:b/>
              </w:rPr>
              <w:t xml:space="preserve">(transfemmes) </w:t>
            </w:r>
            <w:r>
              <w:rPr>
                <w:b/>
              </w:rPr>
              <w:t xml:space="preserve">par rapport </w:t>
            </w:r>
            <w:r>
              <w:rPr>
                <w:b/>
              </w:rPr>
              <w:t xml:space="preserve">aux </w:t>
            </w:r>
            <w:r>
              <w:rPr>
                <w:b/>
              </w:rPr>
              <w:t xml:space="preserve">femmes dont </w:t>
            </w:r>
            <w:r>
              <w:rPr>
                <w:b/>
              </w:rPr>
              <w:t xml:space="preserve">le </w:t>
            </w:r>
            <w:r>
              <w:rPr>
                <w:b/>
              </w:rPr>
              <w:t xml:space="preserve">sexe a </w:t>
            </w:r>
            <w:r>
              <w:rPr>
                <w:b/>
              </w:rPr>
              <w:t xml:space="preserve">été assigné à </w:t>
            </w:r>
            <w:r>
              <w:rPr>
                <w:b/>
              </w:rPr>
              <w:t xml:space="preserve">la </w:t>
            </w:r>
            <w:r>
              <w:rPr>
                <w:b/>
              </w:rPr>
              <w:t xml:space="preserve">naissance </w:t>
            </w:r>
            <w:r>
              <w:rPr>
                <w:b/>
              </w:rPr>
              <w:t xml:space="preserve">(transmales). </w:t>
            </w:r>
            <w:r>
              <w:rPr>
                <w:b/>
              </w:rPr>
              <w:t xml:space="preserve">Cependant, </w:t>
            </w:r>
            <w:r>
              <w:rPr>
                <w:b/>
              </w:rPr>
              <w:t xml:space="preserve">aucune </w:t>
            </w:r>
            <w:r>
              <w:rPr>
                <w:b/>
              </w:rPr>
              <w:t xml:space="preserve">conclusion </w:t>
            </w:r>
            <w:r>
              <w:rPr>
                <w:b/>
              </w:rPr>
              <w:t xml:space="preserve">n'a </w:t>
            </w:r>
            <w:r>
              <w:rPr>
                <w:b/>
              </w:rPr>
              <w:t xml:space="preserve">pu </w:t>
            </w:r>
            <w:r>
              <w:rPr>
                <w:b/>
              </w:rPr>
              <w:t xml:space="preserve">être </w:t>
            </w:r>
            <w:r>
              <w:rPr>
                <w:b/>
              </w:rPr>
              <w:t xml:space="preserve">tirée.</w:t>
            </w:r>
          </w:p>
          <w:p w:rsidR="00432386" w:rsidRDefault="00432386">
            <w:pPr>
              <w:pStyle w:val="TableParagraph"/>
              <w:rPr>
                <w:b/>
              </w:rPr>
            </w:pPr>
          </w:p>
          <w:p>
            <w:pPr>
              <w:pStyle w:val="TableParagraph"/>
              <w:spacing w:line="252" w:lineRule="exact"/>
              <w:ind w:start="107"/>
              <w:jc w:val="both"/>
              <w:rPr>
                <w:b/>
              </w:rPr>
            </w:pPr>
            <w:r>
              <w:rPr>
                <w:b/>
              </w:rPr>
              <w:t xml:space="preserve">Modification de </w:t>
            </w:r>
            <w:r>
              <w:rPr>
                <w:b/>
              </w:rPr>
              <w:t xml:space="preserve">la </w:t>
            </w:r>
            <w:r>
              <w:rPr>
                <w:b/>
              </w:rPr>
              <w:t xml:space="preserve">densité </w:t>
            </w:r>
            <w:r>
              <w:rPr>
                <w:b/>
              </w:rPr>
              <w:t xml:space="preserve">osseuse </w:t>
            </w:r>
            <w:r>
              <w:rPr>
                <w:b/>
              </w:rPr>
              <w:t xml:space="preserve">: </w:t>
            </w:r>
            <w:r>
              <w:rPr>
                <w:b/>
              </w:rPr>
              <w:t xml:space="preserve">lombaire</w:t>
            </w:r>
          </w:p>
          <w:p>
            <w:pPr>
              <w:pStyle w:val="TableParagraph"/>
              <w:ind w:start="107" w:end="95"/>
              <w:jc w:val="both"/>
            </w:pPr>
            <w:r>
              <w:t xml:space="preserve">Trois </w:t>
            </w:r>
            <w:r>
              <w:t xml:space="preserve">études </w:t>
            </w:r>
            <w:r>
              <w:t xml:space="preserve">non contrôlées, </w:t>
            </w:r>
            <w:r>
              <w:t xml:space="preserve">observationnelles et </w:t>
            </w:r>
            <w:r>
              <w:t xml:space="preserve">rétrospectives </w:t>
            </w:r>
            <w:r>
              <w:t xml:space="preserve">ont fourni des </w:t>
            </w:r>
            <w:r>
              <w:t xml:space="preserve">preuves relatives à l'effet des analogues de la GnRH sur la </w:t>
            </w:r>
            <w:r>
              <w:t xml:space="preserve">densité </w:t>
            </w:r>
            <w:r>
              <w:t xml:space="preserve">osseuse lombaire </w:t>
            </w:r>
            <w:r>
              <w:t xml:space="preserve">chez les hommes assignés à un sexe à la naissance (</w:t>
            </w:r>
            <w:hyperlink r:id="rId178">
              <w:r>
                <w:rPr>
                  <w:color w:val="0000FF"/>
                  <w:u w:val="single" w:color="0000FF"/>
                </w:rPr>
                <w:t xml:space="preserve">Joseph et al. 2019</w:t>
              </w:r>
            </w:hyperlink>
            <w:r>
              <w:t xml:space="preserve">, </w:t>
            </w:r>
            <w:hyperlink r:id="rId179">
              <w:r>
                <w:rPr>
                  <w:color w:val="0000FF"/>
                  <w:u w:val="single" w:color="0000FF"/>
                </w:rPr>
                <w:t xml:space="preserve">Klink et al. </w:t>
              </w:r>
            </w:hyperlink>
            <w:hyperlink r:id="rId180">
              <w:r>
                <w:rPr>
                  <w:color w:val="0000FF"/>
                  <w:u w:val="single" w:color="0000FF"/>
                </w:rPr>
                <w:t xml:space="preserve">2015 </w:t>
              </w:r>
            </w:hyperlink>
            <w:r>
              <w:t xml:space="preserve">et </w:t>
            </w:r>
            <w:hyperlink r:id="rId181">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Voir </w:t>
            </w:r>
            <w:r>
              <w:t xml:space="preserve">le </w:t>
            </w:r>
            <w:r>
              <w:t xml:space="preserve">tableau des </w:t>
            </w:r>
            <w:r>
              <w:t xml:space="preserve">résultats de </w:t>
            </w:r>
            <w:r>
              <w:t xml:space="preserve">sécurité </w:t>
            </w:r>
            <w:r>
              <w:t xml:space="preserve">ci-dessus </w:t>
            </w:r>
            <w:r>
              <w:t xml:space="preserve">pour </w:t>
            </w:r>
            <w:r>
              <w:t xml:space="preserve">une </w:t>
            </w:r>
            <w:r>
              <w:t xml:space="preserve">description </w:t>
            </w:r>
            <w:r>
              <w:t xml:space="preserve">complète </w:t>
            </w:r>
            <w:r>
              <w:t xml:space="preserve">des </w:t>
            </w:r>
            <w:r>
              <w:t xml:space="preserve">résultats.</w:t>
            </w:r>
          </w:p>
          <w:p w:rsidR="00432386" w:rsidRDefault="00432386">
            <w:pPr>
              <w:pStyle w:val="TableParagraph"/>
              <w:spacing w:before="1"/>
              <w:rPr>
                <w:b/>
              </w:rPr>
            </w:pPr>
          </w:p>
          <w:p>
            <w:pPr>
              <w:pStyle w:val="TableParagraph"/>
              <w:ind w:start="107" w:end="98"/>
              <w:jc w:val="both"/>
              <w:rPr>
                <w:b/>
              </w:rPr>
            </w:pPr>
            <w:r>
              <w:rPr>
                <w:b/>
              </w:rPr>
              <w:t xml:space="preserve">Ces études fournissent des preuves de certitude très faible que les </w:t>
            </w:r>
            <w:r>
              <w:rPr>
                <w:b/>
              </w:rPr>
              <w:t xml:space="preserve">analogues de la </w:t>
            </w:r>
            <w:r>
              <w:rPr>
                <w:b/>
              </w:rPr>
              <w:t xml:space="preserve">GnRH </w:t>
            </w:r>
            <w:r>
              <w:rPr>
                <w:b/>
              </w:rPr>
              <w:t xml:space="preserve">réduisent l'augmentation attendue de la densité osseuse lombaire </w:t>
            </w:r>
            <w:r>
              <w:rPr>
                <w:b/>
              </w:rPr>
              <w:t xml:space="preserve">(BMAD ou BMD) chez les hommes assignés à un sexe à la naissance (transfemmes ; </w:t>
            </w:r>
            <w:r>
              <w:rPr>
                <w:b/>
              </w:rPr>
              <w:t xml:space="preserve">bien que </w:t>
            </w:r>
            <w:r>
              <w:rPr>
                <w:b/>
              </w:rPr>
              <w:t xml:space="preserve">certains </w:t>
            </w:r>
            <w:r>
              <w:rPr>
                <w:b/>
              </w:rPr>
              <w:t xml:space="preserve">résultats </w:t>
            </w:r>
            <w:r>
              <w:rPr>
                <w:b/>
              </w:rPr>
              <w:t xml:space="preserve">ne </w:t>
            </w:r>
            <w:r>
              <w:rPr>
                <w:b/>
              </w:rPr>
              <w:t xml:space="preserve">soient </w:t>
            </w:r>
            <w:r>
              <w:rPr>
                <w:b/>
              </w:rPr>
              <w:t xml:space="preserve">pas statistiquement </w:t>
            </w:r>
            <w:r>
              <w:rPr>
                <w:b/>
              </w:rPr>
              <w:t xml:space="preserve">significatifs). </w:t>
            </w:r>
            <w:r>
              <w:rPr>
                <w:b/>
              </w:rPr>
              <w:t xml:space="preserve">Ces</w:t>
            </w:r>
          </w:p>
          <w:p>
            <w:pPr>
              <w:pStyle w:val="TableParagraph"/>
              <w:spacing w:line="233" w:lineRule="exact"/>
              <w:ind w:start="107"/>
              <w:jc w:val="both"/>
              <w:rPr>
                <w:b/>
              </w:rPr>
            </w:pPr>
            <w:r>
              <w:rPr>
                <w:b/>
              </w:rPr>
              <w:t xml:space="preserve">Les </w:t>
            </w:r>
            <w:r>
              <w:rPr>
                <w:b/>
              </w:rPr>
              <w:t xml:space="preserve">études </w:t>
            </w:r>
            <w:r>
              <w:rPr>
                <w:b/>
              </w:rPr>
              <w:t xml:space="preserve">montrent </w:t>
            </w:r>
            <w:r>
              <w:rPr>
                <w:b/>
              </w:rPr>
              <w:t xml:space="preserve">également </w:t>
            </w:r>
            <w:r>
              <w:rPr>
                <w:b/>
              </w:rPr>
              <w:t xml:space="preserve">que les </w:t>
            </w:r>
            <w:r>
              <w:rPr>
                <w:b/>
              </w:rPr>
              <w:t xml:space="preserve">analogues de la </w:t>
            </w:r>
            <w:r>
              <w:rPr>
                <w:b/>
              </w:rPr>
              <w:t xml:space="preserve">GnRH </w:t>
            </w:r>
            <w:r>
              <w:rPr>
                <w:b/>
              </w:rPr>
              <w:t xml:space="preserve">ne </w:t>
            </w:r>
            <w:r>
              <w:rPr>
                <w:b/>
              </w:rPr>
              <w:t xml:space="preserve">sont </w:t>
            </w:r>
            <w:r>
              <w:rPr>
                <w:b/>
              </w:rPr>
              <w:t xml:space="preserve">pas </w:t>
            </w:r>
            <w:r>
              <w:rPr>
                <w:b/>
              </w:rPr>
              <w:t xml:space="preserve">statistiquement</w:t>
            </w:r>
          </w:p>
        </w:tc>
      </w:tr>
    </w:tbl>
    <w:p w:rsidR="00432386" w:rsidRDefault="00432386">
      <w:pPr>
        <w:spacing w:line="233" w:lineRule="exact"/>
        <w:jc w:val="both"/>
        <w:sectPr w:rsidR="00432386">
          <w:type w:val="continuous"/>
          <w:pgSz w:w="11910" w:h="16840"/>
          <w:pgMar w:top="1260" w:right="980" w:bottom="142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9867"/>
        </w:trPr>
        <w:tc>
          <w:tcPr>
            <w:tcW w:w="2122" w:type="dxa"/>
          </w:tcPr>
          <w:p w:rsidR="00432386" w:rsidRDefault="00432386">
            <w:pPr>
              <w:pStyle w:val="TableParagraph"/>
              <w:rPr>
                <w:rFonts w:ascii="Times New Roman"/>
              </w:rPr>
            </w:pPr>
          </w:p>
        </w:tc>
        <w:tc>
          <w:tcPr>
            <w:tcW w:w="6948" w:type="dxa"/>
          </w:tcPr>
          <w:p>
            <w:pPr>
              <w:pStyle w:val="TableParagraph"/>
              <w:ind w:start="107" w:end="102"/>
              <w:jc w:val="both"/>
              <w:rPr>
                <w:b/>
              </w:rPr>
            </w:pPr>
            <w:r>
              <w:rPr>
                <w:b/>
              </w:rPr>
              <w:t xml:space="preserve">diminuer de </w:t>
            </w:r>
            <w:r>
              <w:rPr>
                <w:b/>
              </w:rPr>
              <w:t xml:space="preserve">manière significative </w:t>
            </w:r>
            <w:r>
              <w:rPr>
                <w:b/>
              </w:rPr>
              <w:t xml:space="preserve">la </w:t>
            </w:r>
            <w:r>
              <w:rPr>
                <w:b/>
              </w:rPr>
              <w:t xml:space="preserve">densité </w:t>
            </w:r>
            <w:r>
              <w:rPr>
                <w:b/>
              </w:rPr>
              <w:t xml:space="preserve">osseuse </w:t>
            </w:r>
            <w:r>
              <w:rPr>
                <w:b/>
              </w:rPr>
              <w:t xml:space="preserve">lombaire </w:t>
            </w:r>
            <w:r>
              <w:rPr>
                <w:b/>
              </w:rPr>
              <w:t xml:space="preserve">réelle </w:t>
            </w:r>
            <w:r>
              <w:rPr>
                <w:b/>
              </w:rPr>
              <w:t xml:space="preserve">(BMAD </w:t>
            </w:r>
            <w:r>
              <w:rPr>
                <w:b/>
              </w:rPr>
              <w:t xml:space="preserve">ou </w:t>
            </w:r>
            <w:r>
              <w:rPr>
                <w:b/>
              </w:rPr>
              <w:t xml:space="preserve">BMD) </w:t>
            </w:r>
            <w:r>
              <w:rPr>
                <w:b/>
              </w:rPr>
              <w:t xml:space="preserve">chez les personnes de </w:t>
            </w:r>
            <w:r>
              <w:rPr>
                <w:b/>
              </w:rPr>
              <w:t xml:space="preserve">sexe </w:t>
            </w:r>
            <w:r>
              <w:rPr>
                <w:b/>
              </w:rPr>
              <w:t xml:space="preserve">masculin </w:t>
            </w:r>
            <w:r>
              <w:rPr>
                <w:b/>
              </w:rPr>
              <w:t xml:space="preserve">assignées à la </w:t>
            </w:r>
            <w:r>
              <w:rPr>
                <w:b/>
              </w:rPr>
              <w:t xml:space="preserve">naissance </w:t>
            </w:r>
            <w:r>
              <w:rPr>
                <w:b/>
              </w:rPr>
              <w:t xml:space="preserve">(transfemmes).</w:t>
            </w:r>
          </w:p>
          <w:p w:rsidR="00432386" w:rsidRDefault="00432386">
            <w:pPr>
              <w:pStyle w:val="TableParagraph"/>
              <w:spacing w:before="11"/>
              <w:rPr>
                <w:b/>
                <w:sz w:val="21"/>
              </w:rPr>
            </w:pPr>
          </w:p>
          <w:p>
            <w:pPr>
              <w:pStyle w:val="TableParagraph"/>
              <w:spacing w:line="252" w:lineRule="exact"/>
              <w:ind w:start="107"/>
              <w:jc w:val="both"/>
              <w:rPr>
                <w:b/>
              </w:rPr>
            </w:pPr>
            <w:r>
              <w:rPr>
                <w:b/>
              </w:rPr>
              <w:t xml:space="preserve">Modification de </w:t>
            </w:r>
            <w:r>
              <w:rPr>
                <w:b/>
              </w:rPr>
              <w:t xml:space="preserve">la </w:t>
            </w:r>
            <w:r>
              <w:rPr>
                <w:b/>
              </w:rPr>
              <w:t xml:space="preserve">densité </w:t>
            </w:r>
            <w:r>
              <w:rPr>
                <w:b/>
              </w:rPr>
              <w:t xml:space="preserve">osseuse </w:t>
            </w:r>
            <w:r>
              <w:rPr>
                <w:b/>
              </w:rPr>
              <w:t xml:space="preserve">: </w:t>
            </w:r>
            <w:r>
              <w:rPr>
                <w:b/>
              </w:rPr>
              <w:t xml:space="preserve">fémorale</w:t>
            </w:r>
          </w:p>
          <w:p>
            <w:pPr>
              <w:pStyle w:val="TableParagraph"/>
              <w:ind w:start="107" w:end="94"/>
              <w:jc w:val="both"/>
            </w:pPr>
            <w:r>
              <w:t xml:space="preserve">Trois </w:t>
            </w:r>
            <w:r>
              <w:t xml:space="preserve">études </w:t>
            </w:r>
            <w:r>
              <w:t xml:space="preserve">non contrôlées, </w:t>
            </w:r>
            <w:r>
              <w:t xml:space="preserve">observationnelles et </w:t>
            </w:r>
            <w:r>
              <w:t xml:space="preserve">rétrospectives </w:t>
            </w:r>
            <w:r>
              <w:t xml:space="preserve">ont fourni des </w:t>
            </w:r>
            <w:r>
              <w:t xml:space="preserve">preuves </w:t>
            </w:r>
            <w:r>
              <w:t xml:space="preserve">de </w:t>
            </w:r>
            <w:r>
              <w:t xml:space="preserve">l'</w:t>
            </w:r>
            <w:r>
              <w:t xml:space="preserve">effet </w:t>
            </w:r>
            <w:r>
              <w:t xml:space="preserve">des </w:t>
            </w:r>
            <w:r>
              <w:t xml:space="preserve">analogues de la </w:t>
            </w:r>
            <w:r>
              <w:t xml:space="preserve">GnRH </w:t>
            </w:r>
            <w:r>
              <w:t xml:space="preserve">sur la </w:t>
            </w:r>
            <w:r>
              <w:t xml:space="preserve">densité </w:t>
            </w:r>
            <w:r>
              <w:t xml:space="preserve">osseuse </w:t>
            </w:r>
            <w:r>
              <w:t xml:space="preserve">fémorale </w:t>
            </w:r>
            <w:r>
              <w:t xml:space="preserve">chez des </w:t>
            </w:r>
            <w:r>
              <w:t xml:space="preserve">hommes assignés à un sexe à la naissance (</w:t>
            </w:r>
            <w:hyperlink r:id="rId182">
              <w:r>
                <w:rPr>
                  <w:color w:val="0000FF"/>
                  <w:u w:val="single" w:color="0000FF"/>
                </w:rPr>
                <w:t xml:space="preserve">Joseph et al. 2019</w:t>
              </w:r>
            </w:hyperlink>
            <w:r>
              <w:t xml:space="preserve">, </w:t>
            </w:r>
            <w:hyperlink r:id="rId183">
              <w:r>
                <w:rPr>
                  <w:color w:val="0000FF"/>
                  <w:u w:val="single" w:color="0000FF"/>
                </w:rPr>
                <w:t xml:space="preserve">Klink et al. 2015 </w:t>
              </w:r>
            </w:hyperlink>
            <w:r>
              <w:t xml:space="preserve">et </w:t>
            </w:r>
            <w:hyperlink r:id="rId184">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Voir </w:t>
            </w:r>
            <w:r>
              <w:t xml:space="preserve">le </w:t>
            </w:r>
            <w:r>
              <w:t xml:space="preserve">tableau des </w:t>
            </w:r>
            <w:r>
              <w:t xml:space="preserve">résultats de </w:t>
            </w:r>
            <w:r>
              <w:t xml:space="preserve">sécurité </w:t>
            </w:r>
            <w:r>
              <w:t xml:space="preserve">ci-dessus </w:t>
            </w:r>
            <w:r>
              <w:t xml:space="preserve">pour </w:t>
            </w:r>
            <w:r>
              <w:t xml:space="preserve">une </w:t>
            </w:r>
            <w:r>
              <w:t xml:space="preserve">description </w:t>
            </w:r>
            <w:r>
              <w:t xml:space="preserve">complète </w:t>
            </w:r>
            <w:r>
              <w:t xml:space="preserve">des </w:t>
            </w:r>
            <w:r>
              <w:t xml:space="preserve">résultats.</w:t>
            </w:r>
          </w:p>
          <w:p w:rsidR="00432386" w:rsidRDefault="00432386">
            <w:pPr>
              <w:pStyle w:val="TableParagraph"/>
              <w:spacing w:before="1"/>
              <w:rPr>
                <w:b/>
              </w:rPr>
            </w:pPr>
          </w:p>
          <w:p>
            <w:pPr>
              <w:pStyle w:val="TableParagraph"/>
              <w:ind w:start="107" w:end="97"/>
              <w:jc w:val="both"/>
              <w:rPr>
                <w:b/>
              </w:rPr>
            </w:pPr>
            <w:r>
              <w:rPr>
                <w:b/>
              </w:rPr>
              <w:t xml:space="preserve">Ces études fournissent des preuves de certitude très faible que </w:t>
            </w:r>
            <w:r>
              <w:rPr>
                <w:b/>
              </w:rPr>
              <w:t xml:space="preserve">les analogues de la </w:t>
            </w:r>
            <w:r>
              <w:rPr>
                <w:b/>
              </w:rPr>
              <w:t xml:space="preserve">GnRH </w:t>
            </w:r>
            <w:r>
              <w:rPr>
                <w:b/>
              </w:rPr>
              <w:t xml:space="preserve">peuvent réduire l'augmentation attendue de la </w:t>
            </w:r>
            <w:r>
              <w:rPr>
                <w:b/>
              </w:rPr>
              <w:t xml:space="preserve">densité </w:t>
            </w:r>
            <w:r>
              <w:rPr>
                <w:b/>
              </w:rPr>
              <w:t xml:space="preserve">osseuse fémorale </w:t>
            </w:r>
            <w:r>
              <w:rPr>
                <w:b/>
              </w:rPr>
              <w:t xml:space="preserve">(col fémoral ou surface BMAD ou BMD) chez les </w:t>
            </w:r>
            <w:r>
              <w:rPr>
                <w:b/>
              </w:rPr>
              <w:t xml:space="preserve">hommes </w:t>
            </w:r>
            <w:r>
              <w:rPr>
                <w:b/>
              </w:rPr>
              <w:t xml:space="preserve">assignés à la </w:t>
            </w:r>
            <w:r>
              <w:rPr>
                <w:b/>
              </w:rPr>
              <w:t xml:space="preserve">naissance </w:t>
            </w:r>
            <w:r>
              <w:rPr>
                <w:b/>
              </w:rPr>
              <w:t xml:space="preserve">(transfemmes ; </w:t>
            </w:r>
            <w:r>
              <w:rPr>
                <w:b/>
              </w:rPr>
              <w:t xml:space="preserve">bien que </w:t>
            </w:r>
            <w:r>
              <w:rPr>
                <w:b/>
              </w:rPr>
              <w:t xml:space="preserve">certains </w:t>
            </w:r>
            <w:r>
              <w:rPr>
                <w:b/>
              </w:rPr>
              <w:t xml:space="preserve">résultats </w:t>
            </w:r>
            <w:r>
              <w:rPr>
                <w:b/>
              </w:rPr>
              <w:t xml:space="preserve">ne </w:t>
            </w:r>
            <w:r>
              <w:rPr>
                <w:b/>
              </w:rPr>
              <w:t xml:space="preserve">soient </w:t>
            </w:r>
            <w:r>
              <w:rPr>
                <w:b/>
              </w:rPr>
              <w:t xml:space="preserve">pas </w:t>
            </w:r>
            <w:r>
              <w:rPr>
                <w:b/>
              </w:rPr>
              <w:t xml:space="preserve">statistiquement </w:t>
            </w:r>
            <w:r>
              <w:rPr>
                <w:b/>
              </w:rPr>
              <w:t xml:space="preserve">significatifs). Ces </w:t>
            </w:r>
            <w:r>
              <w:rPr>
                <w:b/>
              </w:rPr>
              <w:t xml:space="preserve">études </w:t>
            </w:r>
            <w:r>
              <w:rPr>
                <w:b/>
              </w:rPr>
              <w:t xml:space="preserve">montrent également que </w:t>
            </w:r>
            <w:r>
              <w:rPr>
                <w:b/>
              </w:rPr>
              <w:t xml:space="preserve">les </w:t>
            </w:r>
            <w:r>
              <w:rPr>
                <w:b/>
              </w:rPr>
              <w:t xml:space="preserve">analogues de la </w:t>
            </w:r>
            <w:r>
              <w:rPr>
                <w:b/>
              </w:rPr>
              <w:t xml:space="preserve">GnRH </w:t>
            </w:r>
            <w:r>
              <w:rPr>
                <w:b/>
              </w:rPr>
              <w:t xml:space="preserve">ne </w:t>
            </w:r>
            <w:r>
              <w:rPr>
                <w:b/>
              </w:rPr>
              <w:t xml:space="preserve">diminuent </w:t>
            </w:r>
            <w:r>
              <w:rPr>
                <w:b/>
              </w:rPr>
              <w:t xml:space="preserve">pas de </w:t>
            </w:r>
            <w:r>
              <w:rPr>
                <w:b/>
              </w:rPr>
              <w:t xml:space="preserve">manière </w:t>
            </w:r>
            <w:r>
              <w:rPr>
                <w:b/>
              </w:rPr>
              <w:t xml:space="preserve">statistiquement </w:t>
            </w:r>
            <w:r>
              <w:rPr>
                <w:b/>
              </w:rPr>
              <w:t xml:space="preserve">significative la </w:t>
            </w:r>
            <w:r>
              <w:rPr>
                <w:b/>
              </w:rPr>
              <w:t xml:space="preserve">densité osseuse fémorale </w:t>
            </w:r>
            <w:r>
              <w:rPr>
                <w:b/>
              </w:rPr>
              <w:t xml:space="preserve">réelle </w:t>
            </w:r>
            <w:r>
              <w:rPr>
                <w:b/>
              </w:rPr>
              <w:t xml:space="preserve">(surface fémorale BMAD ou DMO du col du fémur) </w:t>
            </w:r>
            <w:r>
              <w:rPr>
                <w:b/>
              </w:rPr>
              <w:t xml:space="preserve">chez les </w:t>
            </w:r>
            <w:r>
              <w:rPr>
                <w:b/>
              </w:rPr>
              <w:t xml:space="preserve">hommes </w:t>
            </w:r>
            <w:r>
              <w:rPr>
                <w:b/>
              </w:rPr>
              <w:t xml:space="preserve">assignés au </w:t>
            </w:r>
            <w:r>
              <w:rPr>
                <w:b/>
              </w:rPr>
              <w:t xml:space="preserve">sexe </w:t>
            </w:r>
            <w:r>
              <w:rPr>
                <w:b/>
              </w:rPr>
              <w:t xml:space="preserve">de </w:t>
            </w:r>
            <w:r>
              <w:rPr>
                <w:b/>
              </w:rPr>
              <w:t xml:space="preserve">naissance (transfemmes)</w:t>
            </w:r>
            <w:r>
              <w:rPr>
                <w:b/>
              </w:rPr>
              <w:t xml:space="preserve">.</w:t>
            </w:r>
          </w:p>
          <w:p w:rsidR="00432386" w:rsidRDefault="00432386">
            <w:pPr>
              <w:pStyle w:val="TableParagraph"/>
              <w:spacing w:before="1"/>
              <w:rPr>
                <w:b/>
              </w:rPr>
            </w:pPr>
          </w:p>
          <w:p>
            <w:pPr>
              <w:pStyle w:val="TableParagraph"/>
              <w:spacing w:line="252" w:lineRule="exact"/>
              <w:ind w:start="107"/>
              <w:jc w:val="both"/>
              <w:rPr>
                <w:b/>
              </w:rPr>
            </w:pPr>
            <w:r>
              <w:rPr>
                <w:b/>
              </w:rPr>
              <w:t xml:space="preserve">Développement </w:t>
            </w:r>
            <w:r>
              <w:rPr>
                <w:b/>
              </w:rPr>
              <w:t xml:space="preserve">ou </w:t>
            </w:r>
            <w:r>
              <w:rPr>
                <w:b/>
              </w:rPr>
              <w:t xml:space="preserve">fonctionnement </w:t>
            </w:r>
            <w:r>
              <w:rPr>
                <w:b/>
              </w:rPr>
              <w:t xml:space="preserve">cognitif</w:t>
            </w:r>
          </w:p>
          <w:p>
            <w:pPr>
              <w:pStyle w:val="TableParagraph"/>
              <w:ind w:start="107" w:end="93"/>
              <w:jc w:val="both"/>
            </w:pPr>
            <w:r>
              <w:t xml:space="preserve">Une étude observationnelle transversale (</w:t>
            </w:r>
            <w:hyperlink r:id="rId185">
              <w:r>
                <w:rPr>
                  <w:color w:val="0000FF"/>
                  <w:u w:val="single" w:color="0000FF"/>
                </w:rPr>
                <w:t xml:space="preserve">Staphorsius et al. 2015</w:t>
              </w:r>
            </w:hyperlink>
            <w:r>
              <w:t xml:space="preserve">) </w:t>
            </w:r>
            <w:r>
              <w:t xml:space="preserve">a fourni des </w:t>
            </w:r>
            <w:r>
              <w:t xml:space="preserve">données </w:t>
            </w:r>
            <w:r>
              <w:t xml:space="preserve">comparatives </w:t>
            </w:r>
            <w:r>
              <w:t xml:space="preserve">sur le </w:t>
            </w:r>
            <w:r>
              <w:t xml:space="preserve">développement </w:t>
            </w:r>
            <w:r>
              <w:t xml:space="preserve">ou le </w:t>
            </w:r>
            <w:r>
              <w:t xml:space="preserve">fonctionnement </w:t>
            </w:r>
            <w:r>
              <w:t xml:space="preserve">cognitif </w:t>
            </w:r>
            <w:r>
              <w:t xml:space="preserve">chez les </w:t>
            </w:r>
            <w:r>
              <w:t xml:space="preserve">hommes </w:t>
            </w:r>
            <w:r>
              <w:t xml:space="preserve">assignés à un </w:t>
            </w:r>
            <w:r>
              <w:t xml:space="preserve">sexe à </w:t>
            </w:r>
            <w:r>
              <w:t xml:space="preserve">la </w:t>
            </w:r>
            <w:r>
              <w:t xml:space="preserve">naissance</w:t>
            </w:r>
            <w:r>
              <w:t xml:space="preserve">. </w:t>
            </w:r>
            <w:r>
              <w:t xml:space="preserve">Voir </w:t>
            </w:r>
            <w:r>
              <w:t xml:space="preserve">le </w:t>
            </w:r>
            <w:r>
              <w:t xml:space="preserve">tableau des </w:t>
            </w:r>
            <w:r>
              <w:t xml:space="preserve">résultats de </w:t>
            </w:r>
            <w:r>
              <w:t xml:space="preserve">sécurité </w:t>
            </w:r>
            <w:r>
              <w:t xml:space="preserve">ci-dessus </w:t>
            </w:r>
            <w:r>
              <w:t xml:space="preserve">pour </w:t>
            </w:r>
            <w:r>
              <w:t xml:space="preserve">une </w:t>
            </w:r>
            <w:r>
              <w:t xml:space="preserve">description complète </w:t>
            </w:r>
            <w:r>
              <w:t xml:space="preserve">des </w:t>
            </w:r>
            <w:r>
              <w:t xml:space="preserve">résultats.</w:t>
            </w:r>
          </w:p>
          <w:p w:rsidR="00432386" w:rsidRDefault="00432386">
            <w:pPr>
              <w:pStyle w:val="TableParagraph"/>
              <w:spacing w:before="11"/>
              <w:rPr>
                <w:b/>
                <w:sz w:val="21"/>
              </w:rPr>
            </w:pPr>
          </w:p>
          <w:p>
            <w:pPr>
              <w:pStyle w:val="TableParagraph"/>
              <w:ind w:start="107" w:end="94"/>
              <w:jc w:val="both"/>
              <w:rPr>
                <w:b/>
              </w:rPr>
            </w:pPr>
            <w:r>
              <w:rPr>
                <w:b/>
              </w:rPr>
              <w:t xml:space="preserve">Cette </w:t>
            </w:r>
            <w:r>
              <w:rPr>
                <w:b/>
              </w:rPr>
              <w:t xml:space="preserve">étude </w:t>
            </w:r>
            <w:r>
              <w:rPr>
                <w:b/>
              </w:rPr>
              <w:t xml:space="preserve">fournit des </w:t>
            </w:r>
            <w:r>
              <w:rPr>
                <w:b/>
              </w:rPr>
              <w:t xml:space="preserve">preuves de </w:t>
            </w:r>
            <w:r>
              <w:rPr>
                <w:b/>
              </w:rPr>
              <w:t xml:space="preserve">très </w:t>
            </w:r>
            <w:r>
              <w:rPr>
                <w:b/>
              </w:rPr>
              <w:t xml:space="preserve">faible niveau de </w:t>
            </w:r>
            <w:r>
              <w:rPr>
                <w:b/>
              </w:rPr>
              <w:t xml:space="preserve">certitude </w:t>
            </w:r>
            <w:r>
              <w:rPr>
                <w:b/>
              </w:rPr>
              <w:t xml:space="preserve">(</w:t>
            </w:r>
            <w:r>
              <w:rPr>
                <w:b/>
              </w:rPr>
              <w:t xml:space="preserve">sans </w:t>
            </w:r>
            <w:r>
              <w:rPr>
                <w:b/>
              </w:rPr>
              <w:t xml:space="preserve">analyse </w:t>
            </w:r>
            <w:r>
              <w:rPr>
                <w:b/>
              </w:rPr>
              <w:t xml:space="preserve">statistique</w:t>
            </w:r>
            <w:r>
              <w:rPr>
                <w:b/>
              </w:rPr>
              <w:t xml:space="preserve">) </w:t>
            </w:r>
            <w:r>
              <w:rPr>
                <w:b/>
              </w:rPr>
              <w:t xml:space="preserve">concernant </w:t>
            </w:r>
            <w:r>
              <w:rPr>
                <w:b/>
              </w:rPr>
              <w:t xml:space="preserve">les </w:t>
            </w:r>
            <w:r>
              <w:rPr>
                <w:b/>
              </w:rPr>
              <w:t xml:space="preserve">effets </w:t>
            </w:r>
            <w:r>
              <w:rPr>
                <w:b/>
              </w:rPr>
              <w:t xml:space="preserve">des </w:t>
            </w:r>
            <w:r>
              <w:rPr>
                <w:b/>
              </w:rPr>
              <w:t xml:space="preserve">analogues de la </w:t>
            </w:r>
            <w:r>
              <w:rPr>
                <w:b/>
              </w:rPr>
              <w:t xml:space="preserve">GnRH </w:t>
            </w:r>
            <w:r>
              <w:rPr>
                <w:b/>
              </w:rPr>
              <w:t xml:space="preserve">sur le </w:t>
            </w:r>
            <w:r>
              <w:rPr>
                <w:b/>
              </w:rPr>
              <w:t xml:space="preserve">développement ou le fonctionnement cognitif chez les </w:t>
            </w:r>
            <w:r>
              <w:rPr>
                <w:b/>
              </w:rPr>
              <w:t xml:space="preserve">hommes </w:t>
            </w:r>
            <w:r>
              <w:rPr>
                <w:b/>
              </w:rPr>
              <w:t xml:space="preserve">assignés à un sexe à la naissance </w:t>
            </w:r>
            <w:r>
              <w:rPr>
                <w:b/>
              </w:rPr>
              <w:t xml:space="preserve">(transfemmes). </w:t>
            </w:r>
            <w:r>
              <w:rPr>
                <w:b/>
              </w:rPr>
              <w:t xml:space="preserve">Aucune </w:t>
            </w:r>
            <w:r>
              <w:rPr>
                <w:b/>
              </w:rPr>
              <w:t xml:space="preserve">conclusion </w:t>
            </w:r>
            <w:r>
              <w:rPr>
                <w:b/>
              </w:rPr>
              <w:t xml:space="preserve">n'a </w:t>
            </w:r>
            <w:r>
              <w:rPr>
                <w:b/>
              </w:rPr>
              <w:t xml:space="preserve">pu </w:t>
            </w:r>
            <w:r>
              <w:rPr>
                <w:b/>
              </w:rPr>
              <w:t xml:space="preserve">être </w:t>
            </w:r>
            <w:r>
              <w:rPr>
                <w:b/>
              </w:rPr>
              <w:t xml:space="preserve">tirée.</w:t>
            </w:r>
          </w:p>
          <w:p w:rsidR="00432386" w:rsidRDefault="00432386">
            <w:pPr>
              <w:pStyle w:val="TableParagraph"/>
              <w:rPr>
                <w:b/>
              </w:rPr>
            </w:pPr>
          </w:p>
          <w:p>
            <w:pPr>
              <w:pStyle w:val="TableParagraph"/>
              <w:spacing w:line="252" w:lineRule="exact"/>
              <w:ind w:start="107"/>
              <w:jc w:val="both"/>
              <w:rPr>
                <w:b/>
              </w:rPr>
            </w:pPr>
            <w:r>
              <w:rPr>
                <w:b/>
              </w:rPr>
              <w:t xml:space="preserve">Autres </w:t>
            </w:r>
            <w:r>
              <w:rPr>
                <w:b/>
              </w:rPr>
              <w:t xml:space="preserve">critères de </w:t>
            </w:r>
            <w:r>
              <w:rPr>
                <w:b/>
              </w:rPr>
              <w:t xml:space="preserve">sécurité </w:t>
            </w:r>
            <w:r>
              <w:rPr>
                <w:b/>
              </w:rPr>
              <w:t xml:space="preserve">: </w:t>
            </w:r>
            <w:r>
              <w:rPr>
                <w:b/>
              </w:rPr>
              <w:t xml:space="preserve">fonction </w:t>
            </w:r>
            <w:r>
              <w:rPr>
                <w:b/>
              </w:rPr>
              <w:t xml:space="preserve">rénale</w:t>
            </w:r>
          </w:p>
          <w:p>
            <w:pPr>
              <w:pStyle w:val="TableParagraph"/>
              <w:ind w:start="107" w:end="95"/>
              <w:jc w:val="both"/>
            </w:pPr>
            <w:r>
              <w:t xml:space="preserve">Une étude observationnelle prospective (</w:t>
            </w:r>
            <w:hyperlink r:id="rId186">
              <w:r>
                <w:rPr>
                  <w:color w:val="0000FF"/>
                  <w:u w:val="single" w:color="0000FF"/>
                </w:rPr>
                <w:t xml:space="preserve">Schagen et al. 2016</w:t>
              </w:r>
            </w:hyperlink>
            <w:r>
              <w:t xml:space="preserve">) a fourni des </w:t>
            </w:r>
            <w:r>
              <w:t xml:space="preserve">preuves </w:t>
            </w:r>
            <w:r>
              <w:t xml:space="preserve">non comparatives </w:t>
            </w:r>
            <w:r>
              <w:t xml:space="preserve">sur le </w:t>
            </w:r>
            <w:r>
              <w:t xml:space="preserve">changement de </w:t>
            </w:r>
            <w:r>
              <w:t xml:space="preserve">la </w:t>
            </w:r>
            <w:r>
              <w:t xml:space="preserve">créatinine </w:t>
            </w:r>
            <w:r>
              <w:t xml:space="preserve">sérique </w:t>
            </w:r>
            <w:r>
              <w:t xml:space="preserve">chez les </w:t>
            </w:r>
            <w:r>
              <w:t xml:space="preserve">hommes assignés à un </w:t>
            </w:r>
            <w:r>
              <w:t xml:space="preserve">sexe </w:t>
            </w:r>
            <w:r>
              <w:t xml:space="preserve">à la naissance. Voir le tableau des résultats de sécurité ci-dessus pour une </w:t>
            </w:r>
            <w:r>
              <w:t xml:space="preserve">description </w:t>
            </w:r>
            <w:r>
              <w:t xml:space="preserve">complète </w:t>
            </w:r>
            <w:r>
              <w:t xml:space="preserve">des </w:t>
            </w:r>
            <w:r>
              <w:t xml:space="preserve">résultats.</w:t>
            </w:r>
          </w:p>
          <w:p w:rsidR="00432386" w:rsidRDefault="00432386">
            <w:pPr>
              <w:pStyle w:val="TableParagraph"/>
              <w:spacing w:before="7"/>
              <w:rPr>
                <w:b/>
                <w:sz w:val="20"/>
              </w:rPr>
            </w:pPr>
          </w:p>
          <w:p>
            <w:pPr>
              <w:pStyle w:val="TableParagraph"/>
              <w:spacing w:line="252" w:lineRule="exact"/>
              <w:ind w:start="107" w:end="95"/>
              <w:jc w:val="both"/>
              <w:rPr>
                <w:b/>
              </w:rPr>
            </w:pPr>
            <w:r>
              <w:rPr>
                <w:b/>
              </w:rPr>
              <w:t xml:space="preserve">Cette </w:t>
            </w:r>
            <w:r>
              <w:rPr>
                <w:b/>
              </w:rPr>
              <w:t xml:space="preserve">étude </w:t>
            </w:r>
            <w:r>
              <w:rPr>
                <w:b/>
              </w:rPr>
              <w:t xml:space="preserve">fournit des </w:t>
            </w:r>
            <w:r>
              <w:rPr>
                <w:b/>
              </w:rPr>
              <w:t xml:space="preserve">preuves de </w:t>
            </w:r>
            <w:r>
              <w:rPr>
                <w:b/>
              </w:rPr>
              <w:t xml:space="preserve">très </w:t>
            </w:r>
            <w:r>
              <w:rPr>
                <w:b/>
              </w:rPr>
              <w:t xml:space="preserve">faible niveau de </w:t>
            </w:r>
            <w:r>
              <w:rPr>
                <w:b/>
              </w:rPr>
              <w:t xml:space="preserve">certitude </w:t>
            </w:r>
            <w:r>
              <w:rPr>
                <w:b/>
              </w:rPr>
              <w:t xml:space="preserve">que les </w:t>
            </w:r>
            <w:r>
              <w:rPr>
                <w:b/>
              </w:rPr>
              <w:t xml:space="preserve">analogues de la </w:t>
            </w:r>
            <w:r>
              <w:rPr>
                <w:b/>
              </w:rPr>
              <w:t xml:space="preserve">GnRH </w:t>
            </w:r>
            <w:r>
              <w:rPr>
                <w:b/>
              </w:rPr>
              <w:t xml:space="preserve">n'affectent pas la fonction rénale chez les personnes de sexe </w:t>
            </w:r>
            <w:r>
              <w:rPr>
                <w:b/>
              </w:rPr>
              <w:t xml:space="preserve">masculin </w:t>
            </w:r>
            <w:r>
              <w:rPr>
                <w:b/>
              </w:rPr>
              <w:t xml:space="preserve">assignées à la naissance </w:t>
            </w:r>
            <w:r>
              <w:rPr>
                <w:b/>
              </w:rPr>
              <w:t xml:space="preserve">(transfemmes).</w:t>
            </w:r>
          </w:p>
        </w:tc>
      </w:tr>
      <w:tr w:rsidR="00432386">
        <w:trPr>
          <w:trHeight w:val="4048"/>
        </w:trPr>
        <w:tc>
          <w:tcPr>
            <w:tcW w:w="2122" w:type="dxa"/>
          </w:tcPr>
          <w:p>
            <w:pPr>
              <w:pStyle w:val="TableParagraph"/>
              <w:ind w:start="107" w:end="322"/>
              <w:rPr>
                <w:b/>
              </w:rPr>
            </w:pPr>
            <w:r>
              <w:rPr>
                <w:b/>
              </w:rPr>
              <w:t xml:space="preserve">Sexe assigné à la </w:t>
            </w:r>
            <w:r>
              <w:rPr>
                <w:b/>
              </w:rPr>
              <w:t xml:space="preserve">naissance : femmes </w:t>
            </w:r>
            <w:r>
              <w:rPr>
                <w:b/>
              </w:rPr>
              <w:t xml:space="preserve">(transmales)</w:t>
            </w:r>
          </w:p>
          <w:p w:rsidR="00432386" w:rsidRDefault="00432386">
            <w:pPr>
              <w:pStyle w:val="TableParagraph"/>
              <w:rPr>
                <w:b/>
              </w:rPr>
            </w:pPr>
          </w:p>
          <w:p>
            <w:pPr>
              <w:pStyle w:val="TableParagraph"/>
              <w:ind w:start="107" w:end="431"/>
              <w:rPr>
                <w:b/>
              </w:rPr>
            </w:pPr>
            <w:r>
              <w:rPr>
                <w:b/>
              </w:rPr>
              <w:t xml:space="preserve">Certitude de la </w:t>
            </w:r>
            <w:r>
              <w:rPr>
                <w:b/>
              </w:rPr>
              <w:t xml:space="preserve">preuve : Très </w:t>
            </w:r>
            <w:r>
              <w:rPr>
                <w:b/>
              </w:rPr>
              <w:t xml:space="preserve">faible</w:t>
            </w:r>
          </w:p>
        </w:tc>
        <w:tc>
          <w:tcPr>
            <w:tcW w:w="6948" w:type="dxa"/>
          </w:tcPr>
          <w:p>
            <w:pPr>
              <w:pStyle w:val="TableParagraph"/>
              <w:ind w:start="107" w:end="94"/>
              <w:jc w:val="both"/>
            </w:pPr>
            <w:r>
              <w:t xml:space="preserve">Certaines </w:t>
            </w:r>
            <w:r>
              <w:t xml:space="preserve">études </w:t>
            </w:r>
            <w:r>
              <w:t xml:space="preserve">ont rapporté des </w:t>
            </w:r>
            <w:r>
              <w:t xml:space="preserve">données séparément </w:t>
            </w:r>
            <w:r>
              <w:t xml:space="preserve">pour </w:t>
            </w:r>
            <w:r>
              <w:t xml:space="preserve">les </w:t>
            </w:r>
            <w:r>
              <w:rPr>
                <w:spacing w:val="-1"/>
              </w:rPr>
              <w:t xml:space="preserve">femmes </w:t>
            </w:r>
            <w:r>
              <w:t xml:space="preserve">assignées à </w:t>
            </w:r>
            <w:r>
              <w:t xml:space="preserve">la </w:t>
            </w:r>
            <w:r>
              <w:t xml:space="preserve">naissance </w:t>
            </w:r>
            <w:r>
              <w:rPr>
                <w:spacing w:val="-1"/>
              </w:rPr>
              <w:t xml:space="preserve">(transmales). </w:t>
            </w:r>
            <w:r>
              <w:rPr>
                <w:spacing w:val="-1"/>
              </w:rPr>
              <w:t xml:space="preserve">Cela </w:t>
            </w:r>
            <w:r>
              <w:rPr>
                <w:spacing w:val="-1"/>
              </w:rPr>
              <w:t xml:space="preserve">inclut </w:t>
            </w:r>
            <w:r>
              <w:t xml:space="preserve">certaines </w:t>
            </w:r>
            <w:r>
              <w:t xml:space="preserve">comparaisons </w:t>
            </w:r>
            <w:r>
              <w:t xml:space="preserve">directes </w:t>
            </w:r>
            <w:r>
              <w:t xml:space="preserve">avec les </w:t>
            </w:r>
            <w:r>
              <w:t xml:space="preserve">hommes </w:t>
            </w:r>
            <w:r>
              <w:t xml:space="preserve">assignés au </w:t>
            </w:r>
            <w:r>
              <w:t xml:space="preserve">sexe à </w:t>
            </w:r>
            <w:r>
              <w:t xml:space="preserve">la </w:t>
            </w:r>
            <w:r>
              <w:t xml:space="preserve">naissance </w:t>
            </w:r>
            <w:r>
              <w:t xml:space="preserve">(transfemmes).</w:t>
            </w:r>
          </w:p>
          <w:p w:rsidR="00432386" w:rsidRDefault="00432386">
            <w:pPr>
              <w:pStyle w:val="TableParagraph"/>
              <w:rPr>
                <w:b/>
              </w:rPr>
            </w:pPr>
          </w:p>
          <w:p>
            <w:pPr>
              <w:pStyle w:val="TableParagraph"/>
              <w:spacing w:line="252" w:lineRule="exact"/>
              <w:ind w:start="107"/>
              <w:jc w:val="both"/>
              <w:rPr>
                <w:b/>
              </w:rPr>
            </w:pPr>
            <w:r>
              <w:rPr>
                <w:b/>
              </w:rPr>
              <w:t xml:space="preserve">Impact </w:t>
            </w:r>
            <w:r>
              <w:rPr>
                <w:b/>
              </w:rPr>
              <w:t xml:space="preserve">sur la </w:t>
            </w:r>
            <w:r>
              <w:rPr>
                <w:b/>
              </w:rPr>
              <w:t xml:space="preserve">dysphorie de </w:t>
            </w:r>
            <w:r>
              <w:rPr>
                <w:b/>
              </w:rPr>
              <w:t xml:space="preserve">genre</w:t>
            </w:r>
          </w:p>
          <w:p>
            <w:pPr>
              <w:pStyle w:val="TableParagraph"/>
              <w:ind w:start="107" w:end="91"/>
              <w:jc w:val="both"/>
            </w:pPr>
            <w:r>
              <w:t xml:space="preserve">Une étude longitudinale observationnelle prospective non contrôlée (</w:t>
            </w:r>
            <w:hyperlink r:id="rId187">
              <w:r>
                <w:rPr>
                  <w:color w:val="0000FF"/>
                  <w:u w:val="single" w:color="0000FF"/>
                </w:rPr>
                <w:t xml:space="preserve">de </w:t>
              </w:r>
            </w:hyperlink>
            <w:hyperlink r:id="rId188">
              <w:r>
                <w:rPr>
                  <w:color w:val="0000FF"/>
                  <w:spacing w:val="-1"/>
                  <w:u w:val="single" w:color="0000FF"/>
                </w:rPr>
                <w:t xml:space="preserve">Vries</w:t>
              </w:r>
              <w:r>
                <w:rPr>
                  <w:color w:val="0000FF"/>
                  <w:spacing w:val="-1"/>
                  <w:u w:val="single" w:color="0000FF"/>
                </w:rPr>
                <w:t xml:space="preserve">et</w:t>
              </w:r>
              <w:r>
                <w:rPr>
                  <w:color w:val="0000FF"/>
                  <w:spacing w:val="-1"/>
                  <w:u w:val="single" w:color="0000FF"/>
                </w:rPr>
                <w:t xml:space="preserve">al.</w:t>
              </w:r>
              <w:r>
                <w:rPr>
                  <w:color w:val="0000FF"/>
                  <w:spacing w:val="-1"/>
                  <w:u w:val="single" w:color="0000FF"/>
                </w:rPr>
                <w:t xml:space="preserve">2011</w:t>
              </w:r>
            </w:hyperlink>
            <w:r>
              <w:rPr>
                <w:spacing w:val="-1"/>
              </w:rPr>
              <w:t xml:space="preserve">) </w:t>
            </w:r>
            <w:r>
              <w:rPr>
                <w:spacing w:val="-1"/>
              </w:rPr>
              <w:t xml:space="preserve">et </w:t>
            </w:r>
            <w:r>
              <w:rPr>
                <w:spacing w:val="-1"/>
              </w:rPr>
              <w:t xml:space="preserve">une </w:t>
            </w:r>
            <w:r>
              <w:t xml:space="preserve">étude </w:t>
            </w:r>
            <w:r>
              <w:t xml:space="preserve">longitudinale </w:t>
            </w:r>
            <w:r>
              <w:rPr>
                <w:spacing w:val="-1"/>
              </w:rPr>
              <w:t xml:space="preserve">observationnelle </w:t>
            </w:r>
            <w:r>
              <w:rPr>
                <w:spacing w:val="-1"/>
              </w:rPr>
              <w:t xml:space="preserve">prospective </w:t>
            </w:r>
            <w:r>
              <w:t xml:space="preserve">(</w:t>
            </w:r>
            <w:hyperlink r:id="rId189">
              <w:r>
                <w:rPr>
                  <w:color w:val="0000FF"/>
                  <w:u w:val="single" w:color="0000FF"/>
                </w:rPr>
                <w:t xml:space="preserve">Costa et al. 2015</w:t>
              </w:r>
            </w:hyperlink>
            <w:r>
              <w:t xml:space="preserve">) ont fourni des preuves de dysphorie de genre chez les </w:t>
            </w:r>
            <w:r>
              <w:t xml:space="preserve">femmes </w:t>
            </w:r>
            <w:r>
              <w:t xml:space="preserve">assignées à un </w:t>
            </w:r>
            <w:r>
              <w:t xml:space="preserve">sexe </w:t>
            </w:r>
            <w:r>
              <w:t xml:space="preserve">à la </w:t>
            </w:r>
            <w:r>
              <w:t xml:space="preserve">naissance</w:t>
            </w:r>
            <w:r>
              <w:t xml:space="preserve">. </w:t>
            </w:r>
            <w:r>
              <w:t xml:space="preserve">Voir la </w:t>
            </w:r>
            <w:r>
              <w:t xml:space="preserve">rangée des </w:t>
            </w:r>
            <w:r>
              <w:t xml:space="preserve">hommes </w:t>
            </w:r>
            <w:r>
              <w:t xml:space="preserve">assignés à </w:t>
            </w:r>
            <w:r>
              <w:t xml:space="preserve">la </w:t>
            </w:r>
            <w:r>
              <w:t xml:space="preserve">naissance </w:t>
            </w:r>
            <w:r>
              <w:t xml:space="preserve">(transfemmes) </w:t>
            </w:r>
            <w:r>
              <w:t xml:space="preserve">ci-dessus </w:t>
            </w:r>
            <w:r>
              <w:t xml:space="preserve">pour une </w:t>
            </w:r>
            <w:r>
              <w:t xml:space="preserve">description </w:t>
            </w:r>
            <w:r>
              <w:t xml:space="preserve">complète </w:t>
            </w:r>
            <w:r>
              <w:t xml:space="preserve">des </w:t>
            </w:r>
            <w:r>
              <w:t xml:space="preserve">résultats.</w:t>
            </w:r>
          </w:p>
          <w:p w:rsidR="00432386" w:rsidRDefault="00432386">
            <w:pPr>
              <w:pStyle w:val="TableParagraph"/>
              <w:spacing w:before="11"/>
              <w:rPr>
                <w:b/>
                <w:sz w:val="21"/>
              </w:rPr>
            </w:pPr>
          </w:p>
          <w:p>
            <w:pPr>
              <w:pStyle w:val="TableParagraph"/>
              <w:ind w:start="107" w:end="97"/>
              <w:jc w:val="both"/>
              <w:rPr>
                <w:b/>
              </w:rPr>
            </w:pPr>
            <w:r>
              <w:rPr>
                <w:b/>
              </w:rPr>
              <w:t xml:space="preserve">Ces études fournissent des preuves de certitude très faible que la </w:t>
            </w:r>
            <w:r>
              <w:rPr>
                <w:b/>
              </w:rPr>
              <w:t xml:space="preserve">dysphorie de </w:t>
            </w:r>
            <w:r>
              <w:rPr>
                <w:b/>
              </w:rPr>
              <w:t xml:space="preserve">genre </w:t>
            </w:r>
            <w:r>
              <w:rPr>
                <w:b/>
              </w:rPr>
              <w:t xml:space="preserve">est </w:t>
            </w:r>
            <w:r>
              <w:rPr>
                <w:b/>
              </w:rPr>
              <w:t xml:space="preserve">plus élevée </w:t>
            </w:r>
            <w:r>
              <w:rPr>
                <w:b/>
              </w:rPr>
              <w:t xml:space="preserve">chez les </w:t>
            </w:r>
            <w:r>
              <w:rPr>
                <w:b/>
              </w:rPr>
              <w:t xml:space="preserve">femmes </w:t>
            </w:r>
            <w:r>
              <w:rPr>
                <w:b/>
              </w:rPr>
              <w:t xml:space="preserve">assignées à </w:t>
            </w:r>
            <w:r>
              <w:rPr>
                <w:b/>
              </w:rPr>
              <w:t xml:space="preserve">la </w:t>
            </w:r>
            <w:r>
              <w:rPr>
                <w:b/>
              </w:rPr>
              <w:t xml:space="preserve">naissance </w:t>
            </w:r>
            <w:r>
              <w:rPr>
                <w:b/>
              </w:rPr>
              <w:t xml:space="preserve">(transmales) </w:t>
            </w:r>
            <w:r>
              <w:rPr>
                <w:b/>
              </w:rPr>
              <w:t xml:space="preserve">que chez </w:t>
            </w:r>
            <w:r>
              <w:rPr>
                <w:b/>
              </w:rPr>
              <w:t xml:space="preserve">les </w:t>
            </w:r>
            <w:r>
              <w:rPr>
                <w:b/>
              </w:rPr>
              <w:t xml:space="preserve">hommes </w:t>
            </w:r>
            <w:r>
              <w:rPr>
                <w:b/>
              </w:rPr>
              <w:t xml:space="preserve">assignés à </w:t>
            </w:r>
            <w:r>
              <w:rPr>
                <w:b/>
              </w:rPr>
              <w:t xml:space="preserve">la </w:t>
            </w:r>
            <w:r>
              <w:rPr>
                <w:b/>
              </w:rPr>
              <w:t xml:space="preserve">naissance </w:t>
            </w:r>
            <w:r>
              <w:rPr>
                <w:b/>
              </w:rPr>
              <w:t xml:space="preserve">(transfemales), </w:t>
            </w:r>
            <w:r>
              <w:rPr>
                <w:b/>
              </w:rPr>
              <w:t xml:space="preserve">tant </w:t>
            </w:r>
            <w:r>
              <w:rPr>
                <w:b/>
              </w:rPr>
              <w:t xml:space="preserve">au </w:t>
            </w:r>
            <w:r>
              <w:rPr>
                <w:b/>
              </w:rPr>
              <w:t xml:space="preserve">début de l'étude </w:t>
            </w:r>
            <w:r>
              <w:rPr>
                <w:b/>
              </w:rPr>
              <w:t xml:space="preserve">qu'au cours du </w:t>
            </w:r>
            <w:r>
              <w:rPr>
                <w:b/>
              </w:rPr>
              <w:t xml:space="preserve">suivi</w:t>
            </w:r>
            <w:r>
              <w:rPr>
                <w:b/>
              </w:rPr>
              <w:t xml:space="preserve">.</w:t>
            </w:r>
          </w:p>
        </w:tc>
      </w:tr>
    </w:tbl>
    <w:p w:rsidR="00432386" w:rsidRDefault="00432386">
      <w:pPr>
        <w:jc w:val="both"/>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13616"/>
        </w:trPr>
        <w:tc>
          <w:tcPr>
            <w:tcW w:w="2122" w:type="dxa"/>
          </w:tcPr>
          <w:p w:rsidR="00432386" w:rsidRDefault="00432386">
            <w:pPr>
              <w:pStyle w:val="TableParagraph"/>
              <w:rPr>
                <w:rFonts w:ascii="Times New Roman"/>
              </w:rPr>
            </w:pPr>
          </w:p>
        </w:tc>
        <w:tc>
          <w:tcPr>
            <w:tcW w:w="6948" w:type="dxa"/>
          </w:tcPr>
          <w:p>
            <w:pPr>
              <w:pStyle w:val="TableParagraph"/>
              <w:spacing w:line="252" w:lineRule="exact"/>
              <w:ind w:start="107"/>
              <w:jc w:val="both"/>
              <w:rPr>
                <w:b/>
              </w:rPr>
            </w:pPr>
            <w:r>
              <w:rPr>
                <w:b/>
              </w:rPr>
              <w:t xml:space="preserve">Impact </w:t>
            </w:r>
            <w:r>
              <w:rPr>
                <w:b/>
              </w:rPr>
              <w:t xml:space="preserve">sur la </w:t>
            </w:r>
            <w:r>
              <w:rPr>
                <w:b/>
              </w:rPr>
              <w:t xml:space="preserve">santé </w:t>
            </w:r>
            <w:r>
              <w:rPr>
                <w:b/>
              </w:rPr>
              <w:t xml:space="preserve">mentale</w:t>
            </w:r>
          </w:p>
          <w:p>
            <w:pPr>
              <w:pStyle w:val="TableParagraph"/>
              <w:ind w:start="107" w:end="91"/>
              <w:jc w:val="both"/>
            </w:pPr>
            <w:r>
              <w:t xml:space="preserve">Une étude longitudinale d'observation prospective non contrôlée (</w:t>
            </w:r>
            <w:hyperlink r:id="rId190">
              <w:r>
                <w:rPr>
                  <w:color w:val="0000FF"/>
                  <w:u w:val="single" w:color="0000FF"/>
                </w:rPr>
                <w:t xml:space="preserve">de </w:t>
              </w:r>
            </w:hyperlink>
            <w:hyperlink r:id="rId191">
              <w:r>
                <w:rPr>
                  <w:color w:val="0000FF"/>
                  <w:u w:val="single" w:color="0000FF"/>
                </w:rPr>
                <w:t xml:space="preserve">Vries et al. 2011</w:t>
              </w:r>
            </w:hyperlink>
            <w:r>
              <w:t xml:space="preserve">) a fourni des données relatives à l'impact sur la </w:t>
            </w:r>
            <w:r>
              <w:t xml:space="preserve">santé </w:t>
            </w:r>
            <w:r>
              <w:t xml:space="preserve">mentale </w:t>
            </w:r>
            <w:r>
              <w:t xml:space="preserve">(dépression, </w:t>
            </w:r>
            <w:r>
              <w:t xml:space="preserve">colère </w:t>
            </w:r>
            <w:r>
              <w:t xml:space="preserve">et </w:t>
            </w:r>
            <w:r>
              <w:t xml:space="preserve">anxiété) </w:t>
            </w:r>
            <w:r>
              <w:t xml:space="preserve">chez les </w:t>
            </w:r>
            <w:r>
              <w:t xml:space="preserve">femmes </w:t>
            </w:r>
            <w:r>
              <w:t xml:space="preserve">assignées à un </w:t>
            </w:r>
            <w:r>
              <w:t xml:space="preserve">sexe à </w:t>
            </w:r>
            <w:r>
              <w:t xml:space="preserve">la </w:t>
            </w:r>
            <w:r>
              <w:t xml:space="preserve">naissance</w:t>
            </w:r>
            <w:r>
              <w:t xml:space="preserve">. Voir la ligne sur les hommes assignés à la naissance (transfemmes) </w:t>
            </w:r>
            <w:r>
              <w:t xml:space="preserve">ci-dessus </w:t>
            </w:r>
            <w:r>
              <w:t xml:space="preserve">pour </w:t>
            </w:r>
            <w:r>
              <w:t xml:space="preserve">une </w:t>
            </w:r>
            <w:r>
              <w:t xml:space="preserve">description complète </w:t>
            </w:r>
            <w:r>
              <w:t xml:space="preserve">des </w:t>
            </w:r>
            <w:r>
              <w:t xml:space="preserve">résultats.</w:t>
            </w:r>
          </w:p>
          <w:p w:rsidR="00432386" w:rsidRDefault="00432386">
            <w:pPr>
              <w:pStyle w:val="TableParagraph"/>
              <w:spacing w:before="1"/>
              <w:rPr>
                <w:b/>
              </w:rPr>
            </w:pPr>
          </w:p>
          <w:p>
            <w:pPr>
              <w:pStyle w:val="TableParagraph"/>
              <w:ind w:start="107" w:end="94"/>
              <w:jc w:val="both"/>
              <w:rPr>
                <w:b/>
              </w:rPr>
            </w:pPr>
            <w:r>
              <w:rPr>
                <w:b/>
              </w:rPr>
              <w:t xml:space="preserve">Cette étude fournit des preuves de certitude très faible que l'impact </w:t>
            </w:r>
            <w:r>
              <w:rPr>
                <w:b/>
              </w:rPr>
              <w:t xml:space="preserve">sur la </w:t>
            </w:r>
            <w:r>
              <w:rPr>
                <w:b/>
              </w:rPr>
              <w:t xml:space="preserve">santé </w:t>
            </w:r>
            <w:r>
              <w:rPr>
                <w:b/>
              </w:rPr>
              <w:t xml:space="preserve">mentale </w:t>
            </w:r>
            <w:r>
              <w:rPr>
                <w:b/>
              </w:rPr>
              <w:t xml:space="preserve">(dépression, </w:t>
            </w:r>
            <w:r>
              <w:rPr>
                <w:b/>
              </w:rPr>
              <w:t xml:space="preserve">colère </w:t>
            </w:r>
            <w:r>
              <w:rPr>
                <w:b/>
              </w:rPr>
              <w:t xml:space="preserve">et </w:t>
            </w:r>
            <w:r>
              <w:rPr>
                <w:b/>
              </w:rPr>
              <w:t xml:space="preserve">anxiété) </w:t>
            </w:r>
            <w:r>
              <w:rPr>
                <w:b/>
              </w:rPr>
              <w:t xml:space="preserve">peut </w:t>
            </w:r>
            <w:r>
              <w:rPr>
                <w:b/>
              </w:rPr>
              <w:t xml:space="preserve">être </w:t>
            </w:r>
            <w:r>
              <w:rPr>
                <w:b/>
              </w:rPr>
              <w:t xml:space="preserve">différent </w:t>
            </w:r>
            <w:r>
              <w:rPr>
                <w:b/>
              </w:rPr>
              <w:t xml:space="preserve">chez les </w:t>
            </w:r>
            <w:r>
              <w:rPr>
                <w:b/>
              </w:rPr>
              <w:t xml:space="preserve">femmes </w:t>
            </w:r>
            <w:r>
              <w:rPr>
                <w:b/>
              </w:rPr>
              <w:t xml:space="preserve">dont le </w:t>
            </w:r>
            <w:r>
              <w:rPr>
                <w:b/>
              </w:rPr>
              <w:t xml:space="preserve">sexe </w:t>
            </w:r>
            <w:r>
              <w:rPr>
                <w:b/>
              </w:rPr>
              <w:t xml:space="preserve">a été assigné à </w:t>
            </w:r>
            <w:r>
              <w:rPr>
                <w:b/>
              </w:rPr>
              <w:t xml:space="preserve">la </w:t>
            </w:r>
            <w:r>
              <w:rPr>
                <w:b/>
              </w:rPr>
              <w:t xml:space="preserve">naissance </w:t>
            </w:r>
            <w:r>
              <w:rPr>
                <w:b/>
              </w:rPr>
              <w:t xml:space="preserve">(transmales) par </w:t>
            </w:r>
            <w:r>
              <w:rPr>
                <w:b/>
              </w:rPr>
              <w:t xml:space="preserve">rapport </w:t>
            </w:r>
            <w:r>
              <w:rPr>
                <w:b/>
              </w:rPr>
              <w:t xml:space="preserve">aux hommes dont le sexe a été assigné à la naissance (transfemales). Au fil du temps, il </w:t>
            </w:r>
            <w:r>
              <w:rPr>
                <w:b/>
              </w:rPr>
              <w:t xml:space="preserve">n'y a pas eu de différence statistiquement significative entre les </w:t>
            </w:r>
            <w:r>
              <w:rPr>
                <w:b/>
              </w:rPr>
              <w:t xml:space="preserve">femmes et les hommes </w:t>
            </w:r>
            <w:r>
              <w:rPr>
                <w:b/>
              </w:rPr>
              <w:t xml:space="preserve">assignés à la </w:t>
            </w:r>
            <w:r>
              <w:rPr>
                <w:b/>
              </w:rPr>
              <w:t xml:space="preserve">naissance pour la dépression. </w:t>
            </w:r>
            <w:r>
              <w:rPr>
                <w:b/>
              </w:rPr>
              <w:t xml:space="preserve">Cependant, les </w:t>
            </w:r>
            <w:r>
              <w:rPr>
                <w:b/>
              </w:rPr>
              <w:t xml:space="preserve">femmes </w:t>
            </w:r>
            <w:r>
              <w:rPr>
                <w:b/>
              </w:rPr>
              <w:t xml:space="preserve">assignées </w:t>
            </w:r>
            <w:r>
              <w:rPr>
                <w:b/>
              </w:rPr>
              <w:t xml:space="preserve">sexuellement à </w:t>
            </w:r>
            <w:r>
              <w:rPr>
                <w:b/>
              </w:rPr>
              <w:t xml:space="preserve">la </w:t>
            </w:r>
            <w:r>
              <w:rPr>
                <w:b/>
              </w:rPr>
              <w:t xml:space="preserve">naissance </w:t>
            </w:r>
            <w:r>
              <w:rPr>
                <w:b/>
              </w:rPr>
              <w:t xml:space="preserve">présentaient des </w:t>
            </w:r>
            <w:r>
              <w:rPr>
                <w:b/>
              </w:rPr>
              <w:t xml:space="preserve">niveaux </w:t>
            </w:r>
            <w:r>
              <w:rPr>
                <w:b/>
              </w:rPr>
              <w:t xml:space="preserve">de </w:t>
            </w:r>
            <w:r>
              <w:rPr>
                <w:b/>
              </w:rPr>
              <w:t xml:space="preserve">colère </w:t>
            </w:r>
            <w:r>
              <w:rPr>
                <w:b/>
              </w:rPr>
              <w:t xml:space="preserve">et d'</w:t>
            </w:r>
            <w:r>
              <w:rPr>
                <w:b/>
              </w:rPr>
              <w:t xml:space="preserve">anxiété </w:t>
            </w:r>
            <w:r>
              <w:rPr>
                <w:b/>
              </w:rPr>
              <w:t xml:space="preserve">statistiquement </w:t>
            </w:r>
            <w:r>
              <w:rPr>
                <w:b/>
              </w:rPr>
              <w:t xml:space="preserve">plus élevés </w:t>
            </w:r>
            <w:r>
              <w:rPr>
                <w:b/>
              </w:rPr>
              <w:t xml:space="preserve">que les </w:t>
            </w:r>
            <w:r>
              <w:rPr>
                <w:b/>
              </w:rPr>
              <w:t xml:space="preserve">hommes </w:t>
            </w:r>
            <w:r>
              <w:rPr>
                <w:b/>
              </w:rPr>
              <w:t xml:space="preserve">assignés </w:t>
            </w:r>
            <w:r>
              <w:rPr>
                <w:b/>
              </w:rPr>
              <w:t xml:space="preserve">sexuellement à </w:t>
            </w:r>
            <w:r>
              <w:rPr>
                <w:b/>
              </w:rPr>
              <w:t xml:space="preserve">la </w:t>
            </w:r>
            <w:r>
              <w:rPr>
                <w:b/>
              </w:rPr>
              <w:t xml:space="preserve">naissance</w:t>
            </w:r>
            <w:r>
              <w:rPr>
                <w:b/>
              </w:rPr>
              <w:t xml:space="preserve">, au </w:t>
            </w:r>
            <w:r>
              <w:rPr>
                <w:b/>
              </w:rPr>
              <w:t xml:space="preserve">départ et au cours du </w:t>
            </w:r>
            <w:r>
              <w:rPr>
                <w:b/>
              </w:rPr>
              <w:t xml:space="preserve">suivi</w:t>
            </w:r>
            <w:r>
              <w:rPr>
                <w:b/>
              </w:rPr>
              <w:t xml:space="preserve">.</w:t>
            </w:r>
          </w:p>
          <w:p w:rsidR="00432386" w:rsidRDefault="00432386">
            <w:pPr>
              <w:pStyle w:val="TableParagraph"/>
              <w:rPr>
                <w:b/>
              </w:rPr>
            </w:pPr>
          </w:p>
          <w:p>
            <w:pPr>
              <w:pStyle w:val="TableParagraph"/>
              <w:spacing w:line="252" w:lineRule="exact"/>
              <w:ind w:start="107"/>
              <w:jc w:val="both"/>
              <w:rPr>
                <w:b/>
              </w:rPr>
            </w:pPr>
            <w:r>
              <w:rPr>
                <w:b/>
              </w:rPr>
              <w:t xml:space="preserve">Impact </w:t>
            </w:r>
            <w:r>
              <w:rPr>
                <w:b/>
              </w:rPr>
              <w:t xml:space="preserve">sur l'</w:t>
            </w:r>
            <w:r>
              <w:rPr>
                <w:b/>
              </w:rPr>
              <w:t xml:space="preserve">image </w:t>
            </w:r>
            <w:r>
              <w:rPr>
                <w:b/>
              </w:rPr>
              <w:t xml:space="preserve">corporelle</w:t>
            </w:r>
          </w:p>
          <w:p>
            <w:pPr>
              <w:pStyle w:val="TableParagraph"/>
              <w:ind w:start="107" w:end="91"/>
              <w:jc w:val="both"/>
            </w:pPr>
            <w:r>
              <w:t xml:space="preserve">Une étude longitudinale d'observation prospective non contrôlée (</w:t>
            </w:r>
            <w:hyperlink r:id="rId192">
              <w:r>
                <w:rPr>
                  <w:color w:val="0000FF"/>
                  <w:u w:val="single" w:color="0000FF"/>
                </w:rPr>
                <w:t xml:space="preserve">de </w:t>
              </w:r>
            </w:hyperlink>
            <w:hyperlink r:id="rId193">
              <w:r>
                <w:rPr>
                  <w:color w:val="0000FF"/>
                  <w:u w:val="single" w:color="0000FF"/>
                </w:rPr>
                <w:t xml:space="preserve">Vries et al. 2011</w:t>
              </w:r>
            </w:hyperlink>
            <w:r>
              <w:t xml:space="preserve">) a fourni des données relatives à l'</w:t>
            </w:r>
            <w:r>
              <w:t xml:space="preserve">impact sur l'</w:t>
            </w:r>
            <w:r>
              <w:t xml:space="preserve">image </w:t>
            </w:r>
            <w:r>
              <w:t xml:space="preserve">corporelle </w:t>
            </w:r>
            <w:r>
              <w:t xml:space="preserve">des femmes assignées à un sexe à la naissance. </w:t>
            </w:r>
            <w:r>
              <w:t xml:space="preserve">Pour une </w:t>
            </w:r>
            <w:r>
              <w:t xml:space="preserve">description </w:t>
            </w:r>
            <w:r>
              <w:t xml:space="preserve">complète </w:t>
            </w:r>
            <w:r>
              <w:t xml:space="preserve">des </w:t>
            </w:r>
            <w:r>
              <w:t xml:space="preserve">résultats</w:t>
            </w:r>
            <w:r>
              <w:t xml:space="preserve">, </w:t>
            </w:r>
            <w:r>
              <w:t xml:space="preserve">voir la </w:t>
            </w:r>
            <w:r>
              <w:t xml:space="preserve">ligne </w:t>
            </w:r>
            <w:r>
              <w:t xml:space="preserve">"sexe assigné à la naissance </w:t>
            </w:r>
            <w:r>
              <w:t xml:space="preserve">- hommes" </w:t>
            </w:r>
            <w:r>
              <w:t xml:space="preserve">(transfemmes) </w:t>
            </w:r>
            <w:r>
              <w:t xml:space="preserve">ci-dessus</w:t>
            </w:r>
            <w:r>
              <w:t xml:space="preserve">.</w:t>
            </w:r>
          </w:p>
          <w:p w:rsidR="00432386" w:rsidRDefault="00432386">
            <w:pPr>
              <w:pStyle w:val="TableParagraph"/>
              <w:spacing w:before="1"/>
              <w:rPr>
                <w:b/>
                <w:sz w:val="20"/>
              </w:rPr>
            </w:pPr>
          </w:p>
          <w:p>
            <w:pPr>
              <w:pStyle w:val="TableParagraph"/>
              <w:ind w:start="107" w:end="95"/>
              <w:jc w:val="both"/>
              <w:rPr>
                <w:b/>
              </w:rPr>
            </w:pPr>
            <w:r>
              <w:rPr>
                <w:b/>
              </w:rPr>
              <w:t xml:space="preserve">Cette étude fournit des preuves de certitude très faible que l'impact </w:t>
            </w:r>
            <w:r>
              <w:rPr>
                <w:b/>
              </w:rPr>
              <w:t xml:space="preserve">sur l'image corporelle peut être différent chez les </w:t>
            </w:r>
            <w:r>
              <w:rPr>
                <w:b/>
              </w:rPr>
              <w:t xml:space="preserve">femmes assignées à la naissance </w:t>
            </w:r>
            <w:r>
              <w:rPr>
                <w:b/>
              </w:rPr>
              <w:t xml:space="preserve">(transmales) </w:t>
            </w:r>
            <w:r>
              <w:rPr>
                <w:b/>
              </w:rPr>
              <w:t xml:space="preserve">par rapport </w:t>
            </w:r>
            <w:r>
              <w:rPr>
                <w:b/>
              </w:rPr>
              <w:t xml:space="preserve">aux </w:t>
            </w:r>
            <w:r>
              <w:rPr>
                <w:b/>
              </w:rPr>
              <w:t xml:space="preserve">hommes </w:t>
            </w:r>
            <w:r>
              <w:rPr>
                <w:b/>
              </w:rPr>
              <w:t xml:space="preserve">assignés à </w:t>
            </w:r>
            <w:r>
              <w:rPr>
                <w:b/>
              </w:rPr>
              <w:t xml:space="preserve">la </w:t>
            </w:r>
            <w:r>
              <w:rPr>
                <w:b/>
              </w:rPr>
              <w:t xml:space="preserve">naissance </w:t>
            </w:r>
            <w:r>
              <w:rPr>
                <w:b/>
              </w:rPr>
              <w:t xml:space="preserve">(transfemales). </w:t>
            </w:r>
            <w:r>
              <w:rPr>
                <w:b/>
              </w:rPr>
              <w:t xml:space="preserve">Les </w:t>
            </w:r>
            <w:r>
              <w:rPr>
                <w:b/>
              </w:rPr>
              <w:t xml:space="preserve">femmes </w:t>
            </w:r>
            <w:r>
              <w:rPr>
                <w:b/>
              </w:rPr>
              <w:t xml:space="preserve">assignées </w:t>
            </w:r>
            <w:r>
              <w:rPr>
                <w:b/>
              </w:rPr>
              <w:t xml:space="preserve">sexuellement </w:t>
            </w:r>
            <w:r>
              <w:rPr>
                <w:b/>
              </w:rPr>
              <w:t xml:space="preserve">à </w:t>
            </w:r>
            <w:r>
              <w:rPr>
                <w:b/>
              </w:rPr>
              <w:t xml:space="preserve">la </w:t>
            </w:r>
            <w:r>
              <w:rPr>
                <w:b/>
              </w:rPr>
              <w:t xml:space="preserve">naissance </w:t>
            </w:r>
            <w:r>
              <w:rPr>
                <w:b/>
              </w:rPr>
              <w:t xml:space="preserve">sont </w:t>
            </w:r>
            <w:r>
              <w:rPr>
                <w:b/>
              </w:rPr>
              <w:t xml:space="preserve">plus </w:t>
            </w:r>
            <w:r>
              <w:rPr>
                <w:b/>
              </w:rPr>
              <w:t xml:space="preserve">insatisfaites </w:t>
            </w:r>
            <w:r>
              <w:rPr>
                <w:b/>
              </w:rPr>
              <w:t xml:space="preserve">de </w:t>
            </w:r>
            <w:r>
              <w:rPr>
                <w:b/>
              </w:rPr>
              <w:t xml:space="preserve">leurs </w:t>
            </w:r>
            <w:r>
              <w:rPr>
                <w:b/>
              </w:rPr>
              <w:t xml:space="preserve">caractéristiques </w:t>
            </w:r>
            <w:r>
              <w:rPr>
                <w:b/>
              </w:rPr>
              <w:t xml:space="preserve">sexuelles </w:t>
            </w:r>
            <w:r>
              <w:rPr>
                <w:b/>
              </w:rPr>
              <w:t xml:space="preserve">primaires </w:t>
            </w:r>
            <w:r>
              <w:rPr>
                <w:b/>
              </w:rPr>
              <w:t xml:space="preserve">et </w:t>
            </w:r>
            <w:r>
              <w:rPr>
                <w:b/>
              </w:rPr>
              <w:t xml:space="preserve">secondaires </w:t>
            </w:r>
            <w:r>
              <w:rPr>
                <w:b/>
              </w:rPr>
              <w:t xml:space="preserve">que les hommes assignés sexuellement à la naissance, tant au début de l'étude qu'au cours du suivi, </w:t>
            </w:r>
            <w:r>
              <w:rPr>
                <w:b/>
              </w:rPr>
              <w:t xml:space="preserve">mais </w:t>
            </w:r>
            <w:r>
              <w:rPr>
                <w:b/>
              </w:rPr>
              <w:t xml:space="preserve">la </w:t>
            </w:r>
            <w:r>
              <w:rPr>
                <w:b/>
              </w:rPr>
              <w:t xml:space="preserve">satisfaction </w:t>
            </w:r>
            <w:r>
              <w:rPr>
                <w:b/>
              </w:rPr>
              <w:t xml:space="preserve">des </w:t>
            </w:r>
            <w:r>
              <w:rPr>
                <w:b/>
              </w:rPr>
              <w:t xml:space="preserve">caractéristiques </w:t>
            </w:r>
            <w:r>
              <w:rPr>
                <w:b/>
              </w:rPr>
              <w:t xml:space="preserve">corporelles </w:t>
            </w:r>
            <w:r>
              <w:rPr>
                <w:b/>
              </w:rPr>
              <w:t xml:space="preserve">neutres </w:t>
            </w:r>
            <w:r>
              <w:rPr>
                <w:b/>
              </w:rPr>
              <w:t xml:space="preserve">n'</w:t>
            </w:r>
            <w:r>
              <w:rPr>
                <w:b/>
              </w:rPr>
              <w:t xml:space="preserve">est </w:t>
            </w:r>
            <w:r>
              <w:rPr>
                <w:b/>
              </w:rPr>
              <w:t xml:space="preserve">pas </w:t>
            </w:r>
            <w:r>
              <w:rPr>
                <w:b/>
              </w:rPr>
              <w:t xml:space="preserve">différente.</w:t>
            </w:r>
          </w:p>
          <w:p w:rsidR="00432386" w:rsidRDefault="00432386">
            <w:pPr>
              <w:pStyle w:val="TableParagraph"/>
              <w:spacing w:before="10"/>
              <w:rPr>
                <w:b/>
                <w:sz w:val="21"/>
              </w:rPr>
            </w:pPr>
          </w:p>
          <w:p>
            <w:pPr>
              <w:pStyle w:val="TableParagraph"/>
              <w:ind w:start="107"/>
              <w:jc w:val="both"/>
              <w:rPr>
                <w:b/>
              </w:rPr>
            </w:pPr>
            <w:r>
              <w:rPr>
                <w:b/>
              </w:rPr>
              <w:t xml:space="preserve">Impact </w:t>
            </w:r>
            <w:r>
              <w:rPr>
                <w:b/>
              </w:rPr>
              <w:t xml:space="preserve">psychosocial</w:t>
            </w:r>
          </w:p>
          <w:p>
            <w:pPr>
              <w:pStyle w:val="TableParagraph"/>
              <w:spacing w:before="2"/>
              <w:ind w:start="107" w:end="91"/>
              <w:jc w:val="both"/>
            </w:pPr>
            <w:r>
              <w:t xml:space="preserve">Une étude longitudinale observationnelle prospective non contrôlée (</w:t>
            </w:r>
            <w:hyperlink r:id="rId194">
              <w:r>
                <w:rPr>
                  <w:color w:val="0000FF"/>
                  <w:u w:val="single" w:color="0000FF"/>
                </w:rPr>
                <w:t xml:space="preserve">de </w:t>
              </w:r>
            </w:hyperlink>
            <w:hyperlink r:id="rId195">
              <w:r>
                <w:rPr>
                  <w:color w:val="0000FF"/>
                  <w:u w:val="single" w:color="0000FF"/>
                </w:rPr>
                <w:t xml:space="preserve">Vries et al. 2011</w:t>
              </w:r>
            </w:hyperlink>
            <w:r>
              <w:t xml:space="preserve">) a fourni des preuves de l'</w:t>
            </w:r>
            <w:r>
              <w:t xml:space="preserve">impact </w:t>
            </w:r>
            <w:r>
              <w:t xml:space="preserve">psychosocial </w:t>
            </w:r>
            <w:r>
              <w:t xml:space="preserve">en termes </w:t>
            </w:r>
            <w:r>
              <w:rPr>
                <w:spacing w:val="-1"/>
              </w:rPr>
              <w:t xml:space="preserve">de </w:t>
            </w:r>
            <w:r>
              <w:rPr>
                <w:spacing w:val="-1"/>
              </w:rPr>
              <w:t xml:space="preserve">fonctionnement </w:t>
            </w:r>
            <w:r>
              <w:rPr>
                <w:spacing w:val="-1"/>
              </w:rPr>
              <w:t xml:space="preserve">global </w:t>
            </w:r>
            <w:r>
              <w:rPr>
                <w:spacing w:val="-1"/>
              </w:rPr>
              <w:t xml:space="preserve">(CGAS) </w:t>
            </w:r>
            <w:r>
              <w:t xml:space="preserve">et de </w:t>
            </w:r>
            <w:r>
              <w:t xml:space="preserve">fonctionnement </w:t>
            </w:r>
            <w:r>
              <w:t xml:space="preserve">psychosocial </w:t>
            </w:r>
            <w:r>
              <w:t xml:space="preserve">(CBCL </w:t>
            </w:r>
            <w:r>
              <w:t xml:space="preserve">et </w:t>
            </w:r>
            <w:r>
              <w:t xml:space="preserve">YSR) </w:t>
            </w:r>
            <w:r>
              <w:t xml:space="preserve">chez les </w:t>
            </w:r>
            <w:r>
              <w:t xml:space="preserve">femmes </w:t>
            </w:r>
            <w:r>
              <w:t xml:space="preserve">assignées à </w:t>
            </w:r>
            <w:r>
              <w:t xml:space="preserve">la </w:t>
            </w:r>
            <w:r>
              <w:t xml:space="preserve">naissance</w:t>
            </w:r>
            <w:r>
              <w:t xml:space="preserve">. </w:t>
            </w:r>
            <w:r>
              <w:t xml:space="preserve">Une </w:t>
            </w:r>
            <w:r>
              <w:t xml:space="preserve">étude de cohorte prospective</w:t>
            </w:r>
            <w:r>
              <w:t xml:space="preserve">,</w:t>
            </w:r>
            <w:r>
              <w:t xml:space="preserve"> observationnelle et </w:t>
            </w:r>
            <w:r>
              <w:t xml:space="preserve">non contrôlée </w:t>
            </w:r>
            <w:r>
              <w:t xml:space="preserve">(</w:t>
            </w:r>
            <w:hyperlink r:id="rId196">
              <w:r>
                <w:rPr>
                  <w:color w:val="0000FF"/>
                  <w:u w:val="single" w:color="0000FF"/>
                </w:rPr>
                <w:t xml:space="preserve">Costa et al. 2015</w:t>
              </w:r>
            </w:hyperlink>
            <w:r>
              <w:t xml:space="preserve">) a fourni des </w:t>
            </w:r>
            <w:r>
              <w:t xml:space="preserve">preuves </w:t>
            </w:r>
            <w:r>
              <w:t xml:space="preserve">de l'</w:t>
            </w:r>
            <w:r>
              <w:t xml:space="preserve">impact </w:t>
            </w:r>
            <w:r>
              <w:t xml:space="preserve">psychosocial </w:t>
            </w:r>
            <w:r>
              <w:t xml:space="preserve">en </w:t>
            </w:r>
            <w:r>
              <w:t xml:space="preserve">termes </w:t>
            </w:r>
            <w:r>
              <w:t xml:space="preserve">de </w:t>
            </w:r>
            <w:r>
              <w:t xml:space="preserve">fonctionnement </w:t>
            </w:r>
            <w:r>
              <w:t xml:space="preserve">global </w:t>
            </w:r>
            <w:r>
              <w:rPr>
                <w:spacing w:val="-1"/>
              </w:rPr>
              <w:t xml:space="preserve">(CGAS) </w:t>
            </w:r>
            <w:r>
              <w:rPr>
                <w:spacing w:val="-1"/>
              </w:rPr>
              <w:t xml:space="preserve">chez les </w:t>
            </w:r>
            <w:r>
              <w:t xml:space="preserve">femmes </w:t>
            </w:r>
            <w:r>
              <w:rPr>
                <w:spacing w:val="-1"/>
              </w:rPr>
              <w:t xml:space="preserve">assignées à </w:t>
            </w:r>
            <w:r>
              <w:rPr>
                <w:spacing w:val="-1"/>
              </w:rPr>
              <w:t xml:space="preserve">la </w:t>
            </w:r>
            <w:r>
              <w:rPr>
                <w:spacing w:val="-1"/>
              </w:rPr>
              <w:t xml:space="preserve">naissance</w:t>
            </w:r>
            <w:r>
              <w:t xml:space="preserve">. </w:t>
            </w:r>
            <w:r>
              <w:t xml:space="preserve">Voir </w:t>
            </w:r>
            <w:r>
              <w:t xml:space="preserve">la </w:t>
            </w:r>
            <w:r>
              <w:t xml:space="preserve">rangée des </w:t>
            </w:r>
            <w:r>
              <w:t xml:space="preserve">hommes </w:t>
            </w:r>
            <w:r>
              <w:t xml:space="preserve">assignés à </w:t>
            </w:r>
            <w:r>
              <w:t xml:space="preserve">la </w:t>
            </w:r>
            <w:r>
              <w:t xml:space="preserve">naissance </w:t>
            </w:r>
            <w:r>
              <w:t xml:space="preserve">(transfemmes) </w:t>
            </w:r>
            <w:r>
              <w:t xml:space="preserve">ci-dessus </w:t>
            </w:r>
            <w:r>
              <w:t xml:space="preserve">pour </w:t>
            </w:r>
            <w:r>
              <w:t xml:space="preserve">une </w:t>
            </w:r>
            <w:r>
              <w:t xml:space="preserve">description </w:t>
            </w:r>
            <w:r>
              <w:t xml:space="preserve">complète </w:t>
            </w:r>
            <w:r>
              <w:t xml:space="preserve">des </w:t>
            </w:r>
            <w:r>
              <w:t xml:space="preserve">résultats.</w:t>
            </w:r>
          </w:p>
          <w:p w:rsidR="00432386" w:rsidRDefault="00432386">
            <w:pPr>
              <w:pStyle w:val="TableParagraph"/>
              <w:spacing w:before="10"/>
              <w:rPr>
                <w:b/>
                <w:sz w:val="21"/>
              </w:rPr>
            </w:pPr>
          </w:p>
          <w:p>
            <w:pPr>
              <w:pStyle w:val="TableParagraph"/>
              <w:ind w:start="107" w:end="97"/>
              <w:jc w:val="both"/>
              <w:rPr>
                <w:b/>
              </w:rPr>
            </w:pPr>
            <w:r>
              <w:rPr>
                <w:b/>
              </w:rPr>
              <w:t xml:space="preserve">Ces </w:t>
            </w:r>
            <w:r>
              <w:rPr>
                <w:b/>
              </w:rPr>
              <w:t xml:space="preserve">études </w:t>
            </w:r>
            <w:r>
              <w:rPr>
                <w:b/>
              </w:rPr>
              <w:t xml:space="preserve">fournissent des </w:t>
            </w:r>
            <w:r>
              <w:rPr>
                <w:b/>
              </w:rPr>
              <w:t xml:space="preserve">preuves de </w:t>
            </w:r>
            <w:r>
              <w:rPr>
                <w:b/>
              </w:rPr>
              <w:t xml:space="preserve">certitude </w:t>
            </w:r>
            <w:r>
              <w:rPr>
                <w:b/>
              </w:rPr>
              <w:t xml:space="preserve">très </w:t>
            </w:r>
            <w:r>
              <w:rPr>
                <w:b/>
              </w:rPr>
              <w:t xml:space="preserve">faible </w:t>
            </w:r>
            <w:r>
              <w:rPr>
                <w:b/>
              </w:rPr>
              <w:t xml:space="preserve">que l'</w:t>
            </w:r>
            <w:r>
              <w:rPr>
                <w:b/>
              </w:rPr>
              <w:t xml:space="preserve">impact psychosocial peut être différent chez les </w:t>
            </w:r>
            <w:r>
              <w:rPr>
                <w:b/>
              </w:rPr>
              <w:t xml:space="preserve">femmes </w:t>
            </w:r>
            <w:r>
              <w:rPr>
                <w:b/>
              </w:rPr>
              <w:t xml:space="preserve">assignées à la naissance </w:t>
            </w:r>
            <w:r>
              <w:rPr>
                <w:b/>
              </w:rPr>
              <w:t xml:space="preserve">(transmales) </w:t>
            </w:r>
            <w:r>
              <w:rPr>
                <w:b/>
              </w:rPr>
              <w:t xml:space="preserve">par rapport </w:t>
            </w:r>
            <w:r>
              <w:rPr>
                <w:b/>
              </w:rPr>
              <w:t xml:space="preserve">aux </w:t>
            </w:r>
            <w:r>
              <w:rPr>
                <w:b/>
              </w:rPr>
              <w:t xml:space="preserve">hommes </w:t>
            </w:r>
            <w:r>
              <w:rPr>
                <w:b/>
              </w:rPr>
              <w:t xml:space="preserve">assignés à </w:t>
            </w:r>
            <w:r>
              <w:rPr>
                <w:b/>
              </w:rPr>
              <w:t xml:space="preserve">la </w:t>
            </w:r>
            <w:r>
              <w:rPr>
                <w:b/>
              </w:rPr>
              <w:t xml:space="preserve">naissance </w:t>
            </w:r>
            <w:r>
              <w:rPr>
                <w:b/>
              </w:rPr>
              <w:t xml:space="preserve">(transfemales). Cependant, </w:t>
            </w:r>
            <w:r>
              <w:rPr>
                <w:b/>
              </w:rPr>
              <w:t xml:space="preserve">aucune </w:t>
            </w:r>
            <w:r>
              <w:rPr>
                <w:b/>
              </w:rPr>
              <w:t xml:space="preserve">conclusion </w:t>
            </w:r>
            <w:r>
              <w:rPr>
                <w:b/>
              </w:rPr>
              <w:t xml:space="preserve">n'a </w:t>
            </w:r>
            <w:r>
              <w:rPr>
                <w:b/>
              </w:rPr>
              <w:t xml:space="preserve">pu </w:t>
            </w:r>
            <w:r>
              <w:rPr>
                <w:b/>
              </w:rPr>
              <w:t xml:space="preserve">être </w:t>
            </w:r>
            <w:r>
              <w:rPr>
                <w:b/>
              </w:rPr>
              <w:t xml:space="preserve">tirée.</w:t>
            </w:r>
          </w:p>
          <w:p w:rsidR="00432386" w:rsidRDefault="00432386">
            <w:pPr>
              <w:pStyle w:val="TableParagraph"/>
              <w:rPr>
                <w:b/>
              </w:rPr>
            </w:pPr>
          </w:p>
          <w:p>
            <w:pPr>
              <w:pStyle w:val="TableParagraph"/>
              <w:ind w:start="107"/>
              <w:jc w:val="both"/>
              <w:rPr>
                <w:b/>
              </w:rPr>
            </w:pPr>
            <w:r>
              <w:rPr>
                <w:b/>
              </w:rPr>
              <w:t xml:space="preserve">Modification de </w:t>
            </w:r>
            <w:r>
              <w:rPr>
                <w:b/>
              </w:rPr>
              <w:t xml:space="preserve">la </w:t>
            </w:r>
            <w:r>
              <w:rPr>
                <w:b/>
              </w:rPr>
              <w:t xml:space="preserve">densité </w:t>
            </w:r>
            <w:r>
              <w:rPr>
                <w:b/>
              </w:rPr>
              <w:t xml:space="preserve">osseuse </w:t>
            </w:r>
            <w:r>
              <w:rPr>
                <w:b/>
              </w:rPr>
              <w:t xml:space="preserve">: </w:t>
            </w:r>
            <w:r>
              <w:rPr>
                <w:b/>
              </w:rPr>
              <w:t xml:space="preserve">lombaire</w:t>
            </w:r>
          </w:p>
          <w:p>
            <w:pPr>
              <w:pStyle w:val="TableParagraph"/>
              <w:spacing w:before="2"/>
              <w:ind w:start="107" w:end="95"/>
              <w:jc w:val="both"/>
            </w:pPr>
            <w:r>
              <w:t xml:space="preserve">Trois </w:t>
            </w:r>
            <w:r>
              <w:t xml:space="preserve">études </w:t>
            </w:r>
            <w:r>
              <w:t xml:space="preserve">non contrôlées, </w:t>
            </w:r>
            <w:r>
              <w:t xml:space="preserve">observationnelles et </w:t>
            </w:r>
            <w:r>
              <w:t xml:space="preserve">rétrospectives </w:t>
            </w:r>
            <w:r>
              <w:t xml:space="preserve">ont fourni des </w:t>
            </w:r>
            <w:r>
              <w:t xml:space="preserve">preuves relatives à l'effet des analogues de la GnRH sur la </w:t>
            </w:r>
            <w:r>
              <w:t xml:space="preserve">densité </w:t>
            </w:r>
            <w:r>
              <w:t xml:space="preserve">osseuse lombaire </w:t>
            </w:r>
            <w:r>
              <w:t xml:space="preserve">chez les femmes assignées à un sexe à la naissance (</w:t>
            </w:r>
            <w:hyperlink r:id="rId197">
              <w:r>
                <w:rPr>
                  <w:color w:val="0000FF"/>
                  <w:u w:val="single" w:color="0000FF"/>
                </w:rPr>
                <w:t xml:space="preserve">Joseph et al. 2019</w:t>
              </w:r>
            </w:hyperlink>
            <w:r>
              <w:t xml:space="preserve">, </w:t>
            </w:r>
            <w:hyperlink r:id="rId198">
              <w:r>
                <w:rPr>
                  <w:color w:val="0000FF"/>
                  <w:u w:val="single" w:color="0000FF"/>
                </w:rPr>
                <w:t xml:space="preserve">Klink et </w:t>
              </w:r>
            </w:hyperlink>
            <w:hyperlink r:id="rId199">
              <w:r>
                <w:rPr>
                  <w:color w:val="0000FF"/>
                  <w:u w:val="single" w:color="0000FF"/>
                </w:rPr>
                <w:t xml:space="preserve">al.</w:t>
              </w:r>
              <w:r>
                <w:rPr>
                  <w:color w:val="0000FF"/>
                  <w:u w:val="single" w:color="0000FF"/>
                </w:rPr>
                <w:t xml:space="preserve">2015 </w:t>
              </w:r>
            </w:hyperlink>
            <w:r>
              <w:t xml:space="preserve">et </w:t>
            </w:r>
            <w:hyperlink r:id="rId200">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Voir </w:t>
            </w:r>
            <w:r>
              <w:t xml:space="preserve">le </w:t>
            </w:r>
            <w:r>
              <w:t xml:space="preserve">tableau des </w:t>
            </w:r>
            <w:r>
              <w:t xml:space="preserve">résultats de </w:t>
            </w:r>
            <w:r>
              <w:t xml:space="preserve">sécurité </w:t>
            </w:r>
            <w:r>
              <w:t xml:space="preserve">ci-dessus </w:t>
            </w:r>
            <w:r>
              <w:t xml:space="preserve">pour </w:t>
            </w:r>
            <w:r>
              <w:t xml:space="preserve">une </w:t>
            </w:r>
            <w:r>
              <w:t xml:space="preserve">description </w:t>
            </w:r>
            <w:r>
              <w:t xml:space="preserve">complète </w:t>
            </w:r>
            <w:r>
              <w:t xml:space="preserve">des </w:t>
            </w:r>
            <w:r>
              <w:t xml:space="preserve">résultats.</w:t>
            </w:r>
          </w:p>
        </w:tc>
      </w:tr>
    </w:tbl>
    <w:p w:rsidR="00432386" w:rsidRDefault="00432386">
      <w:pPr>
        <w:jc w:val="both"/>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11384"/>
        </w:trPr>
        <w:tc>
          <w:tcPr>
            <w:tcW w:w="2122" w:type="dxa"/>
          </w:tcPr>
          <w:p w:rsidR="00432386" w:rsidRDefault="00432386">
            <w:pPr>
              <w:pStyle w:val="TableParagraph"/>
              <w:rPr>
                <w:rFonts w:ascii="Times New Roman"/>
              </w:rPr>
            </w:pPr>
          </w:p>
        </w:tc>
        <w:tc>
          <w:tcPr>
            <w:tcW w:w="6948" w:type="dxa"/>
          </w:tcPr>
          <w:p>
            <w:pPr>
              <w:pStyle w:val="TableParagraph"/>
              <w:ind w:start="107" w:end="93"/>
              <w:jc w:val="both"/>
              <w:rPr>
                <w:b/>
              </w:rPr>
            </w:pPr>
            <w:r>
              <w:rPr>
                <w:b/>
              </w:rPr>
              <w:t xml:space="preserve">Ces études fournissent des </w:t>
            </w:r>
            <w:r>
              <w:rPr>
                <w:b/>
              </w:rPr>
              <w:t xml:space="preserve">preuves de </w:t>
            </w:r>
            <w:r>
              <w:rPr>
                <w:b/>
              </w:rPr>
              <w:t xml:space="preserve">certitude très faible </w:t>
            </w:r>
            <w:r>
              <w:rPr>
                <w:b/>
              </w:rPr>
              <w:t xml:space="preserve">que les </w:t>
            </w:r>
            <w:r>
              <w:rPr>
                <w:b/>
              </w:rPr>
              <w:t xml:space="preserve">analogues de la </w:t>
            </w:r>
            <w:r>
              <w:rPr>
                <w:b/>
              </w:rPr>
              <w:t xml:space="preserve">GnRH </w:t>
            </w:r>
            <w:r>
              <w:rPr>
                <w:b/>
              </w:rPr>
              <w:t xml:space="preserve">réduisent l'augmentation attendue de la densité osseuse lombaire </w:t>
            </w:r>
            <w:r>
              <w:rPr>
                <w:b/>
              </w:rPr>
              <w:t xml:space="preserve">(BMAD ou BMD) chez les femmes assignées à la naissance (transmales ; </w:t>
            </w:r>
            <w:r>
              <w:rPr>
                <w:b/>
              </w:rPr>
              <w:t xml:space="preserve">bien que certains résultats ne soient pas statistiquement significatifs). Ces </w:t>
            </w:r>
            <w:r>
              <w:rPr>
                <w:b/>
              </w:rPr>
              <w:t xml:space="preserve">études </w:t>
            </w:r>
            <w:r>
              <w:rPr>
                <w:b/>
              </w:rPr>
              <w:t xml:space="preserve">montrent </w:t>
            </w:r>
            <w:r>
              <w:rPr>
                <w:b/>
              </w:rPr>
              <w:t xml:space="preserve">également </w:t>
            </w:r>
            <w:r>
              <w:rPr>
                <w:b/>
              </w:rPr>
              <w:t xml:space="preserve">que </w:t>
            </w:r>
            <w:r>
              <w:rPr>
                <w:b/>
              </w:rPr>
              <w:t xml:space="preserve">les </w:t>
            </w:r>
            <w:r>
              <w:rPr>
                <w:b/>
              </w:rPr>
              <w:t xml:space="preserve">analogues de la </w:t>
            </w:r>
            <w:r>
              <w:rPr>
                <w:b/>
              </w:rPr>
              <w:t xml:space="preserve">GnRH </w:t>
            </w:r>
            <w:r>
              <w:rPr>
                <w:b/>
              </w:rPr>
              <w:t xml:space="preserve">ne </w:t>
            </w:r>
            <w:r>
              <w:rPr>
                <w:b/>
              </w:rPr>
              <w:t xml:space="preserve">diminuent </w:t>
            </w:r>
            <w:r>
              <w:rPr>
                <w:b/>
              </w:rPr>
              <w:t xml:space="preserve">pas de </w:t>
            </w:r>
            <w:r>
              <w:rPr>
                <w:b/>
              </w:rPr>
              <w:t xml:space="preserve">manière </w:t>
            </w:r>
            <w:r>
              <w:rPr>
                <w:b/>
              </w:rPr>
              <w:t xml:space="preserve">statistiquement </w:t>
            </w:r>
            <w:r>
              <w:rPr>
                <w:b/>
              </w:rPr>
              <w:t xml:space="preserve">significative la </w:t>
            </w:r>
            <w:r>
              <w:rPr>
                <w:b/>
              </w:rPr>
              <w:t xml:space="preserve">densité </w:t>
            </w:r>
            <w:r>
              <w:rPr>
                <w:b/>
              </w:rPr>
              <w:t xml:space="preserve">osseuse </w:t>
            </w:r>
            <w:r>
              <w:rPr>
                <w:b/>
              </w:rPr>
              <w:t xml:space="preserve">lombaire </w:t>
            </w:r>
            <w:r>
              <w:rPr>
                <w:b/>
              </w:rPr>
              <w:t xml:space="preserve">réelle </w:t>
            </w:r>
            <w:r>
              <w:rPr>
                <w:b/>
              </w:rPr>
              <w:t xml:space="preserve">(BMAD </w:t>
            </w:r>
            <w:r>
              <w:rPr>
                <w:b/>
              </w:rPr>
              <w:t xml:space="preserve">ou </w:t>
            </w:r>
            <w:r>
              <w:rPr>
                <w:b/>
              </w:rPr>
              <w:t xml:space="preserve">BMD) </w:t>
            </w:r>
            <w:r>
              <w:rPr>
                <w:b/>
              </w:rPr>
              <w:t xml:space="preserve">chez les </w:t>
            </w:r>
            <w:r>
              <w:rPr>
                <w:b/>
              </w:rPr>
              <w:t xml:space="preserve">femmes </w:t>
            </w:r>
            <w:r>
              <w:rPr>
                <w:b/>
              </w:rPr>
              <w:t xml:space="preserve">assignées à un </w:t>
            </w:r>
            <w:r>
              <w:rPr>
                <w:b/>
              </w:rPr>
              <w:t xml:space="preserve">sexe donné à la </w:t>
            </w:r>
            <w:r>
              <w:rPr>
                <w:b/>
              </w:rPr>
              <w:t xml:space="preserve">naissance (femmes transmaliennes</w:t>
            </w:r>
            <w:r>
              <w:rPr>
                <w:b/>
              </w:rPr>
              <w:t xml:space="preserve">).</w:t>
            </w:r>
          </w:p>
          <w:p w:rsidR="00432386" w:rsidRDefault="00432386">
            <w:pPr>
              <w:pStyle w:val="TableParagraph"/>
              <w:spacing w:before="11"/>
              <w:rPr>
                <w:b/>
                <w:sz w:val="21"/>
              </w:rPr>
            </w:pPr>
          </w:p>
          <w:p>
            <w:pPr>
              <w:pStyle w:val="TableParagraph"/>
              <w:ind w:start="107"/>
              <w:jc w:val="both"/>
              <w:rPr>
                <w:b/>
              </w:rPr>
            </w:pPr>
            <w:r>
              <w:rPr>
                <w:b/>
              </w:rPr>
              <w:t xml:space="preserve">Modification de </w:t>
            </w:r>
            <w:r>
              <w:rPr>
                <w:b/>
              </w:rPr>
              <w:t xml:space="preserve">la </w:t>
            </w:r>
            <w:r>
              <w:rPr>
                <w:b/>
              </w:rPr>
              <w:t xml:space="preserve">densité </w:t>
            </w:r>
            <w:r>
              <w:rPr>
                <w:b/>
              </w:rPr>
              <w:t xml:space="preserve">osseuse </w:t>
            </w:r>
            <w:r>
              <w:rPr>
                <w:b/>
              </w:rPr>
              <w:t xml:space="preserve">: </w:t>
            </w:r>
            <w:r>
              <w:rPr>
                <w:b/>
              </w:rPr>
              <w:t xml:space="preserve">fémorale</w:t>
            </w:r>
          </w:p>
          <w:p>
            <w:pPr>
              <w:pStyle w:val="TableParagraph"/>
              <w:spacing w:before="1"/>
              <w:ind w:start="107" w:end="96"/>
              <w:jc w:val="both"/>
            </w:pPr>
            <w:r>
              <w:t xml:space="preserve">Trois </w:t>
            </w:r>
            <w:r>
              <w:t xml:space="preserve">études </w:t>
            </w:r>
            <w:r>
              <w:t xml:space="preserve">non contrôlées, </w:t>
            </w:r>
            <w:r>
              <w:t xml:space="preserve">observationnelles et </w:t>
            </w:r>
            <w:r>
              <w:t xml:space="preserve">rétrospectives </w:t>
            </w:r>
            <w:r>
              <w:t xml:space="preserve">ont fourni des </w:t>
            </w:r>
            <w:r>
              <w:t xml:space="preserve">preuves relatives à l'effet des analogues de la GnRH sur la </w:t>
            </w:r>
            <w:r>
              <w:t xml:space="preserve">densité </w:t>
            </w:r>
            <w:r>
              <w:t xml:space="preserve">osseuse fémorale </w:t>
            </w:r>
            <w:r>
              <w:t xml:space="preserve">chez les femmes assignées à un sexe à la naissance (</w:t>
            </w:r>
            <w:hyperlink r:id="rId201">
              <w:r>
                <w:rPr>
                  <w:color w:val="0000FF"/>
                  <w:u w:val="single" w:color="0000FF"/>
                </w:rPr>
                <w:t xml:space="preserve">Joseph et al. 2019</w:t>
              </w:r>
            </w:hyperlink>
            <w:r>
              <w:t xml:space="preserve">, </w:t>
            </w:r>
            <w:hyperlink r:id="rId202">
              <w:r>
                <w:rPr>
                  <w:color w:val="0000FF"/>
                  <w:u w:val="single" w:color="0000FF"/>
                </w:rPr>
                <w:t xml:space="preserve">Klink et </w:t>
              </w:r>
            </w:hyperlink>
            <w:hyperlink r:id="rId203">
              <w:r>
                <w:rPr>
                  <w:color w:val="0000FF"/>
                  <w:u w:val="single" w:color="0000FF"/>
                </w:rPr>
                <w:t xml:space="preserve">al.</w:t>
              </w:r>
              <w:r>
                <w:rPr>
                  <w:color w:val="0000FF"/>
                  <w:u w:val="single" w:color="0000FF"/>
                </w:rPr>
                <w:t xml:space="preserve">2015 </w:t>
              </w:r>
            </w:hyperlink>
            <w:r>
              <w:t xml:space="preserve">et </w:t>
            </w:r>
            <w:hyperlink r:id="rId204">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t xml:space="preserve">). </w:t>
            </w:r>
            <w:r>
              <w:t xml:space="preserve">Voir </w:t>
            </w:r>
            <w:r>
              <w:t xml:space="preserve">le </w:t>
            </w:r>
            <w:r>
              <w:t xml:space="preserve">tableau des </w:t>
            </w:r>
            <w:r>
              <w:t xml:space="preserve">résultats de </w:t>
            </w:r>
            <w:r>
              <w:t xml:space="preserve">sécurité </w:t>
            </w:r>
            <w:r>
              <w:t xml:space="preserve">ci-dessus </w:t>
            </w:r>
            <w:r>
              <w:t xml:space="preserve">pour </w:t>
            </w:r>
            <w:r>
              <w:t xml:space="preserve">une </w:t>
            </w:r>
            <w:r>
              <w:t xml:space="preserve">description </w:t>
            </w:r>
            <w:r>
              <w:t xml:space="preserve">complète </w:t>
            </w:r>
            <w:r>
              <w:t xml:space="preserve">des </w:t>
            </w:r>
            <w:r>
              <w:t xml:space="preserve">résultats.</w:t>
            </w:r>
          </w:p>
          <w:p w:rsidR="00432386" w:rsidRDefault="00432386">
            <w:pPr>
              <w:pStyle w:val="TableParagraph"/>
              <w:spacing w:before="10"/>
              <w:rPr>
                <w:b/>
                <w:sz w:val="21"/>
              </w:rPr>
            </w:pPr>
          </w:p>
          <w:p>
            <w:pPr>
              <w:pStyle w:val="TableParagraph"/>
              <w:spacing w:before="1"/>
              <w:ind w:start="107" w:end="95"/>
              <w:jc w:val="both"/>
              <w:rPr>
                <w:b/>
              </w:rPr>
            </w:pPr>
            <w:r>
              <w:rPr>
                <w:b/>
              </w:rPr>
              <w:t xml:space="preserve">Ces études fournissent des preuves de certitude très faible que </w:t>
            </w:r>
            <w:r>
              <w:rPr>
                <w:b/>
              </w:rPr>
              <w:t xml:space="preserve">les analogues de la </w:t>
            </w:r>
            <w:r>
              <w:rPr>
                <w:b/>
              </w:rPr>
              <w:t xml:space="preserve">GnRH </w:t>
            </w:r>
            <w:r>
              <w:rPr>
                <w:b/>
              </w:rPr>
              <w:t xml:space="preserve">peuvent réduire l'augmentation attendue de la </w:t>
            </w:r>
            <w:r>
              <w:rPr>
                <w:b/>
              </w:rPr>
              <w:t xml:space="preserve">densité </w:t>
            </w:r>
            <w:r>
              <w:rPr>
                <w:b/>
              </w:rPr>
              <w:t xml:space="preserve">osseuse fémorale </w:t>
            </w:r>
            <w:r>
              <w:rPr>
                <w:b/>
              </w:rPr>
              <w:t xml:space="preserve">(col fémoral ou surface BMAD ou BMD) chez les </w:t>
            </w:r>
            <w:r>
              <w:rPr>
                <w:b/>
              </w:rPr>
              <w:t xml:space="preserve">femmes </w:t>
            </w:r>
            <w:r>
              <w:rPr>
                <w:b/>
              </w:rPr>
              <w:t xml:space="preserve">assignées à la </w:t>
            </w:r>
            <w:r>
              <w:rPr>
                <w:b/>
              </w:rPr>
              <w:t xml:space="preserve">naissance </w:t>
            </w:r>
            <w:r>
              <w:rPr>
                <w:b/>
              </w:rPr>
              <w:t xml:space="preserve">(transmales ; </w:t>
            </w:r>
            <w:r>
              <w:rPr>
                <w:b/>
              </w:rPr>
              <w:t xml:space="preserve">bien que </w:t>
            </w:r>
            <w:r>
              <w:rPr>
                <w:b/>
              </w:rPr>
              <w:t xml:space="preserve">certains </w:t>
            </w:r>
            <w:r>
              <w:rPr>
                <w:b/>
              </w:rPr>
              <w:t xml:space="preserve">résultats </w:t>
            </w:r>
            <w:r>
              <w:rPr>
                <w:b/>
              </w:rPr>
              <w:t xml:space="preserve">ne </w:t>
            </w:r>
            <w:r>
              <w:rPr>
                <w:b/>
              </w:rPr>
              <w:t xml:space="preserve">soient </w:t>
            </w:r>
            <w:r>
              <w:rPr>
                <w:b/>
              </w:rPr>
              <w:t xml:space="preserve">pas </w:t>
            </w:r>
            <w:r>
              <w:rPr>
                <w:b/>
              </w:rPr>
              <w:t xml:space="preserve">statistiquement </w:t>
            </w:r>
            <w:r>
              <w:rPr>
                <w:b/>
              </w:rPr>
              <w:t xml:space="preserve">significatifs). </w:t>
            </w:r>
            <w:r>
              <w:rPr>
                <w:b/>
              </w:rPr>
              <w:t xml:space="preserve">Ces </w:t>
            </w:r>
            <w:r>
              <w:rPr>
                <w:b/>
              </w:rPr>
              <w:t xml:space="preserve">études </w:t>
            </w:r>
            <w:r>
              <w:rPr>
                <w:b/>
              </w:rPr>
              <w:t xml:space="preserve">montrent également que </w:t>
            </w:r>
            <w:r>
              <w:rPr>
                <w:b/>
              </w:rPr>
              <w:t xml:space="preserve">les </w:t>
            </w:r>
            <w:r>
              <w:rPr>
                <w:b/>
              </w:rPr>
              <w:t xml:space="preserve">analogues de la </w:t>
            </w:r>
            <w:r>
              <w:rPr>
                <w:b/>
              </w:rPr>
              <w:t xml:space="preserve">GnRH </w:t>
            </w:r>
            <w:r>
              <w:rPr>
                <w:b/>
              </w:rPr>
              <w:t xml:space="preserve">ne </w:t>
            </w:r>
            <w:r>
              <w:rPr>
                <w:b/>
              </w:rPr>
              <w:t xml:space="preserve">diminuent </w:t>
            </w:r>
            <w:r>
              <w:rPr>
                <w:b/>
              </w:rPr>
              <w:t xml:space="preserve">pas de </w:t>
            </w:r>
            <w:r>
              <w:rPr>
                <w:b/>
              </w:rPr>
              <w:t xml:space="preserve">manière </w:t>
            </w:r>
            <w:r>
              <w:rPr>
                <w:b/>
              </w:rPr>
              <w:t xml:space="preserve">statistiquement </w:t>
            </w:r>
            <w:r>
              <w:rPr>
                <w:b/>
              </w:rPr>
              <w:t xml:space="preserve">significative la </w:t>
            </w:r>
            <w:r>
              <w:rPr>
                <w:b/>
              </w:rPr>
              <w:t xml:space="preserve">densité osseuse fémorale </w:t>
            </w:r>
            <w:r>
              <w:rPr>
                <w:b/>
              </w:rPr>
              <w:t xml:space="preserve">réelle </w:t>
            </w:r>
            <w:r>
              <w:rPr>
                <w:b/>
              </w:rPr>
              <w:t xml:space="preserve">(surface fémorale BMAD ou DMO du col du fémur) </w:t>
            </w:r>
            <w:r>
              <w:rPr>
                <w:b/>
              </w:rPr>
              <w:t xml:space="preserve">chez les </w:t>
            </w:r>
            <w:r>
              <w:rPr>
                <w:b/>
              </w:rPr>
              <w:t xml:space="preserve">femmes assignées à la naissance (transmales), à l'exception de la </w:t>
            </w:r>
            <w:r>
              <w:rPr>
                <w:b/>
              </w:rPr>
              <w:t xml:space="preserve">surface </w:t>
            </w:r>
            <w:r>
              <w:rPr>
                <w:b/>
              </w:rPr>
              <w:t xml:space="preserve">fémorale </w:t>
            </w:r>
            <w:r>
              <w:rPr>
                <w:b/>
              </w:rPr>
              <w:t xml:space="preserve">réelle</w:t>
            </w:r>
            <w:r>
              <w:rPr>
                <w:b/>
              </w:rPr>
              <w:t xml:space="preserve">.</w:t>
            </w:r>
          </w:p>
          <w:p w:rsidR="00432386" w:rsidRDefault="00432386">
            <w:pPr>
              <w:pStyle w:val="TableParagraph"/>
              <w:rPr>
                <w:b/>
              </w:rPr>
            </w:pPr>
          </w:p>
          <w:p>
            <w:pPr>
              <w:pStyle w:val="TableParagraph"/>
              <w:spacing w:line="252" w:lineRule="exact"/>
              <w:ind w:start="107"/>
              <w:jc w:val="both"/>
              <w:rPr>
                <w:b/>
              </w:rPr>
            </w:pPr>
            <w:r>
              <w:rPr>
                <w:b/>
              </w:rPr>
              <w:t xml:space="preserve">Développement </w:t>
            </w:r>
            <w:r>
              <w:rPr>
                <w:b/>
              </w:rPr>
              <w:t xml:space="preserve">ou </w:t>
            </w:r>
            <w:r>
              <w:rPr>
                <w:b/>
              </w:rPr>
              <w:t xml:space="preserve">fonctionnement </w:t>
            </w:r>
            <w:r>
              <w:rPr>
                <w:b/>
              </w:rPr>
              <w:t xml:space="preserve">cognitif</w:t>
            </w:r>
          </w:p>
          <w:p>
            <w:pPr>
              <w:pStyle w:val="TableParagraph"/>
              <w:ind w:start="107" w:end="93"/>
              <w:jc w:val="both"/>
            </w:pPr>
            <w:r>
              <w:t xml:space="preserve">Une étude observationnelle transversale (</w:t>
            </w:r>
            <w:hyperlink r:id="rId205">
              <w:r>
                <w:rPr>
                  <w:color w:val="0000FF"/>
                  <w:u w:val="single" w:color="0000FF"/>
                </w:rPr>
                <w:t xml:space="preserve">Staphorsius</w:t>
              </w:r>
              <w:r>
                <w:rPr>
                  <w:color w:val="0000FF"/>
                  <w:u w:val="single" w:color="0000FF"/>
                </w:rPr>
                <w:t xml:space="preserve">et al. 2015</w:t>
              </w:r>
            </w:hyperlink>
            <w:r>
              <w:t xml:space="preserve">) </w:t>
            </w:r>
            <w:r>
              <w:t xml:space="preserve">a fourni des </w:t>
            </w:r>
            <w:r>
              <w:t xml:space="preserve">données </w:t>
            </w:r>
            <w:r>
              <w:t xml:space="preserve">comparatives </w:t>
            </w:r>
            <w:r>
              <w:t xml:space="preserve">sur le </w:t>
            </w:r>
            <w:r>
              <w:t xml:space="preserve">développement </w:t>
            </w:r>
            <w:r>
              <w:t xml:space="preserve">ou le </w:t>
            </w:r>
            <w:r>
              <w:t xml:space="preserve">fonctionnement </w:t>
            </w:r>
            <w:r>
              <w:t xml:space="preserve">cognitif </w:t>
            </w:r>
            <w:r>
              <w:t xml:space="preserve">chez les femmes assignées à un sexe à la naissance. Voir le </w:t>
            </w:r>
            <w:r>
              <w:t xml:space="preserve">tableau des </w:t>
            </w:r>
            <w:r>
              <w:t xml:space="preserve">résultats de sécurité </w:t>
            </w:r>
            <w:r>
              <w:t xml:space="preserve">ci-dessus </w:t>
            </w:r>
            <w:r>
              <w:t xml:space="preserve">pour une </w:t>
            </w:r>
            <w:r>
              <w:t xml:space="preserve">description </w:t>
            </w:r>
            <w:r>
              <w:t xml:space="preserve">complète </w:t>
            </w:r>
            <w:r>
              <w:t xml:space="preserve">des </w:t>
            </w:r>
            <w:r>
              <w:t xml:space="preserve">résultats.</w:t>
            </w:r>
          </w:p>
          <w:p w:rsidR="00432386" w:rsidRDefault="00432386">
            <w:pPr>
              <w:pStyle w:val="TableParagraph"/>
              <w:spacing w:before="11"/>
              <w:rPr>
                <w:b/>
                <w:sz w:val="21"/>
              </w:rPr>
            </w:pPr>
          </w:p>
          <w:p>
            <w:pPr>
              <w:pStyle w:val="TableParagraph"/>
              <w:ind w:start="107" w:end="381"/>
              <w:rPr>
                <w:b/>
              </w:rPr>
            </w:pPr>
            <w:r>
              <w:rPr>
                <w:b/>
              </w:rPr>
              <w:t xml:space="preserve">Cette étude fournit des preuves de très faible niveau de certitude (sans </w:t>
            </w:r>
            <w:r>
              <w:rPr>
                <w:b/>
              </w:rPr>
              <w:t xml:space="preserve">analyse statistique) sur les effets des analogues de la GnRH sur le </w:t>
            </w:r>
            <w:r>
              <w:rPr>
                <w:b/>
              </w:rPr>
              <w:t xml:space="preserve">développement ou le fonctionnement cognitif chez les </w:t>
            </w:r>
            <w:r>
              <w:rPr>
                <w:b/>
              </w:rPr>
              <w:t xml:space="preserve">femmes </w:t>
            </w:r>
            <w:r>
              <w:rPr>
                <w:b/>
              </w:rPr>
              <w:t xml:space="preserve">assignées à un sexe à la naissance </w:t>
            </w:r>
            <w:r>
              <w:rPr>
                <w:b/>
              </w:rPr>
              <w:t xml:space="preserve">(transmales). </w:t>
            </w:r>
            <w:r>
              <w:rPr>
                <w:b/>
              </w:rPr>
              <w:t xml:space="preserve">Aucune </w:t>
            </w:r>
            <w:r>
              <w:rPr>
                <w:b/>
              </w:rPr>
              <w:t xml:space="preserve">conclusion </w:t>
            </w:r>
            <w:r>
              <w:rPr>
                <w:b/>
              </w:rPr>
              <w:t xml:space="preserve">n'a </w:t>
            </w:r>
            <w:r>
              <w:rPr>
                <w:b/>
              </w:rPr>
              <w:t xml:space="preserve">pu </w:t>
            </w:r>
            <w:r>
              <w:rPr>
                <w:b/>
              </w:rPr>
              <w:t xml:space="preserve">être </w:t>
            </w:r>
            <w:r>
              <w:rPr>
                <w:b/>
              </w:rPr>
              <w:t xml:space="preserve">tirée.</w:t>
            </w:r>
          </w:p>
          <w:p w:rsidR="00432386" w:rsidRDefault="00432386">
            <w:pPr>
              <w:pStyle w:val="TableParagraph"/>
              <w:spacing w:before="3"/>
              <w:rPr>
                <w:b/>
              </w:rPr>
            </w:pPr>
          </w:p>
          <w:p>
            <w:pPr>
              <w:pStyle w:val="TableParagraph"/>
              <w:spacing w:line="252" w:lineRule="exact"/>
              <w:ind w:start="107"/>
              <w:jc w:val="both"/>
              <w:rPr>
                <w:b/>
              </w:rPr>
            </w:pPr>
            <w:r>
              <w:rPr>
                <w:b/>
              </w:rPr>
              <w:t xml:space="preserve">Autres </w:t>
            </w:r>
            <w:r>
              <w:rPr>
                <w:b/>
              </w:rPr>
              <w:t xml:space="preserve">critères de </w:t>
            </w:r>
            <w:r>
              <w:rPr>
                <w:b/>
              </w:rPr>
              <w:t xml:space="preserve">sécurité </w:t>
            </w:r>
            <w:r>
              <w:rPr>
                <w:b/>
              </w:rPr>
              <w:t xml:space="preserve">: </w:t>
            </w:r>
            <w:r>
              <w:rPr>
                <w:b/>
              </w:rPr>
              <w:t xml:space="preserve">fonction </w:t>
            </w:r>
            <w:r>
              <w:rPr>
                <w:b/>
              </w:rPr>
              <w:t xml:space="preserve">rénale</w:t>
            </w:r>
          </w:p>
          <w:p>
            <w:pPr>
              <w:pStyle w:val="TableParagraph"/>
              <w:ind w:start="107" w:end="94"/>
              <w:jc w:val="both"/>
            </w:pPr>
            <w:r>
              <w:t xml:space="preserve">Une étude observationnelle prospective (</w:t>
            </w:r>
            <w:hyperlink r:id="rId206">
              <w:r>
                <w:rPr>
                  <w:color w:val="0000FF"/>
                  <w:u w:val="single" w:color="0000FF"/>
                </w:rPr>
                <w:t xml:space="preserve">Schagen et al. 2016</w:t>
              </w:r>
            </w:hyperlink>
            <w:r>
              <w:t xml:space="preserve">) a fourni des </w:t>
            </w:r>
            <w:r>
              <w:t xml:space="preserve">preuves </w:t>
            </w:r>
            <w:r>
              <w:t xml:space="preserve">non comparatives </w:t>
            </w:r>
            <w:r>
              <w:t xml:space="preserve">sur le </w:t>
            </w:r>
            <w:r>
              <w:t xml:space="preserve">changement de </w:t>
            </w:r>
            <w:r>
              <w:t xml:space="preserve">la </w:t>
            </w:r>
            <w:r>
              <w:t xml:space="preserve">créatinine </w:t>
            </w:r>
            <w:r>
              <w:t xml:space="preserve">sérique </w:t>
            </w:r>
            <w:r>
              <w:t xml:space="preserve">chez les </w:t>
            </w:r>
            <w:r>
              <w:t xml:space="preserve">femmes assignées à un </w:t>
            </w:r>
            <w:r>
              <w:t xml:space="preserve">sexe </w:t>
            </w:r>
            <w:r>
              <w:t xml:space="preserve">à la naissance (transmales). Voir le </w:t>
            </w:r>
            <w:r>
              <w:t xml:space="preserve">tableau des</w:t>
            </w:r>
            <w:r>
              <w:t xml:space="preserve"> résultats de sécurité </w:t>
            </w:r>
            <w:r>
              <w:t xml:space="preserve">ci-dessus </w:t>
            </w:r>
            <w:r>
              <w:t xml:space="preserve">pour </w:t>
            </w:r>
            <w:r>
              <w:t xml:space="preserve">une </w:t>
            </w:r>
            <w:r>
              <w:t xml:space="preserve">description complète </w:t>
            </w:r>
            <w:r>
              <w:t xml:space="preserve">des </w:t>
            </w:r>
            <w:r>
              <w:t xml:space="preserve">résultats.</w:t>
            </w:r>
          </w:p>
          <w:p w:rsidR="00432386" w:rsidRDefault="00432386">
            <w:pPr>
              <w:pStyle w:val="TableParagraph"/>
              <w:spacing w:before="10"/>
              <w:rPr>
                <w:b/>
                <w:sz w:val="21"/>
              </w:rPr>
            </w:pPr>
          </w:p>
          <w:p>
            <w:pPr>
              <w:pStyle w:val="TableParagraph"/>
              <w:spacing w:before="1"/>
              <w:ind w:start="107"/>
              <w:rPr>
                <w:b/>
              </w:rPr>
            </w:pPr>
            <w:r>
              <w:rPr>
                <w:b/>
              </w:rPr>
              <w:t xml:space="preserve">Cette </w:t>
            </w:r>
            <w:r>
              <w:rPr>
                <w:b/>
              </w:rPr>
              <w:t xml:space="preserve">étude </w:t>
            </w:r>
            <w:r>
              <w:rPr>
                <w:b/>
              </w:rPr>
              <w:t xml:space="preserve">fournit une </w:t>
            </w:r>
            <w:r>
              <w:rPr>
                <w:b/>
              </w:rPr>
              <w:t xml:space="preserve">preuve de </w:t>
            </w:r>
            <w:r>
              <w:rPr>
                <w:b/>
              </w:rPr>
              <w:t xml:space="preserve">très </w:t>
            </w:r>
            <w:r>
              <w:rPr>
                <w:b/>
              </w:rPr>
              <w:t xml:space="preserve">faible </w:t>
            </w:r>
            <w:r>
              <w:rPr>
                <w:b/>
              </w:rPr>
              <w:t xml:space="preserve">certitude </w:t>
            </w:r>
            <w:r>
              <w:rPr>
                <w:b/>
              </w:rPr>
              <w:t xml:space="preserve">que </w:t>
            </w:r>
            <w:r>
              <w:rPr>
                <w:b/>
              </w:rPr>
              <w:t xml:space="preserve">les </w:t>
            </w:r>
            <w:r>
              <w:rPr>
                <w:b/>
              </w:rPr>
              <w:t xml:space="preserve">analogues de la </w:t>
            </w:r>
            <w:r>
              <w:rPr>
                <w:b/>
              </w:rPr>
              <w:t xml:space="preserve">GnRH </w:t>
            </w:r>
            <w:r>
              <w:rPr>
                <w:b/>
              </w:rPr>
              <w:t xml:space="preserve">n'</w:t>
            </w:r>
            <w:r>
              <w:rPr>
                <w:b/>
              </w:rPr>
              <w:t xml:space="preserve">affectent </w:t>
            </w:r>
            <w:r>
              <w:rPr>
                <w:b/>
              </w:rPr>
              <w:t xml:space="preserve">pas </w:t>
            </w:r>
            <w:r>
              <w:rPr>
                <w:b/>
              </w:rPr>
              <w:t xml:space="preserve">la </w:t>
            </w:r>
            <w:r>
              <w:rPr>
                <w:b/>
              </w:rPr>
              <w:t xml:space="preserve">fonction </w:t>
            </w:r>
            <w:r>
              <w:rPr>
                <w:b/>
              </w:rPr>
              <w:t xml:space="preserve">rénale </w:t>
            </w:r>
            <w:r>
              <w:rPr>
                <w:b/>
              </w:rPr>
              <w:t xml:space="preserve">chez les personnes </w:t>
            </w:r>
            <w:r>
              <w:rPr>
                <w:b/>
              </w:rPr>
              <w:t xml:space="preserve">dont le </w:t>
            </w:r>
            <w:r>
              <w:rPr>
                <w:b/>
              </w:rPr>
              <w:t xml:space="preserve">sexe </w:t>
            </w:r>
            <w:r>
              <w:rPr>
                <w:b/>
              </w:rPr>
              <w:t xml:space="preserve">est assigné à </w:t>
            </w:r>
            <w:r>
              <w:rPr>
                <w:b/>
              </w:rPr>
              <w:t xml:space="preserve">la </w:t>
            </w:r>
            <w:r>
              <w:rPr>
                <w:b/>
              </w:rPr>
              <w:t xml:space="preserve">naissance.</w:t>
            </w:r>
          </w:p>
          <w:p>
            <w:pPr>
              <w:pStyle w:val="TableParagraph"/>
              <w:spacing w:line="232" w:lineRule="exact"/>
              <w:ind w:start="107"/>
              <w:jc w:val="both"/>
              <w:rPr>
                <w:b/>
              </w:rPr>
            </w:pPr>
            <w:r>
              <w:rPr>
                <w:b/>
              </w:rPr>
              <w:t xml:space="preserve">les </w:t>
            </w:r>
            <w:r>
              <w:rPr>
                <w:b/>
              </w:rPr>
              <w:t xml:space="preserve">femelles </w:t>
            </w:r>
            <w:r>
              <w:rPr>
                <w:b/>
              </w:rPr>
              <w:t xml:space="preserve">(transmales).</w:t>
            </w:r>
          </w:p>
        </w:tc>
      </w:tr>
      <w:tr w:rsidR="00432386">
        <w:trPr>
          <w:trHeight w:val="505"/>
        </w:trPr>
        <w:tc>
          <w:tcPr>
            <w:tcW w:w="2122" w:type="dxa"/>
          </w:tcPr>
          <w:p>
            <w:pPr>
              <w:pStyle w:val="TableParagraph"/>
              <w:spacing w:line="254" w:lineRule="exact"/>
              <w:ind w:start="107" w:end="151"/>
              <w:rPr>
                <w:b/>
              </w:rPr>
            </w:pPr>
            <w:r>
              <w:rPr>
                <w:b/>
              </w:rPr>
              <w:t xml:space="preserve">Durée de la </w:t>
            </w:r>
            <w:r>
              <w:rPr>
                <w:b/>
              </w:rPr>
              <w:t xml:space="preserve">dysphorie de </w:t>
            </w:r>
            <w:r>
              <w:rPr>
                <w:b/>
              </w:rPr>
              <w:t xml:space="preserve">genre</w:t>
            </w:r>
          </w:p>
        </w:tc>
        <w:tc>
          <w:tcPr>
            <w:tcW w:w="6948" w:type="dxa"/>
          </w:tcPr>
          <w:p>
            <w:pPr>
              <w:pStyle w:val="TableParagraph"/>
              <w:ind w:start="107"/>
            </w:pPr>
            <w:r>
              <w:t xml:space="preserve">Aucune </w:t>
            </w:r>
            <w:r>
              <w:t xml:space="preserve">preuve </w:t>
            </w:r>
            <w:r>
              <w:t xml:space="preserve">n'a </w:t>
            </w:r>
            <w:r>
              <w:t xml:space="preserve">été </w:t>
            </w:r>
            <w:r>
              <w:t xml:space="preserve">identifiée.</w:t>
            </w:r>
          </w:p>
        </w:tc>
      </w:tr>
      <w:tr w:rsidR="00432386">
        <w:trPr>
          <w:trHeight w:val="504"/>
        </w:trPr>
        <w:tc>
          <w:tcPr>
            <w:tcW w:w="2122" w:type="dxa"/>
          </w:tcPr>
          <w:p>
            <w:pPr>
              <w:pStyle w:val="TableParagraph"/>
              <w:spacing w:line="254" w:lineRule="exact"/>
              <w:ind w:start="107" w:end="151"/>
              <w:rPr>
                <w:b/>
              </w:rPr>
            </w:pPr>
            <w:r>
              <w:rPr>
                <w:b/>
              </w:rPr>
              <w:t xml:space="preserve">Âge au début de la </w:t>
            </w:r>
            <w:r>
              <w:rPr>
                <w:b/>
              </w:rPr>
              <w:t xml:space="preserve">dysphorie de </w:t>
            </w:r>
            <w:r>
              <w:rPr>
                <w:b/>
              </w:rPr>
              <w:t xml:space="preserve">genre</w:t>
            </w:r>
          </w:p>
        </w:tc>
        <w:tc>
          <w:tcPr>
            <w:tcW w:w="6948" w:type="dxa"/>
          </w:tcPr>
          <w:p>
            <w:pPr>
              <w:pStyle w:val="TableParagraph"/>
              <w:spacing w:line="251" w:lineRule="exact"/>
              <w:ind w:start="107"/>
            </w:pPr>
            <w:r>
              <w:t xml:space="preserve">Aucune </w:t>
            </w:r>
            <w:r>
              <w:t xml:space="preserve">preuve </w:t>
            </w:r>
            <w:r>
              <w:t xml:space="preserve">n'a </w:t>
            </w:r>
            <w:r>
              <w:t xml:space="preserve">été </w:t>
            </w:r>
            <w:r>
              <w:t xml:space="preserve">identifiée.</w:t>
            </w:r>
          </w:p>
        </w:tc>
      </w:tr>
      <w:tr w:rsidR="00432386">
        <w:trPr>
          <w:trHeight w:val="757"/>
        </w:trPr>
        <w:tc>
          <w:tcPr>
            <w:tcW w:w="2122" w:type="dxa"/>
          </w:tcPr>
          <w:p>
            <w:pPr>
              <w:pStyle w:val="TableParagraph"/>
              <w:spacing w:line="249" w:lineRule="exact"/>
              <w:ind w:start="107"/>
              <w:rPr>
                <w:b/>
              </w:rPr>
            </w:pPr>
            <w:r>
              <w:rPr>
                <w:b/>
              </w:rPr>
              <w:t xml:space="preserve">Âge </w:t>
            </w:r>
            <w:r>
              <w:rPr>
                <w:b/>
              </w:rPr>
              <w:t xml:space="preserve">auquel</w:t>
            </w:r>
          </w:p>
          <w:p>
            <w:pPr>
              <w:pStyle w:val="TableParagraph"/>
              <w:spacing w:line="252" w:lineRule="exact"/>
              <w:ind w:start="107" w:end="334"/>
              <w:rPr>
                <w:b/>
              </w:rPr>
            </w:pPr>
            <w:r>
              <w:rPr>
                <w:b/>
              </w:rPr>
              <w:t xml:space="preserve">Début d'un </w:t>
            </w:r>
            <w:r>
              <w:rPr>
                <w:b/>
              </w:rPr>
              <w:t xml:space="preserve">analogue de la GnRH</w:t>
            </w:r>
          </w:p>
        </w:tc>
        <w:tc>
          <w:tcPr>
            <w:tcW w:w="6948" w:type="dxa"/>
          </w:tcPr>
          <w:p>
            <w:pPr>
              <w:pStyle w:val="TableParagraph"/>
              <w:spacing w:line="249" w:lineRule="exact"/>
              <w:ind w:start="107"/>
            </w:pPr>
            <w:r>
              <w:t xml:space="preserve">Aucune </w:t>
            </w:r>
            <w:r>
              <w:t xml:space="preserve">preuve </w:t>
            </w:r>
            <w:r>
              <w:t xml:space="preserve">n'a </w:t>
            </w:r>
            <w:r>
              <w:t xml:space="preserve">été </w:t>
            </w:r>
            <w:r>
              <w:t xml:space="preserve">identifiée.</w:t>
            </w:r>
          </w:p>
        </w:tc>
      </w:tr>
      <w:tr w:rsidR="00432386">
        <w:trPr>
          <w:trHeight w:val="505"/>
        </w:trPr>
        <w:tc>
          <w:tcPr>
            <w:tcW w:w="2122" w:type="dxa"/>
          </w:tcPr>
          <w:p>
            <w:pPr>
              <w:pStyle w:val="TableParagraph"/>
              <w:spacing w:line="252" w:lineRule="exact"/>
              <w:ind w:start="107" w:end="396"/>
              <w:rPr>
                <w:b/>
              </w:rPr>
            </w:pPr>
            <w:r>
              <w:rPr>
                <w:b/>
              </w:rPr>
              <w:t xml:space="preserve">Âge au début de la </w:t>
            </w:r>
            <w:r>
              <w:rPr>
                <w:b/>
              </w:rPr>
              <w:t xml:space="preserve">puberté</w:t>
            </w:r>
          </w:p>
        </w:tc>
        <w:tc>
          <w:tcPr>
            <w:tcW w:w="6948" w:type="dxa"/>
          </w:tcPr>
          <w:p>
            <w:pPr>
              <w:pStyle w:val="TableParagraph"/>
              <w:ind w:start="107"/>
            </w:pPr>
            <w:r>
              <w:t xml:space="preserve">Aucune </w:t>
            </w:r>
            <w:r>
              <w:t xml:space="preserve">preuve </w:t>
            </w:r>
            <w:r>
              <w:t xml:space="preserve">n'a </w:t>
            </w:r>
            <w:r>
              <w:t xml:space="preserve">été </w:t>
            </w:r>
            <w:r>
              <w:t xml:space="preserve">identifiée.</w:t>
            </w:r>
          </w:p>
        </w:tc>
      </w:tr>
    </w:tbl>
    <w:p w:rsidR="00432386" w:rsidRDefault="00432386">
      <w:p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6948"/>
      </w:tblGrid>
      <w:tr w:rsidR="00432386">
        <w:trPr>
          <w:trHeight w:val="758"/>
        </w:trPr>
        <w:tc>
          <w:tcPr>
            <w:tcW w:w="2122" w:type="dxa"/>
          </w:tcPr>
          <w:p>
            <w:pPr>
              <w:pStyle w:val="TableParagraph"/>
              <w:ind w:start="107" w:end="358"/>
              <w:rPr>
                <w:b/>
              </w:rPr>
            </w:pPr>
            <w:r>
              <w:rPr>
                <w:b/>
              </w:rPr>
              <w:lastRenderedPageBreak/>
              <w:t xml:space="preserve">Stade de Tanner </w:t>
            </w:r>
            <w:r>
              <w:rPr>
                <w:b/>
              </w:rPr>
              <w:t xml:space="preserve">auquel la </w:t>
            </w:r>
            <w:r>
              <w:rPr>
                <w:b/>
              </w:rPr>
              <w:t xml:space="preserve">GnRH</w:t>
            </w:r>
          </w:p>
          <w:p>
            <w:pPr>
              <w:pStyle w:val="TableParagraph"/>
              <w:spacing w:line="232" w:lineRule="exact"/>
              <w:ind w:start="107"/>
              <w:rPr>
                <w:b/>
              </w:rPr>
            </w:pPr>
            <w:r>
              <w:rPr>
                <w:b/>
              </w:rPr>
              <w:t xml:space="preserve">l'</w:t>
            </w:r>
            <w:r>
              <w:rPr>
                <w:b/>
              </w:rPr>
              <w:t xml:space="preserve">analogique </w:t>
            </w:r>
            <w:r>
              <w:rPr>
                <w:b/>
              </w:rPr>
              <w:t xml:space="preserve">a commencé</w:t>
            </w:r>
          </w:p>
        </w:tc>
        <w:tc>
          <w:tcPr>
            <w:tcW w:w="6948" w:type="dxa"/>
          </w:tcPr>
          <w:p>
            <w:pPr>
              <w:pStyle w:val="TableParagraph"/>
              <w:ind w:start="107"/>
            </w:pPr>
            <w:r>
              <w:t xml:space="preserve">Aucune </w:t>
            </w:r>
            <w:r>
              <w:t xml:space="preserve">preuve </w:t>
            </w:r>
            <w:r>
              <w:t xml:space="preserve">n'a </w:t>
            </w:r>
            <w:r>
              <w:t xml:space="preserve">été </w:t>
            </w:r>
            <w:r>
              <w:t xml:space="preserve">identifiée.</w:t>
            </w:r>
          </w:p>
        </w:tc>
      </w:tr>
      <w:tr w:rsidR="00432386">
        <w:trPr>
          <w:trHeight w:val="757"/>
        </w:trPr>
        <w:tc>
          <w:tcPr>
            <w:tcW w:w="2122" w:type="dxa"/>
          </w:tcPr>
          <w:p>
            <w:pPr>
              <w:pStyle w:val="TableParagraph"/>
              <w:ind w:start="107"/>
              <w:rPr>
                <w:b/>
              </w:rPr>
            </w:pPr>
            <w:r>
              <w:rPr>
                <w:b/>
              </w:rPr>
              <w:t xml:space="preserve">Diagnostic </w:t>
            </w:r>
            <w:r>
              <w:rPr>
                <w:b/>
              </w:rPr>
              <w:t xml:space="preserve">de</w:t>
            </w:r>
          </w:p>
          <w:p>
            <w:pPr>
              <w:pStyle w:val="TableParagraph"/>
              <w:spacing w:line="252" w:lineRule="exact"/>
              <w:ind w:start="107" w:end="163"/>
              <w:rPr>
                <w:b/>
              </w:rPr>
            </w:pPr>
            <w:r>
              <w:rPr>
                <w:b/>
              </w:rPr>
              <w:t xml:space="preserve">trouble </w:t>
            </w:r>
            <w:r>
              <w:rPr>
                <w:b/>
              </w:rPr>
              <w:t xml:space="preserve">du spectre autistique</w:t>
            </w:r>
          </w:p>
        </w:tc>
        <w:tc>
          <w:tcPr>
            <w:tcW w:w="6948" w:type="dxa"/>
          </w:tcPr>
          <w:p>
            <w:pPr>
              <w:pStyle w:val="TableParagraph"/>
              <w:ind w:start="107"/>
            </w:pPr>
            <w:r>
              <w:t xml:space="preserve">Aucune </w:t>
            </w:r>
            <w:r>
              <w:t xml:space="preserve">preuve </w:t>
            </w:r>
            <w:r>
              <w:t xml:space="preserve">n'a </w:t>
            </w:r>
            <w:r>
              <w:t xml:space="preserve">été </w:t>
            </w:r>
            <w:r>
              <w:t xml:space="preserve">identifiée.</w:t>
            </w:r>
          </w:p>
        </w:tc>
      </w:tr>
      <w:tr w:rsidR="00432386">
        <w:trPr>
          <w:trHeight w:val="760"/>
        </w:trPr>
        <w:tc>
          <w:tcPr>
            <w:tcW w:w="2122" w:type="dxa"/>
          </w:tcPr>
          <w:p>
            <w:pPr>
              <w:pStyle w:val="TableParagraph"/>
              <w:spacing w:line="252" w:lineRule="exact"/>
              <w:ind w:start="107" w:end="566"/>
              <w:rPr>
                <w:b/>
              </w:rPr>
            </w:pPr>
            <w:r>
              <w:rPr>
                <w:b/>
              </w:rPr>
              <w:t xml:space="preserve">Diagnostic d'un </w:t>
            </w:r>
            <w:r>
              <w:rPr>
                <w:b/>
              </w:rPr>
              <w:t xml:space="preserve">problème de </w:t>
            </w:r>
            <w:r>
              <w:rPr>
                <w:b/>
              </w:rPr>
              <w:t xml:space="preserve">santé mentale</w:t>
            </w:r>
          </w:p>
        </w:tc>
        <w:tc>
          <w:tcPr>
            <w:tcW w:w="6948" w:type="dxa"/>
          </w:tcPr>
          <w:p>
            <w:pPr>
              <w:pStyle w:val="TableParagraph"/>
              <w:spacing w:before="2"/>
              <w:ind w:start="107"/>
            </w:pPr>
            <w:r>
              <w:t xml:space="preserve">Aucune </w:t>
            </w:r>
            <w:r>
              <w:t xml:space="preserve">preuve </w:t>
            </w:r>
            <w:r>
              <w:t xml:space="preserve">n'a </w:t>
            </w:r>
            <w:r>
              <w:t xml:space="preserve">été </w:t>
            </w:r>
            <w:r>
              <w:t xml:space="preserve">identifiée.</w:t>
            </w:r>
          </w:p>
        </w:tc>
      </w:tr>
    </w:tbl>
    <w:p>
      <w:pPr>
        <w:pStyle w:val="Corpsdetexte"/>
        <w:spacing w:before="0" w:line="276" w:lineRule="auto"/>
        <w:ind w:end="453"/>
        <w:jc w:val="both"/>
      </w:pPr>
      <w:r>
        <w:rPr>
          <w:b/>
        </w:rPr>
        <w:t xml:space="preserve">Abréviations : </w:t>
      </w:r>
      <w:r>
        <w:t xml:space="preserve">BDI-II</w:t>
      </w:r>
      <w:r>
        <w:rPr>
          <w:b/>
        </w:rPr>
        <w:t xml:space="preserve">, </w:t>
      </w:r>
      <w:r>
        <w:t xml:space="preserve">Inventaire de dépression de Beck-II ; BIS, Échelle d'image corporelle ; CBCL, </w:t>
      </w:r>
      <w:r>
        <w:t xml:space="preserve">Liste de contrôle du comportement de </w:t>
      </w:r>
      <w:r>
        <w:t xml:space="preserve">l'enfant </w:t>
      </w:r>
      <w:r>
        <w:t xml:space="preserve">; CGAS, Échelle d'évaluation globale de l'enfant ; SD, écart-type ; </w:t>
      </w:r>
      <w:r>
        <w:t xml:space="preserve">STAI, Échelle d'anxiété de trait de l'Inventaire de personnalité d'État-Trait ; TPI, Échelle de colère de trait de l'</w:t>
      </w:r>
      <w:r>
        <w:t xml:space="preserve">Inventaire de personnalité d'État-Trait ; UGDS, Échelle de dysphorie de genre d'Utrecht </w:t>
      </w:r>
      <w:r>
        <w:t xml:space="preserve">; YSR, </w:t>
      </w:r>
      <w:r>
        <w:t xml:space="preserve">Auto-évaluation des </w:t>
      </w:r>
      <w:r>
        <w:t xml:space="preserve">jeunes.</w:t>
      </w:r>
    </w:p>
    <w:p w:rsidR="00432386" w:rsidRDefault="00432386">
      <w:pPr>
        <w:pStyle w:val="Corpsdetexte"/>
        <w:spacing w:before="2"/>
        <w:ind w:start="0"/>
        <w:rPr>
          <w:sz w:val="25"/>
        </w:rPr>
      </w:pPr>
    </w:p>
    <w:p>
      <w:pPr>
        <w:spacing w:before="1"/>
        <w:ind w:start="160"/>
        <w:rPr>
          <w:b/>
          <w:sz w:val="24"/>
        </w:rPr>
      </w:pPr>
      <w:r>
        <w:rPr>
          <w:b/>
          <w:color w:val="4F81BC"/>
          <w:sz w:val="24"/>
        </w:rPr>
        <w:t xml:space="preserve">A partir </w:t>
      </w:r>
      <w:r>
        <w:rPr>
          <w:b/>
          <w:color w:val="4F81BC"/>
          <w:sz w:val="24"/>
        </w:rPr>
        <w:t xml:space="preserve">des </w:t>
      </w:r>
      <w:r>
        <w:rPr>
          <w:b/>
          <w:color w:val="4F81BC"/>
          <w:sz w:val="24"/>
        </w:rPr>
        <w:t xml:space="preserve">preuves </w:t>
      </w:r>
      <w:r>
        <w:rPr>
          <w:b/>
          <w:color w:val="4F81BC"/>
          <w:sz w:val="24"/>
        </w:rPr>
        <w:t xml:space="preserve">sélectionnées,</w:t>
      </w:r>
    </w:p>
    <w:p>
      <w:pPr>
        <w:pStyle w:val="Paragraphedeliste"/>
        <w:numPr>
          <w:ilvl w:val="0"/>
          <w:numId w:val="146"/>
        </w:numPr>
        <w:tabs>
          <w:tab w:val="left" w:pos="880"/>
          <w:tab w:val="left" w:pos="881"/>
        </w:tabs>
        <w:spacing w:before="0"/>
        <w:ind w:end="1189"/>
        <w:rPr>
          <w:b/>
          <w:sz w:val="24"/>
        </w:rPr>
      </w:pPr>
      <w:r>
        <w:rPr>
          <w:b/>
          <w:color w:val="4F81BC"/>
          <w:sz w:val="24"/>
        </w:rPr>
        <w:t xml:space="preserve">quels sont les critères utilisés par les études de recherche pour définir la </w:t>
      </w:r>
      <w:r>
        <w:rPr>
          <w:b/>
          <w:color w:val="4F81BC"/>
          <w:sz w:val="24"/>
        </w:rPr>
        <w:t xml:space="preserve">dysphorie de </w:t>
      </w:r>
      <w:r>
        <w:rPr>
          <w:b/>
          <w:color w:val="4F81BC"/>
          <w:sz w:val="24"/>
        </w:rPr>
        <w:t xml:space="preserve">genre</w:t>
      </w:r>
      <w:r>
        <w:rPr>
          <w:b/>
          <w:color w:val="4F81BC"/>
          <w:sz w:val="24"/>
        </w:rPr>
        <w:t xml:space="preserve">, le trouble de l'identité de genre et l'incongruence de genre de l'</w:t>
      </w:r>
      <w:r>
        <w:rPr>
          <w:b/>
          <w:color w:val="4F81BC"/>
          <w:sz w:val="24"/>
        </w:rPr>
        <w:t xml:space="preserve">enfance ?</w:t>
      </w:r>
    </w:p>
    <w:p>
      <w:pPr>
        <w:pStyle w:val="Paragraphedeliste"/>
        <w:numPr>
          <w:ilvl w:val="0"/>
          <w:numId w:val="146"/>
        </w:numPr>
        <w:tabs>
          <w:tab w:val="left" w:pos="880"/>
          <w:tab w:val="left" w:pos="881"/>
        </w:tabs>
        <w:spacing w:before="0"/>
        <w:ind w:end="939"/>
        <w:rPr>
          <w:b/>
          <w:sz w:val="24"/>
        </w:rPr>
      </w:pPr>
      <w:r>
        <w:rPr>
          <w:b/>
          <w:color w:val="4F81BC"/>
          <w:sz w:val="24"/>
        </w:rPr>
        <w:t xml:space="preserve">quels étaient les âges auxquels les participants ont commencé le traitement par les </w:t>
      </w:r>
      <w:r>
        <w:rPr>
          <w:b/>
          <w:color w:val="4F81BC"/>
          <w:sz w:val="24"/>
        </w:rPr>
        <w:t xml:space="preserve">analogues de la </w:t>
      </w:r>
      <w:r>
        <w:rPr>
          <w:b/>
          <w:color w:val="4F81BC"/>
          <w:sz w:val="24"/>
        </w:rPr>
        <w:t xml:space="preserve">GnRH </w:t>
      </w:r>
      <w:r>
        <w:rPr>
          <w:b/>
          <w:color w:val="4F81BC"/>
          <w:sz w:val="24"/>
        </w:rPr>
        <w:t xml:space="preserve">?</w:t>
      </w:r>
    </w:p>
    <w:p>
      <w:pPr>
        <w:pStyle w:val="Paragraphedeliste"/>
        <w:numPr>
          <w:ilvl w:val="0"/>
          <w:numId w:val="146"/>
        </w:numPr>
        <w:tabs>
          <w:tab w:val="left" w:pos="880"/>
          <w:tab w:val="left" w:pos="881"/>
        </w:tabs>
        <w:spacing w:before="0"/>
        <w:ind w:hanging="721"/>
        <w:rPr>
          <w:b/>
          <w:sz w:val="24"/>
        </w:rPr>
      </w:pPr>
      <w:r>
        <w:rPr>
          <w:b/>
          <w:color w:val="4F81BC"/>
          <w:sz w:val="24"/>
        </w:rPr>
        <w:t xml:space="preserve">quelle a </w:t>
      </w:r>
      <w:r>
        <w:rPr>
          <w:b/>
          <w:color w:val="4F81BC"/>
          <w:sz w:val="24"/>
        </w:rPr>
        <w:t xml:space="preserve">été la </w:t>
      </w:r>
      <w:r>
        <w:rPr>
          <w:b/>
          <w:color w:val="4F81BC"/>
          <w:sz w:val="24"/>
        </w:rPr>
        <w:t xml:space="preserve">durée </w:t>
      </w:r>
      <w:r>
        <w:rPr>
          <w:b/>
          <w:color w:val="4F81BC"/>
          <w:sz w:val="24"/>
        </w:rPr>
        <w:t xml:space="preserve">du </w:t>
      </w:r>
      <w:r>
        <w:rPr>
          <w:b/>
          <w:color w:val="4F81BC"/>
          <w:sz w:val="24"/>
        </w:rPr>
        <w:t xml:space="preserve">traitement par les </w:t>
      </w:r>
      <w:r>
        <w:rPr>
          <w:b/>
          <w:color w:val="4F81BC"/>
          <w:sz w:val="24"/>
        </w:rPr>
        <w:t xml:space="preserve">analogues de la </w:t>
      </w:r>
      <w:r>
        <w:rPr>
          <w:b/>
          <w:color w:val="4F81BC"/>
          <w:sz w:val="24"/>
        </w:rPr>
        <w:t xml:space="preserve">GnRH </w:t>
      </w:r>
      <w:r>
        <w:rPr>
          <w:b/>
          <w:color w:val="4F81BC"/>
          <w:sz w:val="24"/>
        </w:rPr>
        <w:t xml:space="preserve">?</w:t>
      </w:r>
    </w:p>
    <w:p w:rsidR="00432386" w:rsidRDefault="00432386">
      <w:pPr>
        <w:pStyle w:val="Corpsdetexte"/>
        <w:spacing w:before="0"/>
        <w:ind w:start="0"/>
        <w:rPr>
          <w:b/>
          <w:sz w:val="29"/>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118"/>
        <w:gridCol w:w="2718"/>
        <w:gridCol w:w="4000"/>
        <w:gridCol w:w="113"/>
      </w:tblGrid>
      <w:tr w:rsidR="00432386">
        <w:trPr>
          <w:trHeight w:val="251"/>
        </w:trPr>
        <w:tc>
          <w:tcPr>
            <w:tcW w:w="2122" w:type="dxa"/>
          </w:tcPr>
          <w:p>
            <w:pPr>
              <w:pStyle w:val="TableParagraph"/>
              <w:spacing w:line="232" w:lineRule="exact"/>
              <w:ind w:start="107"/>
              <w:rPr>
                <w:b/>
              </w:rPr>
            </w:pPr>
            <w:r>
              <w:rPr>
                <w:b/>
              </w:rPr>
              <w:t xml:space="preserve">Résultat</w:t>
            </w:r>
          </w:p>
        </w:tc>
        <w:tc>
          <w:tcPr>
            <w:tcW w:w="6949" w:type="dxa"/>
            <w:gridSpan w:val="4"/>
          </w:tcPr>
          <w:p>
            <w:pPr>
              <w:pStyle w:val="TableParagraph"/>
              <w:spacing w:line="232" w:lineRule="exact"/>
              <w:ind w:start="107"/>
              <w:rPr>
                <w:b/>
              </w:rPr>
            </w:pPr>
            <w:r>
              <w:rPr>
                <w:b/>
              </w:rPr>
              <w:t xml:space="preserve">Déclaration de </w:t>
            </w:r>
            <w:r>
              <w:rPr>
                <w:b/>
              </w:rPr>
              <w:t xml:space="preserve">preuves</w:t>
            </w:r>
          </w:p>
        </w:tc>
      </w:tr>
      <w:tr w:rsidR="00432386">
        <w:trPr>
          <w:trHeight w:val="4555"/>
        </w:trPr>
        <w:tc>
          <w:tcPr>
            <w:tcW w:w="2122" w:type="dxa"/>
          </w:tcPr>
          <w:p>
            <w:pPr>
              <w:pStyle w:val="TableParagraph"/>
              <w:ind w:start="107" w:end="860"/>
              <w:rPr>
                <w:b/>
              </w:rPr>
            </w:pPr>
            <w:r>
              <w:rPr>
                <w:b/>
              </w:rPr>
              <w:t xml:space="preserve">Critères de </w:t>
            </w:r>
            <w:r>
              <w:rPr>
                <w:b/>
              </w:rPr>
              <w:t xml:space="preserve">diagnostic</w:t>
            </w:r>
          </w:p>
        </w:tc>
        <w:tc>
          <w:tcPr>
            <w:tcW w:w="6949" w:type="dxa"/>
            <w:gridSpan w:val="4"/>
          </w:tcPr>
          <w:p>
            <w:pPr>
              <w:pStyle w:val="TableParagraph"/>
              <w:ind w:start="107" w:end="97"/>
              <w:jc w:val="both"/>
            </w:pPr>
            <w:r>
              <w:t xml:space="preserve">Dans </w:t>
            </w:r>
            <w:r>
              <w:t xml:space="preserve">5 </w:t>
            </w:r>
            <w:r>
              <w:t xml:space="preserve">études </w:t>
            </w:r>
            <w:r>
              <w:t xml:space="preserve">(</w:t>
            </w:r>
            <w:hyperlink r:id="rId207">
              <w:r>
                <w:rPr>
                  <w:color w:val="0000FF"/>
                  <w:u w:val="single" w:color="0000FF"/>
                </w:rPr>
                <w:t xml:space="preserve">Costa</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hyperlink r:id="rId208">
              <w:r>
                <w:rPr>
                  <w:color w:val="0000FF"/>
                  <w:u w:val="single" w:color="0000FF"/>
                </w:rPr>
                <w:t xml:space="preserve">Klink</w:t>
              </w:r>
              <w:r>
                <w:rPr>
                  <w:color w:val="0000FF"/>
                  <w:u w:val="single" w:color="0000FF"/>
                </w:rPr>
                <w:t xml:space="preserve">et</w:t>
              </w:r>
              <w:r>
                <w:rPr>
                  <w:color w:val="0000FF"/>
                  <w:u w:val="single" w:color="0000FF"/>
                </w:rPr>
                <w:t xml:space="preserve">al.</w:t>
              </w:r>
              <w:r>
                <w:rPr>
                  <w:color w:val="0000FF"/>
                  <w:u w:val="single" w:color="0000FF"/>
                </w:rPr>
                <w:t xml:space="preserve">2015</w:t>
              </w:r>
            </w:hyperlink>
            <w:r>
              <w:t xml:space="preserve">, </w:t>
            </w:r>
            <w:hyperlink r:id="rId209">
              <w:r>
                <w:rPr>
                  <w:color w:val="0000FF"/>
                  <w:u w:val="single" w:color="0000FF"/>
                </w:rPr>
                <w:t xml:space="preserve">Schagen</w:t>
              </w:r>
              <w:r>
                <w:rPr>
                  <w:color w:val="0000FF"/>
                  <w:u w:val="single" w:color="0000FF"/>
                </w:rPr>
                <w:t xml:space="preserve">et</w:t>
              </w:r>
              <w:r>
                <w:rPr>
                  <w:color w:val="0000FF"/>
                  <w:u w:val="single" w:color="0000FF"/>
                </w:rPr>
                <w:t xml:space="preserve">al.</w:t>
              </w:r>
              <w:r>
                <w:rPr>
                  <w:color w:val="0000FF"/>
                  <w:u w:val="single" w:color="0000FF"/>
                </w:rPr>
                <w:t xml:space="preserve">2016</w:t>
              </w:r>
            </w:hyperlink>
            <w:r>
              <w:t xml:space="preserve">, </w:t>
            </w:r>
            <w:hyperlink r:id="rId210">
              <w:r>
                <w:rPr>
                  <w:color w:val="0000FF"/>
                  <w:u w:val="single" w:color="0000FF"/>
                </w:rPr>
                <w:t xml:space="preserve">Staphorsius</w:t>
              </w:r>
              <w:r>
                <w:rPr>
                  <w:color w:val="0000FF"/>
                  <w:u w:val="single" w:color="0000FF"/>
                </w:rPr>
                <w:t xml:space="preserve">et</w:t>
              </w:r>
              <w:r>
                <w:rPr>
                  <w:color w:val="0000FF"/>
                  <w:u w:val="single" w:color="0000FF"/>
                </w:rPr>
                <w:t xml:space="preserve">al.</w:t>
              </w:r>
              <w:r>
                <w:rPr>
                  <w:color w:val="0000FF"/>
                  <w:u w:val="single" w:color="0000FF"/>
                </w:rPr>
                <w:t xml:space="preserve">2015 </w:t>
              </w:r>
            </w:hyperlink>
            <w:r>
              <w:t xml:space="preserve">et </w:t>
            </w:r>
            <w:hyperlink r:id="rId211">
              <w:r>
                <w:rPr>
                  <w:color w:val="0000FF"/>
                  <w:u w:val="single" w:color="0000FF"/>
                </w:rPr>
                <w:t xml:space="preserve">Vlot</w:t>
              </w:r>
              <w:r>
                <w:rPr>
                  <w:color w:val="0000FF"/>
                  <w:u w:val="single" w:color="0000FF"/>
                </w:rPr>
                <w:t xml:space="preserve">et</w:t>
              </w:r>
              <w:r>
                <w:rPr>
                  <w:color w:val="0000FF"/>
                  <w:u w:val="single" w:color="0000FF"/>
                </w:rPr>
                <w:t xml:space="preserve">al.</w:t>
              </w:r>
              <w:r>
                <w:rPr>
                  <w:color w:val="0000FF"/>
                  <w:u w:val="single" w:color="0000FF"/>
                </w:rPr>
                <w:t xml:space="preserve">2017</w:t>
              </w:r>
            </w:hyperlink>
            <w:r>
              <w:rPr>
                <w:color w:val="0000FF"/>
                <w:u w:val="single" w:color="0000FF"/>
              </w:rPr>
              <w:t xml:space="preserve">), </w:t>
            </w:r>
            <w:r>
              <w:t xml:space="preserve">les </w:t>
            </w:r>
            <w:r>
              <w:t xml:space="preserve">critères </w:t>
            </w:r>
            <w:r>
              <w:t xml:space="preserve">DSM-IV-TR </w:t>
            </w:r>
            <w:r>
              <w:t xml:space="preserve">du </w:t>
            </w:r>
            <w:r>
              <w:t xml:space="preserve">trouble de l'</w:t>
            </w:r>
            <w:r>
              <w:t xml:space="preserve">identité sexuelle </w:t>
            </w:r>
            <w:r>
              <w:t xml:space="preserve">ont été utilisés.</w:t>
            </w:r>
          </w:p>
          <w:p w:rsidR="00432386" w:rsidRDefault="00432386">
            <w:pPr>
              <w:pStyle w:val="TableParagraph"/>
              <w:rPr>
                <w:b/>
              </w:rPr>
            </w:pPr>
          </w:p>
          <w:p>
            <w:pPr>
              <w:pStyle w:val="TableParagraph"/>
              <w:ind w:start="107" w:end="96"/>
              <w:jc w:val="both"/>
            </w:pPr>
            <w:r>
              <w:t xml:space="preserve">L'étude de </w:t>
            </w:r>
            <w:hyperlink r:id="rId212">
              <w:r>
                <w:rPr>
                  <w:color w:val="0000FF"/>
                  <w:u w:val="single" w:color="0000FF"/>
                </w:rPr>
                <w:t xml:space="preserve">Brik et al. 2020 </w:t>
              </w:r>
            </w:hyperlink>
            <w:r>
              <w:t xml:space="preserve">a utilisé les critères du DSM-V. Le DSM-V a </w:t>
            </w:r>
            <w:r>
              <w:t xml:space="preserve">une définition générale de la dysphorie de genre avec des </w:t>
            </w:r>
            <w:r>
              <w:t xml:space="preserve">critères </w:t>
            </w:r>
            <w:r>
              <w:t xml:space="preserve">spécifiques séparés </w:t>
            </w:r>
            <w:r>
              <w:t xml:space="preserve">pour les </w:t>
            </w:r>
            <w:r>
              <w:t xml:space="preserve">enfants </w:t>
            </w:r>
            <w:r>
              <w:t xml:space="preserve">et </w:t>
            </w:r>
            <w:r>
              <w:t xml:space="preserve">pour les </w:t>
            </w:r>
            <w:r>
              <w:t xml:space="preserve">adolescents </w:t>
            </w:r>
            <w:r>
              <w:t xml:space="preserve">et les </w:t>
            </w:r>
            <w:r>
              <w:t xml:space="preserve">adultes. </w:t>
            </w:r>
            <w:r>
              <w:t xml:space="preserve">La </w:t>
            </w:r>
            <w:r>
              <w:t xml:space="preserve">définition </w:t>
            </w:r>
            <w:r>
              <w:t xml:space="preserve">générale </w:t>
            </w:r>
            <w:r>
              <w:t xml:space="preserve">décrit </w:t>
            </w:r>
            <w:r>
              <w:t xml:space="preserve">un </w:t>
            </w:r>
            <w:r>
              <w:t xml:space="preserve">conflit </w:t>
            </w:r>
            <w:r>
              <w:t xml:space="preserve">associé </w:t>
            </w:r>
            <w:r>
              <w:t xml:space="preserve">à une </w:t>
            </w:r>
            <w:r>
              <w:t xml:space="preserve">détresse </w:t>
            </w:r>
            <w:r>
              <w:t xml:space="preserve">significative </w:t>
            </w:r>
            <w:r>
              <w:t xml:space="preserve">et/ou des problèmes de fonctionnement liés à ce conflit entre la </w:t>
            </w:r>
            <w:r>
              <w:t xml:space="preserve">façon dont ils se sentent et la façon dont ils pensent à eux-mêmes qui doit avoir </w:t>
            </w:r>
            <w:r>
              <w:t xml:space="preserve">duré </w:t>
            </w:r>
            <w:r>
              <w:t xml:space="preserve">au </w:t>
            </w:r>
            <w:r>
              <w:t xml:space="preserve">moins </w:t>
            </w:r>
            <w:r>
              <w:t xml:space="preserve">6 </w:t>
            </w:r>
            <w:r>
              <w:t xml:space="preserve">mois.</w:t>
            </w:r>
          </w:p>
          <w:p w:rsidR="00432386" w:rsidRDefault="00432386">
            <w:pPr>
              <w:pStyle w:val="TableParagraph"/>
              <w:rPr>
                <w:b/>
              </w:rPr>
            </w:pPr>
          </w:p>
          <w:p>
            <w:pPr>
              <w:pStyle w:val="TableParagraph"/>
              <w:ind w:start="107" w:end="101"/>
              <w:jc w:val="both"/>
            </w:pPr>
            <w:r>
              <w:t xml:space="preserve">La </w:t>
            </w:r>
            <w:r>
              <w:t xml:space="preserve">manière dont la </w:t>
            </w:r>
            <w:r>
              <w:t xml:space="preserve">dysphorie de </w:t>
            </w:r>
            <w:r>
              <w:t xml:space="preserve">genre </w:t>
            </w:r>
            <w:r>
              <w:t xml:space="preserve">a été </w:t>
            </w:r>
            <w:r>
              <w:t xml:space="preserve">définie </w:t>
            </w:r>
            <w:r>
              <w:t xml:space="preserve">n'a pas </w:t>
            </w:r>
            <w:r>
              <w:t xml:space="preserve">été </w:t>
            </w:r>
            <w:r>
              <w:t xml:space="preserve">rapportée </w:t>
            </w:r>
            <w:r>
              <w:t xml:space="preserve">dans </w:t>
            </w:r>
            <w:r>
              <w:t xml:space="preserve">les </w:t>
            </w:r>
            <w:r>
              <w:t xml:space="preserve">3 </w:t>
            </w:r>
            <w:r>
              <w:t xml:space="preserve">études </w:t>
            </w:r>
            <w:r>
              <w:t xml:space="preserve">restantes </w:t>
            </w:r>
            <w:r>
              <w:rPr>
                <w:b/>
              </w:rPr>
              <w:t xml:space="preserve">(TRÈS FAIBLE)</w:t>
            </w:r>
            <w:r>
              <w:t xml:space="preserve">.</w:t>
            </w:r>
          </w:p>
          <w:p w:rsidR="00432386" w:rsidRDefault="00432386">
            <w:pPr>
              <w:pStyle w:val="TableParagraph"/>
              <w:spacing w:before="7"/>
              <w:rPr>
                <w:b/>
                <w:sz w:val="20"/>
              </w:rPr>
            </w:pPr>
          </w:p>
          <w:p>
            <w:pPr>
              <w:pStyle w:val="TableParagraph"/>
              <w:spacing w:line="252" w:lineRule="exact"/>
              <w:ind w:start="107" w:end="102"/>
              <w:jc w:val="both"/>
              <w:rPr>
                <w:b/>
              </w:rPr>
            </w:pPr>
            <w:r>
              <w:rPr>
                <w:b/>
              </w:rPr>
              <w:t xml:space="preserve">Parmi les preuves sélectionnées, toutes les études qui ont rapporté des </w:t>
            </w:r>
            <w:r>
              <w:rPr>
                <w:b/>
              </w:rPr>
              <w:t xml:space="preserve">critères </w:t>
            </w:r>
            <w:r>
              <w:rPr>
                <w:b/>
              </w:rPr>
              <w:t xml:space="preserve">diagnostiques </w:t>
            </w:r>
            <w:r>
              <w:rPr>
                <w:b/>
              </w:rPr>
              <w:t xml:space="preserve">pour la dysphorie de genre (6/9 études) ont utilisé les critères DSM </w:t>
            </w:r>
            <w:r>
              <w:rPr>
                <w:b/>
              </w:rPr>
              <w:t xml:space="preserve">en </w:t>
            </w:r>
            <w:r>
              <w:rPr>
                <w:b/>
              </w:rPr>
              <w:t xml:space="preserve">usage </w:t>
            </w:r>
            <w:r>
              <w:rPr>
                <w:b/>
              </w:rPr>
              <w:t xml:space="preserve">au moment </w:t>
            </w:r>
            <w:r>
              <w:rPr>
                <w:b/>
              </w:rPr>
              <w:t xml:space="preserve">où </w:t>
            </w:r>
            <w:r>
              <w:rPr>
                <w:b/>
              </w:rPr>
              <w:t xml:space="preserve">l'</w:t>
            </w:r>
            <w:r>
              <w:rPr>
                <w:b/>
              </w:rPr>
              <w:t xml:space="preserve">étude a été </w:t>
            </w:r>
            <w:r>
              <w:rPr>
                <w:b/>
              </w:rPr>
              <w:t xml:space="preserve">menée.</w:t>
            </w:r>
          </w:p>
        </w:tc>
      </w:tr>
      <w:tr w:rsidR="00432386">
        <w:trPr>
          <w:trHeight w:val="1012"/>
        </w:trPr>
        <w:tc>
          <w:tcPr>
            <w:tcW w:w="2122" w:type="dxa"/>
            <w:vMerge w:val="restart"/>
          </w:tcPr>
          <w:p>
            <w:pPr>
              <w:pStyle w:val="TableParagraph"/>
              <w:ind w:start="107" w:end="109"/>
              <w:rPr>
                <w:b/>
              </w:rPr>
            </w:pPr>
            <w:r>
              <w:rPr>
                <w:b/>
              </w:rPr>
              <w:t xml:space="preserve">Âge au </w:t>
            </w:r>
            <w:r>
              <w:rPr>
                <w:b/>
              </w:rPr>
              <w:t xml:space="preserve">début de l'administration des </w:t>
            </w:r>
            <w:r>
              <w:rPr>
                <w:b/>
              </w:rPr>
              <w:t xml:space="preserve">analogues de la </w:t>
            </w:r>
            <w:r>
              <w:rPr>
                <w:b/>
              </w:rPr>
              <w:t xml:space="preserve">GnRH</w:t>
            </w:r>
          </w:p>
        </w:tc>
        <w:tc>
          <w:tcPr>
            <w:tcW w:w="6949" w:type="dxa"/>
            <w:gridSpan w:val="4"/>
          </w:tcPr>
          <w:p>
            <w:pPr>
              <w:pStyle w:val="TableParagraph"/>
              <w:ind w:start="107" w:end="101"/>
              <w:jc w:val="both"/>
            </w:pPr>
            <w:r>
              <w:t xml:space="preserve">8/9 études ont rapporté l'âge auquel les participants ont commencé à prendre des </w:t>
            </w:r>
            <w:r>
              <w:t xml:space="preserve">analogues de la </w:t>
            </w:r>
            <w:r>
              <w:t xml:space="preserve">GnRH</w:t>
            </w:r>
            <w:r>
              <w:t xml:space="preserve">, soit comme l'âge moyen (avec l'écart-type) ou l'âge médian (avec l'</w:t>
            </w:r>
            <w:r>
              <w:t xml:space="preserve">intervalle) :</w:t>
            </w:r>
          </w:p>
        </w:tc>
      </w:tr>
      <w:tr w:rsidR="00432386">
        <w:trPr>
          <w:trHeight w:val="251"/>
        </w:trPr>
        <w:tc>
          <w:tcPr>
            <w:tcW w:w="2122" w:type="dxa"/>
            <w:vMerge/>
            <w:tcBorders>
              <w:top w:val="nil"/>
            </w:tcBorders>
          </w:tcPr>
          <w:p w:rsidR="00432386" w:rsidRDefault="00432386">
            <w:pPr>
              <w:rPr>
                <w:sz w:val="2"/>
                <w:szCs w:val="2"/>
              </w:rPr>
            </w:pPr>
          </w:p>
        </w:tc>
        <w:tc>
          <w:tcPr>
            <w:tcW w:w="118" w:type="dxa"/>
            <w:vMerge w:val="restart"/>
            <w:tcBorders>
              <w:top w:val="nil"/>
            </w:tcBorders>
          </w:tcPr>
          <w:p w:rsidR="00432386" w:rsidRDefault="00432386">
            <w:pPr>
              <w:pStyle w:val="TableParagraph"/>
              <w:rPr>
                <w:rFonts w:ascii="Times New Roman"/>
              </w:rPr>
            </w:pPr>
          </w:p>
        </w:tc>
        <w:tc>
          <w:tcPr>
            <w:tcW w:w="2718" w:type="dxa"/>
          </w:tcPr>
          <w:p>
            <w:pPr>
              <w:pStyle w:val="TableParagraph"/>
              <w:spacing w:line="232" w:lineRule="exact"/>
              <w:ind w:start="102"/>
              <w:rPr>
                <w:b/>
              </w:rPr>
            </w:pPr>
            <w:r>
              <w:rPr>
                <w:b/>
              </w:rPr>
              <w:t xml:space="preserve">Étude</w:t>
            </w:r>
          </w:p>
        </w:tc>
        <w:tc>
          <w:tcPr>
            <w:tcW w:w="4000" w:type="dxa"/>
          </w:tcPr>
          <w:p>
            <w:pPr>
              <w:pStyle w:val="TableParagraph"/>
              <w:spacing w:line="232" w:lineRule="exact"/>
              <w:ind w:start="108"/>
              <w:rPr>
                <w:b/>
              </w:rPr>
            </w:pPr>
            <w:r>
              <w:rPr>
                <w:b/>
              </w:rPr>
              <w:t xml:space="preserve">Âge </w:t>
            </w:r>
            <w:r>
              <w:rPr>
                <w:b/>
              </w:rPr>
              <w:t xml:space="preserve">moyen </w:t>
            </w:r>
            <w:r>
              <w:rPr>
                <w:b/>
              </w:rPr>
              <w:t xml:space="preserve">(</w:t>
            </w:r>
            <w:r>
              <w:rPr>
                <w:b/>
                <w:sz w:val="20"/>
              </w:rPr>
              <w:t xml:space="preserve">±SD</w:t>
            </w:r>
            <w:r>
              <w:rPr>
                <w:b/>
              </w:rPr>
              <w:t xml:space="preserve">)</w:t>
            </w:r>
          </w:p>
        </w:tc>
        <w:tc>
          <w:tcPr>
            <w:tcW w:w="113" w:type="dxa"/>
            <w:tcBorders>
              <w:top w:val="nil"/>
              <w:bottom w:val="nil"/>
            </w:tcBorders>
          </w:tcPr>
          <w:p w:rsidR="00432386" w:rsidRDefault="00432386">
            <w:pPr>
              <w:pStyle w:val="TableParagraph"/>
              <w:rPr>
                <w:rFonts w:ascii="Times New Roman"/>
                <w:sz w:val="18"/>
              </w:rPr>
            </w:pPr>
          </w:p>
        </w:tc>
      </w:tr>
      <w:tr w:rsidR="00432386">
        <w:trPr>
          <w:trHeight w:val="253"/>
        </w:trPr>
        <w:tc>
          <w:tcPr>
            <w:tcW w:w="2122" w:type="dxa"/>
            <w:vMerge/>
            <w:tcBorders>
              <w:top w:val="nil"/>
            </w:tcBorders>
          </w:tcPr>
          <w:p w:rsidR="00432386" w:rsidRDefault="00432386">
            <w:pPr>
              <w:rPr>
                <w:sz w:val="2"/>
                <w:szCs w:val="2"/>
              </w:rPr>
            </w:pPr>
          </w:p>
        </w:tc>
        <w:tc>
          <w:tcPr>
            <w:tcW w:w="118" w:type="dxa"/>
            <w:vMerge/>
            <w:tcBorders>
              <w:top w:val="nil"/>
            </w:tcBorders>
          </w:tcPr>
          <w:p w:rsidR="00432386" w:rsidRDefault="00432386">
            <w:pPr>
              <w:rPr>
                <w:sz w:val="2"/>
                <w:szCs w:val="2"/>
              </w:rPr>
            </w:pPr>
          </w:p>
        </w:tc>
        <w:tc>
          <w:tcPr>
            <w:tcW w:w="2718" w:type="dxa"/>
          </w:tcPr>
          <w:p>
            <w:pPr>
              <w:pStyle w:val="TableParagraph"/>
              <w:spacing w:line="234" w:lineRule="exact"/>
              <w:ind w:start="102"/>
            </w:pPr>
            <w:r>
              <w:t xml:space="preserve">Costa </w:t>
            </w:r>
            <w:r>
              <w:t xml:space="preserve">et al. </w:t>
            </w:r>
            <w:r>
              <w:t xml:space="preserve">2015</w:t>
            </w:r>
          </w:p>
        </w:tc>
        <w:tc>
          <w:tcPr>
            <w:tcW w:w="4000" w:type="dxa"/>
          </w:tcPr>
          <w:p>
            <w:pPr>
              <w:pStyle w:val="TableParagraph"/>
              <w:spacing w:line="234" w:lineRule="exact"/>
              <w:ind w:start="108"/>
            </w:pPr>
            <w:r>
              <w:t xml:space="preserve">16,5 </w:t>
            </w:r>
            <w:r>
              <w:t xml:space="preserve">ans </w:t>
            </w:r>
            <w:r>
              <w:t xml:space="preserve">(</w:t>
            </w:r>
            <w:r>
              <w:rPr>
                <w:sz w:val="20"/>
              </w:rPr>
              <w:t xml:space="preserve">±1</w:t>
            </w:r>
            <w:r>
              <w:t xml:space="preserve">,3)</w:t>
            </w:r>
          </w:p>
        </w:tc>
        <w:tc>
          <w:tcPr>
            <w:tcW w:w="113" w:type="dxa"/>
            <w:tcBorders>
              <w:top w:val="nil"/>
              <w:bottom w:val="nil"/>
            </w:tcBorders>
          </w:tcPr>
          <w:p w:rsidR="00432386" w:rsidRDefault="00432386">
            <w:pPr>
              <w:pStyle w:val="TableParagraph"/>
              <w:rPr>
                <w:rFonts w:ascii="Times New Roman"/>
                <w:sz w:val="18"/>
              </w:rPr>
            </w:pPr>
          </w:p>
        </w:tc>
      </w:tr>
      <w:tr w:rsidR="00432386">
        <w:trPr>
          <w:trHeight w:val="251"/>
        </w:trPr>
        <w:tc>
          <w:tcPr>
            <w:tcW w:w="2122" w:type="dxa"/>
            <w:vMerge/>
            <w:tcBorders>
              <w:top w:val="nil"/>
            </w:tcBorders>
          </w:tcPr>
          <w:p w:rsidR="00432386" w:rsidRDefault="00432386">
            <w:pPr>
              <w:rPr>
                <w:sz w:val="2"/>
                <w:szCs w:val="2"/>
              </w:rPr>
            </w:pPr>
          </w:p>
        </w:tc>
        <w:tc>
          <w:tcPr>
            <w:tcW w:w="118" w:type="dxa"/>
            <w:vMerge/>
            <w:tcBorders>
              <w:top w:val="nil"/>
            </w:tcBorders>
          </w:tcPr>
          <w:p w:rsidR="00432386" w:rsidRDefault="00432386">
            <w:pPr>
              <w:rPr>
                <w:sz w:val="2"/>
                <w:szCs w:val="2"/>
              </w:rPr>
            </w:pPr>
          </w:p>
        </w:tc>
        <w:tc>
          <w:tcPr>
            <w:tcW w:w="2718" w:type="dxa"/>
          </w:tcPr>
          <w:p>
            <w:pPr>
              <w:pStyle w:val="TableParagraph"/>
              <w:spacing w:line="232" w:lineRule="exact"/>
              <w:ind w:start="102"/>
            </w:pPr>
            <w:hyperlink r:id="rId213">
              <w:r>
                <w:rPr>
                  <w:color w:val="0000FF"/>
                  <w:u w:val="single" w:color="0000FF"/>
                </w:rPr>
                <w:t xml:space="preserve">de </w:t>
              </w:r>
              <w:r>
                <w:rPr>
                  <w:color w:val="0000FF"/>
                  <w:u w:val="single" w:color="0000FF"/>
                </w:rPr>
                <w:t xml:space="preserve">Vries </w:t>
              </w:r>
              <w:r>
                <w:rPr>
                  <w:color w:val="0000FF"/>
                  <w:u w:val="single" w:color="0000FF"/>
                </w:rPr>
                <w:t xml:space="preserve">et al. </w:t>
              </w:r>
              <w:r>
                <w:rPr>
                  <w:color w:val="0000FF"/>
                  <w:u w:val="single" w:color="0000FF"/>
                </w:rPr>
                <w:t xml:space="preserve">2011</w:t>
              </w:r>
            </w:hyperlink>
          </w:p>
        </w:tc>
        <w:tc>
          <w:tcPr>
            <w:tcW w:w="4000" w:type="dxa"/>
          </w:tcPr>
          <w:p>
            <w:pPr>
              <w:pStyle w:val="TableParagraph"/>
              <w:spacing w:line="232" w:lineRule="exact"/>
              <w:ind w:start="108"/>
            </w:pPr>
            <w:r>
              <w:t xml:space="preserve">13,6 </w:t>
            </w:r>
            <w:r>
              <w:t xml:space="preserve">ans </w:t>
            </w:r>
            <w:r>
              <w:t xml:space="preserve">(</w:t>
            </w:r>
            <w:r>
              <w:rPr>
                <w:sz w:val="20"/>
              </w:rPr>
              <w:t xml:space="preserve">±1</w:t>
            </w:r>
            <w:r>
              <w:t xml:space="preserve">,8)</w:t>
            </w:r>
          </w:p>
        </w:tc>
        <w:tc>
          <w:tcPr>
            <w:tcW w:w="113" w:type="dxa"/>
            <w:tcBorders>
              <w:top w:val="nil"/>
              <w:bottom w:val="nil"/>
            </w:tcBorders>
          </w:tcPr>
          <w:p w:rsidR="00432386" w:rsidRDefault="00432386">
            <w:pPr>
              <w:pStyle w:val="TableParagraph"/>
              <w:rPr>
                <w:rFonts w:ascii="Times New Roman"/>
                <w:sz w:val="18"/>
              </w:rPr>
            </w:pPr>
          </w:p>
        </w:tc>
      </w:tr>
      <w:tr w:rsidR="00432386">
        <w:trPr>
          <w:trHeight w:val="506"/>
        </w:trPr>
        <w:tc>
          <w:tcPr>
            <w:tcW w:w="2122" w:type="dxa"/>
            <w:vMerge/>
            <w:tcBorders>
              <w:top w:val="nil"/>
            </w:tcBorders>
          </w:tcPr>
          <w:p w:rsidR="00432386" w:rsidRDefault="00432386">
            <w:pPr>
              <w:rPr>
                <w:sz w:val="2"/>
                <w:szCs w:val="2"/>
              </w:rPr>
            </w:pPr>
          </w:p>
        </w:tc>
        <w:tc>
          <w:tcPr>
            <w:tcW w:w="118" w:type="dxa"/>
            <w:vMerge/>
            <w:tcBorders>
              <w:top w:val="nil"/>
            </w:tcBorders>
          </w:tcPr>
          <w:p w:rsidR="00432386" w:rsidRDefault="00432386">
            <w:pPr>
              <w:rPr>
                <w:sz w:val="2"/>
                <w:szCs w:val="2"/>
              </w:rPr>
            </w:pPr>
          </w:p>
        </w:tc>
        <w:tc>
          <w:tcPr>
            <w:tcW w:w="2718" w:type="dxa"/>
          </w:tcPr>
          <w:p>
            <w:pPr>
              <w:pStyle w:val="TableParagraph"/>
              <w:ind w:start="102"/>
            </w:pPr>
            <w:hyperlink r:id="rId214">
              <w:r>
                <w:rPr>
                  <w:color w:val="0000FF"/>
                  <w:u w:val="single" w:color="0000FF"/>
                </w:rPr>
                <w:t xml:space="preserve">Joseph </w:t>
              </w:r>
              <w:r>
                <w:rPr>
                  <w:color w:val="0000FF"/>
                  <w:u w:val="single" w:color="0000FF"/>
                </w:rPr>
                <w:t xml:space="preserve">et </w:t>
              </w:r>
              <w:r>
                <w:rPr>
                  <w:color w:val="0000FF"/>
                  <w:u w:val="single" w:color="0000FF"/>
                </w:rPr>
                <w:t xml:space="preserve">al. </w:t>
              </w:r>
              <w:r>
                <w:rPr>
                  <w:color w:val="0000FF"/>
                  <w:u w:val="single" w:color="0000FF"/>
                </w:rPr>
                <w:t xml:space="preserve">2019</w:t>
              </w:r>
            </w:hyperlink>
          </w:p>
        </w:tc>
        <w:tc>
          <w:tcPr>
            <w:tcW w:w="4000" w:type="dxa"/>
          </w:tcPr>
          <w:p>
            <w:pPr>
              <w:pStyle w:val="TableParagraph"/>
              <w:ind w:start="108"/>
            </w:pPr>
            <w:r>
              <w:t xml:space="preserve">13,2 </w:t>
            </w:r>
            <w:r>
              <w:t xml:space="preserve">ans </w:t>
            </w:r>
            <w:r>
              <w:t xml:space="preserve">(</w:t>
            </w:r>
            <w:r>
              <w:rPr>
                <w:sz w:val="20"/>
              </w:rPr>
              <w:t xml:space="preserve">±1</w:t>
            </w:r>
            <w:r>
              <w:t xml:space="preserve">,4) </w:t>
            </w:r>
            <w:r>
              <w:t xml:space="preserve">chez les </w:t>
            </w:r>
            <w:r>
              <w:t xml:space="preserve">transfemmes</w:t>
            </w:r>
          </w:p>
          <w:p>
            <w:pPr>
              <w:pStyle w:val="TableParagraph"/>
              <w:spacing w:before="1" w:line="232" w:lineRule="exact"/>
              <w:ind w:start="108"/>
            </w:pPr>
            <w:r>
              <w:t xml:space="preserve">12,6 </w:t>
            </w:r>
            <w:r>
              <w:t xml:space="preserve">ans </w:t>
            </w:r>
            <w:r>
              <w:t xml:space="preserve">(</w:t>
            </w:r>
            <w:r>
              <w:rPr>
                <w:sz w:val="20"/>
              </w:rPr>
              <w:t xml:space="preserve">±1</w:t>
            </w:r>
            <w:r>
              <w:t xml:space="preserve">,0) </w:t>
            </w:r>
            <w:r>
              <w:t xml:space="preserve">chez </w:t>
            </w:r>
            <w:r>
              <w:t xml:space="preserve">les transmales</w:t>
            </w:r>
          </w:p>
        </w:tc>
        <w:tc>
          <w:tcPr>
            <w:tcW w:w="113" w:type="dxa"/>
            <w:tcBorders>
              <w:top w:val="nil"/>
              <w:bottom w:val="nil"/>
            </w:tcBorders>
          </w:tcPr>
          <w:p w:rsidR="00432386" w:rsidRDefault="00432386">
            <w:pPr>
              <w:pStyle w:val="TableParagraph"/>
              <w:rPr>
                <w:rFonts w:ascii="Times New Roman"/>
              </w:rPr>
            </w:pPr>
          </w:p>
        </w:tc>
      </w:tr>
      <w:tr w:rsidR="00432386">
        <w:trPr>
          <w:trHeight w:val="501"/>
        </w:trPr>
        <w:tc>
          <w:tcPr>
            <w:tcW w:w="2122" w:type="dxa"/>
            <w:vMerge/>
            <w:tcBorders>
              <w:top w:val="nil"/>
            </w:tcBorders>
          </w:tcPr>
          <w:p w:rsidR="00432386" w:rsidRDefault="00432386">
            <w:pPr>
              <w:rPr>
                <w:sz w:val="2"/>
                <w:szCs w:val="2"/>
              </w:rPr>
            </w:pPr>
          </w:p>
        </w:tc>
        <w:tc>
          <w:tcPr>
            <w:tcW w:w="118" w:type="dxa"/>
            <w:vMerge/>
            <w:tcBorders>
              <w:top w:val="nil"/>
            </w:tcBorders>
          </w:tcPr>
          <w:p w:rsidR="00432386" w:rsidRDefault="00432386">
            <w:pPr>
              <w:rPr>
                <w:sz w:val="2"/>
                <w:szCs w:val="2"/>
              </w:rPr>
            </w:pPr>
          </w:p>
        </w:tc>
        <w:tc>
          <w:tcPr>
            <w:tcW w:w="2718" w:type="dxa"/>
            <w:tcBorders>
              <w:bottom w:val="double" w:color="000000" w:sz="4" w:space="0"/>
            </w:tcBorders>
          </w:tcPr>
          <w:p>
            <w:pPr>
              <w:pStyle w:val="TableParagraph"/>
              <w:tabs>
                <w:tab w:val="left" w:pos="1920"/>
                <w:tab w:val="left" w:pos="2376"/>
              </w:tabs>
              <w:spacing w:line="254" w:lineRule="exact"/>
              <w:ind w:start="102" w:end="97"/>
            </w:pPr>
            <w:hyperlink r:id="rId215">
              <w:r>
                <w:rPr>
                  <w:color w:val="0000FF"/>
                  <w:u w:val="single" w:color="0000FF"/>
                </w:rPr>
                <w:t xml:space="preserve">Khatchadourianet</w:t>
              </w:r>
              <w:r>
                <w:rPr>
                  <w:color w:val="0000FF"/>
                  <w:u w:val="single" w:color="0000FF"/>
                </w:rPr>
                <w:tab/>
              </w:r>
              <w:r>
                <w:rPr>
                  <w:color w:val="0000FF"/>
                  <w:spacing w:val="-2"/>
                  <w:u w:val="single" w:color="0000FF"/>
                </w:rPr>
                <w:t xml:space="preserve">al. </w:t>
              </w:r>
            </w:hyperlink>
            <w:hyperlink r:id="rId216">
              <w:r>
                <w:rPr>
                  <w:color w:val="0000FF"/>
                  <w:u w:val="single" w:color="0000FF"/>
                </w:rPr>
                <w:t xml:space="preserve">2014</w:t>
              </w:r>
            </w:hyperlink>
          </w:p>
        </w:tc>
        <w:tc>
          <w:tcPr>
            <w:tcW w:w="4000" w:type="dxa"/>
            <w:tcBorders>
              <w:bottom w:val="double" w:color="000000" w:sz="4" w:space="0"/>
            </w:tcBorders>
          </w:tcPr>
          <w:p>
            <w:pPr>
              <w:pStyle w:val="TableParagraph"/>
              <w:spacing w:line="253" w:lineRule="exact"/>
              <w:ind w:start="108"/>
            </w:pPr>
            <w:r>
              <w:t xml:space="preserve">14,7 </w:t>
            </w:r>
            <w:r>
              <w:t xml:space="preserve">ans </w:t>
            </w:r>
            <w:r>
              <w:t xml:space="preserve">(</w:t>
            </w:r>
            <w:r>
              <w:rPr>
                <w:sz w:val="20"/>
              </w:rPr>
              <w:t xml:space="preserve">±1</w:t>
            </w:r>
            <w:r>
              <w:t xml:space="preserve">,9)</w:t>
            </w:r>
          </w:p>
        </w:tc>
        <w:tc>
          <w:tcPr>
            <w:tcW w:w="113" w:type="dxa"/>
            <w:tcBorders>
              <w:top w:val="nil"/>
            </w:tcBorders>
          </w:tcPr>
          <w:p w:rsidR="00432386" w:rsidRDefault="00432386">
            <w:pPr>
              <w:pStyle w:val="TableParagraph"/>
              <w:rPr>
                <w:rFonts w:ascii="Times New Roman"/>
              </w:rPr>
            </w:pPr>
          </w:p>
        </w:tc>
      </w:tr>
    </w:tbl>
    <w:p w:rsidR="00432386" w:rsidRDefault="00432386">
      <w:pPr>
        <w:rPr>
          <w:rFonts w:ascii="Times New Roman"/>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122"/>
        <w:gridCol w:w="113"/>
        <w:gridCol w:w="2722"/>
        <w:gridCol w:w="3999"/>
        <w:gridCol w:w="112"/>
      </w:tblGrid>
      <w:tr w:rsidR="00432386">
        <w:trPr>
          <w:trHeight w:val="510"/>
        </w:trPr>
        <w:tc>
          <w:tcPr>
            <w:tcW w:w="2122" w:type="dxa"/>
            <w:vMerge w:val="restart"/>
          </w:tcPr>
          <w:p w:rsidR="00432386" w:rsidRDefault="00432386">
            <w:pPr>
              <w:pStyle w:val="TableParagraph"/>
              <w:rPr>
                <w:rFonts w:ascii="Times New Roman"/>
              </w:rPr>
            </w:pPr>
          </w:p>
        </w:tc>
        <w:tc>
          <w:tcPr>
            <w:tcW w:w="113" w:type="dxa"/>
            <w:tcBorders>
              <w:bottom w:val="nil"/>
            </w:tcBorders>
          </w:tcPr>
          <w:p w:rsidR="00432386" w:rsidRDefault="00432386">
            <w:pPr>
              <w:pStyle w:val="TableParagraph"/>
              <w:rPr>
                <w:rFonts w:ascii="Times New Roman"/>
              </w:rPr>
            </w:pPr>
          </w:p>
        </w:tc>
        <w:tc>
          <w:tcPr>
            <w:tcW w:w="2722" w:type="dxa"/>
            <w:tcBorders>
              <w:top w:val="single" w:color="000000" w:sz="8" w:space="0"/>
            </w:tcBorders>
          </w:tcPr>
          <w:p>
            <w:pPr>
              <w:pStyle w:val="TableParagraph"/>
              <w:spacing w:line="251" w:lineRule="exact"/>
              <w:ind w:start="107"/>
            </w:pPr>
            <w:r>
              <w:t xml:space="preserve">Klink </w:t>
            </w:r>
            <w:r>
              <w:t xml:space="preserve">et al. </w:t>
            </w:r>
            <w:r>
              <w:t xml:space="preserve">2015</w:t>
            </w:r>
          </w:p>
        </w:tc>
        <w:tc>
          <w:tcPr>
            <w:tcW w:w="3999" w:type="dxa"/>
            <w:tcBorders>
              <w:top w:val="single" w:color="000000" w:sz="8" w:space="0"/>
            </w:tcBorders>
          </w:tcPr>
          <w:p>
            <w:pPr>
              <w:pStyle w:val="TableParagraph"/>
              <w:spacing w:line="251" w:lineRule="exact"/>
              <w:ind w:start="109"/>
            </w:pPr>
            <w:r>
              <w:t xml:space="preserve">14,9 </w:t>
            </w:r>
            <w:r>
              <w:t xml:space="preserve">ans </w:t>
            </w:r>
            <w:r>
              <w:t xml:space="preserve">(</w:t>
            </w:r>
            <w:r>
              <w:rPr>
                <w:sz w:val="20"/>
              </w:rPr>
              <w:t xml:space="preserve">±1</w:t>
            </w:r>
            <w:r>
              <w:t xml:space="preserve">,9) </w:t>
            </w:r>
            <w:r>
              <w:t xml:space="preserve">chez les </w:t>
            </w:r>
            <w:r>
              <w:t xml:space="preserve">transfemmes</w:t>
            </w:r>
          </w:p>
          <w:p>
            <w:pPr>
              <w:pStyle w:val="TableParagraph"/>
              <w:spacing w:line="240" w:lineRule="exact"/>
              <w:ind w:start="109"/>
            </w:pPr>
            <w:r>
              <w:t xml:space="preserve">15,0 </w:t>
            </w:r>
            <w:r>
              <w:t xml:space="preserve">ans </w:t>
            </w:r>
            <w:r>
              <w:t xml:space="preserve">(</w:t>
            </w:r>
            <w:r>
              <w:rPr>
                <w:sz w:val="20"/>
              </w:rPr>
              <w:t xml:space="preserve">±2</w:t>
            </w:r>
            <w:r>
              <w:t xml:space="preserve">,0) </w:t>
            </w:r>
            <w:r>
              <w:t xml:space="preserve">chez </w:t>
            </w:r>
            <w:r>
              <w:t xml:space="preserve">les transmales</w:t>
            </w:r>
          </w:p>
        </w:tc>
        <w:tc>
          <w:tcPr>
            <w:tcW w:w="112" w:type="dxa"/>
            <w:tcBorders>
              <w:bottom w:val="nil"/>
            </w:tcBorders>
          </w:tcPr>
          <w:p w:rsidR="00432386" w:rsidRDefault="00432386">
            <w:pPr>
              <w:pStyle w:val="TableParagraph"/>
              <w:rPr>
                <w:rFonts w:ascii="Times New Roman"/>
              </w:rPr>
            </w:pPr>
          </w:p>
        </w:tc>
      </w:tr>
      <w:tr w:rsidR="00432386">
        <w:trPr>
          <w:trHeight w:val="4097"/>
        </w:trPr>
        <w:tc>
          <w:tcPr>
            <w:tcW w:w="2122" w:type="dxa"/>
            <w:vMerge/>
            <w:tcBorders>
              <w:top w:val="nil"/>
            </w:tcBorders>
          </w:tcPr>
          <w:p w:rsidR="00432386" w:rsidRDefault="00432386">
            <w:pPr>
              <w:rPr>
                <w:sz w:val="2"/>
                <w:szCs w:val="2"/>
              </w:rPr>
            </w:pPr>
          </w:p>
        </w:tc>
        <w:tc>
          <w:tcPr>
            <w:tcW w:w="6946" w:type="dxa"/>
            <w:gridSpan w:val="4"/>
          </w:tcPr>
          <w:p w:rsidR="00432386" w:rsidRDefault="00432386">
            <w:pPr>
              <w:pStyle w:val="TableParagraph"/>
              <w:spacing w:before="4"/>
              <w:rPr>
                <w:b/>
              </w:rPr>
            </w:pPr>
          </w:p>
          <w:p>
            <w:pPr>
              <w:pStyle w:val="TableParagraph"/>
              <w:tabs>
                <w:tab w:val="left" w:pos="2944"/>
              </w:tabs>
              <w:spacing w:before="1"/>
              <w:ind w:start="220"/>
              <w:rPr>
                <w:b/>
              </w:rPr>
            </w:pPr>
            <w:r>
              <w:rPr>
                <w:b/>
              </w:rPr>
              <w:t xml:space="preserve">ÉtudeAge</w:t>
            </w:r>
            <w:r>
              <w:rPr>
                <w:b/>
              </w:rPr>
              <w:t xml:space="preserve"> moyen </w:t>
            </w:r>
            <w:r>
              <w:rPr>
                <w:b/>
              </w:rPr>
              <w:t xml:space="preserve">(fourchette)</w:t>
            </w:r>
          </w:p>
          <w:p>
            <w:pPr>
              <w:pStyle w:val="TableParagraph"/>
              <w:tabs>
                <w:tab w:val="left" w:pos="2944"/>
              </w:tabs>
              <w:spacing w:before="8"/>
              <w:ind w:start="220"/>
            </w:pPr>
            <w:r>
              <w:t xml:space="preserve">Brik </w:t>
            </w:r>
            <w:r>
              <w:t xml:space="preserve">et </w:t>
            </w:r>
            <w:r>
              <w:t xml:space="preserve">al. </w:t>
            </w:r>
            <w:r>
              <w:t xml:space="preserve">202015</w:t>
            </w:r>
            <w:r>
              <w:tab/>
              <w:t xml:space="preserve">,5 </w:t>
            </w:r>
            <w:r>
              <w:t xml:space="preserve">ans </w:t>
            </w:r>
            <w:r>
              <w:t xml:space="preserve">(11,1-18,6) </w:t>
            </w:r>
            <w:r>
              <w:t xml:space="preserve">chez les </w:t>
            </w:r>
            <w:r>
              <w:t xml:space="preserve">transfemmes</w:t>
            </w:r>
          </w:p>
          <w:p>
            <w:pPr>
              <w:pStyle w:val="TableParagraph"/>
              <w:tabs>
                <w:tab w:val="left" w:pos="2944"/>
              </w:tabs>
              <w:spacing w:before="2" w:line="247" w:lineRule="auto"/>
              <w:ind w:start="220" w:end="233" w:firstLine="2724"/>
            </w:pPr>
            <w:r>
              <w:t xml:space="preserve">16,1 ans (10,1-17,9) chez les transmales </w:t>
            </w:r>
            <w:r>
              <w:t xml:space="preserve">Schagen </w:t>
            </w:r>
            <w:r>
              <w:t xml:space="preserve">et </w:t>
            </w:r>
            <w:r>
              <w:t xml:space="preserve">al. </w:t>
            </w:r>
            <w:r>
              <w:t xml:space="preserve">201613</w:t>
            </w:r>
            <w:r>
              <w:tab/>
              <w:t xml:space="preserve">,6 </w:t>
            </w:r>
            <w:r>
              <w:t xml:space="preserve">ans </w:t>
            </w:r>
            <w:r>
              <w:t xml:space="preserve">(11,6-17,9) </w:t>
            </w:r>
            <w:r>
              <w:t xml:space="preserve">chez les </w:t>
            </w:r>
            <w:r>
              <w:t xml:space="preserve">transfemales</w:t>
            </w:r>
          </w:p>
          <w:p>
            <w:pPr>
              <w:pStyle w:val="TableParagraph"/>
              <w:tabs>
                <w:tab w:val="left" w:pos="2944"/>
              </w:tabs>
              <w:spacing w:line="247" w:lineRule="auto"/>
              <w:ind w:start="220" w:end="233" w:firstLine="2724"/>
            </w:pPr>
            <w:r>
              <w:t xml:space="preserve">14,2 ans (11,1-18,6) chez les transmales </w:t>
            </w:r>
            <w:r>
              <w:t xml:space="preserve">Vlot </w:t>
            </w:r>
            <w:r>
              <w:t xml:space="preserve">et </w:t>
            </w:r>
            <w:r>
              <w:t xml:space="preserve">al. </w:t>
            </w:r>
            <w:r>
              <w:t xml:space="preserve">201713</w:t>
            </w:r>
            <w:r>
              <w:tab/>
              <w:t xml:space="preserve">,5 </w:t>
            </w:r>
            <w:r>
              <w:t xml:space="preserve">ans </w:t>
            </w:r>
            <w:r>
              <w:t xml:space="preserve">(11,5-18,3) </w:t>
            </w:r>
            <w:r>
              <w:t xml:space="preserve">chez les </w:t>
            </w:r>
            <w:r>
              <w:t xml:space="preserve">transfemales</w:t>
            </w:r>
          </w:p>
          <w:p>
            <w:pPr>
              <w:pStyle w:val="TableParagraph"/>
              <w:spacing w:line="248" w:lineRule="exact"/>
              <w:ind w:start="2944"/>
            </w:pPr>
            <w:r>
              <w:t xml:space="preserve">15,1 </w:t>
            </w:r>
            <w:r>
              <w:t xml:space="preserve">ans </w:t>
            </w:r>
            <w:r>
              <w:t xml:space="preserve">(11,7-18,6) </w:t>
            </w:r>
            <w:r>
              <w:t xml:space="preserve">chez les </w:t>
            </w:r>
            <w:r>
              <w:t xml:space="preserve">transmales</w:t>
            </w:r>
          </w:p>
          <w:p w:rsidR="00432386" w:rsidRDefault="00432386">
            <w:pPr>
              <w:pStyle w:val="TableParagraph"/>
              <w:spacing w:before="2"/>
              <w:rPr>
                <w:b/>
              </w:rPr>
            </w:pPr>
          </w:p>
          <w:p>
            <w:pPr>
              <w:pStyle w:val="TableParagraph"/>
              <w:ind w:start="107" w:end="95"/>
              <w:jc w:val="both"/>
            </w:pPr>
            <w:r>
              <w:t xml:space="preserve">L'âge au début de la prise d'analogues de la GnRH n'a pas été signalé dans Staphorsius </w:t>
            </w:r>
            <w:r>
              <w:t xml:space="preserve">et al. 2015, mais les participants devaient être âgés d'au moins 12 ans </w:t>
            </w:r>
            <w:r>
              <w:rPr>
                <w:b/>
              </w:rPr>
              <w:t xml:space="preserve">(TRÈS </w:t>
            </w:r>
            <w:r>
              <w:rPr>
                <w:b/>
              </w:rPr>
              <w:t xml:space="preserve">FAIBLE)</w:t>
            </w:r>
            <w:r>
              <w:t xml:space="preserve">.</w:t>
            </w:r>
          </w:p>
          <w:p w:rsidR="00432386" w:rsidRDefault="00432386">
            <w:pPr>
              <w:pStyle w:val="TableParagraph"/>
              <w:spacing w:before="1"/>
              <w:rPr>
                <w:b/>
              </w:rPr>
            </w:pPr>
          </w:p>
          <w:p>
            <w:pPr>
              <w:pStyle w:val="TableParagraph"/>
              <w:ind w:start="107"/>
              <w:rPr>
                <w:b/>
              </w:rPr>
            </w:pPr>
            <w:r>
              <w:rPr>
                <w:b/>
              </w:rPr>
              <w:t xml:space="preserve">Les </w:t>
            </w:r>
            <w:r>
              <w:rPr>
                <w:b/>
              </w:rPr>
              <w:t xml:space="preserve">données probantes </w:t>
            </w:r>
            <w:r>
              <w:rPr>
                <w:b/>
              </w:rPr>
              <w:t xml:space="preserve">incluses </w:t>
            </w:r>
            <w:r>
              <w:rPr>
                <w:b/>
              </w:rPr>
              <w:t xml:space="preserve">ont montré </w:t>
            </w:r>
            <w:r>
              <w:rPr>
                <w:b/>
              </w:rPr>
              <w:t xml:space="preserve">une grande </w:t>
            </w:r>
            <w:r>
              <w:rPr>
                <w:b/>
              </w:rPr>
              <w:t xml:space="preserve">variation </w:t>
            </w:r>
            <w:r>
              <w:rPr>
                <w:b/>
              </w:rPr>
              <w:t xml:space="preserve">dans </w:t>
            </w:r>
            <w:r>
              <w:rPr>
                <w:b/>
              </w:rPr>
              <w:t xml:space="preserve">l'</w:t>
            </w:r>
            <w:r>
              <w:rPr>
                <w:b/>
              </w:rPr>
              <w:t xml:space="preserve">âge </w:t>
            </w:r>
            <w:r>
              <w:rPr>
                <w:b/>
              </w:rPr>
              <w:t xml:space="preserve">(11 </w:t>
            </w:r>
            <w:r>
              <w:rPr>
                <w:b/>
              </w:rPr>
              <w:t xml:space="preserve">à </w:t>
            </w:r>
            <w:r>
              <w:rPr>
                <w:b/>
              </w:rPr>
              <w:t xml:space="preserve">18 ans).</w:t>
            </w:r>
          </w:p>
          <w:p>
            <w:pPr>
              <w:pStyle w:val="TableParagraph"/>
              <w:spacing w:line="252" w:lineRule="exact"/>
              <w:ind w:start="107"/>
              <w:rPr>
                <w:b/>
              </w:rPr>
            </w:pPr>
            <w:r>
              <w:rPr>
                <w:b/>
              </w:rPr>
              <w:t xml:space="preserve">ans</w:t>
            </w:r>
            <w:r>
              <w:rPr>
                <w:b/>
              </w:rPr>
              <w:t xml:space="preserve">) </w:t>
            </w:r>
            <w:r>
              <w:rPr>
                <w:b/>
              </w:rPr>
              <w:t xml:space="preserve">à </w:t>
            </w:r>
            <w:r>
              <w:rPr>
                <w:b/>
              </w:rPr>
              <w:t xml:space="preserve">laquelle les </w:t>
            </w:r>
            <w:r>
              <w:rPr>
                <w:b/>
              </w:rPr>
              <w:t xml:space="preserve">enfants </w:t>
            </w:r>
            <w:r>
              <w:rPr>
                <w:b/>
              </w:rPr>
              <w:t xml:space="preserve">et les </w:t>
            </w:r>
            <w:r>
              <w:rPr>
                <w:b/>
              </w:rPr>
              <w:t xml:space="preserve">adolescents </w:t>
            </w:r>
            <w:r>
              <w:rPr>
                <w:b/>
              </w:rPr>
              <w:t xml:space="preserve">atteints de </w:t>
            </w:r>
            <w:r>
              <w:rPr>
                <w:b/>
              </w:rPr>
              <w:t xml:space="preserve">dysphorie de </w:t>
            </w:r>
            <w:r>
              <w:rPr>
                <w:b/>
              </w:rPr>
              <w:t xml:space="preserve">genre </w:t>
            </w:r>
            <w:r>
              <w:rPr>
                <w:b/>
              </w:rPr>
              <w:t xml:space="preserve">ont commencé à prendre des </w:t>
            </w:r>
            <w:r>
              <w:rPr>
                <w:b/>
              </w:rPr>
              <w:t xml:space="preserve">analogues de la GnRH.</w:t>
            </w:r>
          </w:p>
        </w:tc>
      </w:tr>
      <w:tr w:rsidR="00432386">
        <w:trPr>
          <w:trHeight w:val="4080"/>
        </w:trPr>
        <w:tc>
          <w:tcPr>
            <w:tcW w:w="2122" w:type="dxa"/>
          </w:tcPr>
          <w:p>
            <w:pPr>
              <w:pStyle w:val="TableParagraph"/>
              <w:ind w:start="107" w:end="811"/>
              <w:rPr>
                <w:b/>
              </w:rPr>
            </w:pPr>
            <w:r>
              <w:rPr>
                <w:b/>
              </w:rPr>
              <w:t xml:space="preserve">Durée du </w:t>
            </w:r>
            <w:r>
              <w:rPr>
                <w:b/>
              </w:rPr>
              <w:t xml:space="preserve">traitement</w:t>
            </w:r>
          </w:p>
        </w:tc>
        <w:tc>
          <w:tcPr>
            <w:tcW w:w="6946" w:type="dxa"/>
            <w:gridSpan w:val="4"/>
          </w:tcPr>
          <w:p>
            <w:pPr>
              <w:pStyle w:val="TableParagraph"/>
              <w:ind w:start="107"/>
            </w:pPr>
            <w:r>
              <w:t xml:space="preserve">La </w:t>
            </w:r>
            <w:r>
              <w:t xml:space="preserve">durée </w:t>
            </w:r>
            <w:r>
              <w:t xml:space="preserve">du </w:t>
            </w:r>
            <w:r>
              <w:t xml:space="preserve">traitement </w:t>
            </w:r>
            <w:r>
              <w:t xml:space="preserve">par les </w:t>
            </w:r>
            <w:r>
              <w:t xml:space="preserve">analogues de la </w:t>
            </w:r>
            <w:r>
              <w:t xml:space="preserve">GnRH </w:t>
            </w:r>
            <w:r>
              <w:t xml:space="preserve">a été </w:t>
            </w:r>
            <w:r>
              <w:t xml:space="preserve">rapportée </w:t>
            </w:r>
            <w:r>
              <w:t xml:space="preserve">dans </w:t>
            </w:r>
            <w:r>
              <w:t xml:space="preserve">3/9 </w:t>
            </w:r>
            <w:r>
              <w:t xml:space="preserve">études. </w:t>
            </w:r>
            <w:r>
              <w:t xml:space="preserve">La </w:t>
            </w:r>
            <w:r>
              <w:t xml:space="preserve">durée médiane était de :</w:t>
            </w:r>
          </w:p>
          <w:p>
            <w:pPr>
              <w:pStyle w:val="TableParagraph"/>
              <w:numPr>
                <w:ilvl w:val="0"/>
                <w:numId w:val="145"/>
              </w:numPr>
              <w:tabs>
                <w:tab w:val="left" w:pos="827"/>
                <w:tab w:val="left" w:pos="828"/>
              </w:tabs>
              <w:spacing w:line="268" w:lineRule="exact"/>
              <w:ind w:hanging="361"/>
            </w:pPr>
            <w:r>
              <w:t xml:space="preserve">2,1 </w:t>
            </w:r>
            <w:r>
              <w:t xml:space="preserve">ans </w:t>
            </w:r>
            <w:r>
              <w:t xml:space="preserve">(fourchette </w:t>
            </w:r>
            <w:r>
              <w:t xml:space="preserve">1,6-2,8) </w:t>
            </w:r>
            <w:r>
              <w:t xml:space="preserve">dans </w:t>
            </w:r>
            <w:r>
              <w:t xml:space="preserve">Brik </w:t>
            </w:r>
            <w:r>
              <w:t xml:space="preserve">et </w:t>
            </w:r>
            <w:r>
              <w:t xml:space="preserve">al. </w:t>
            </w:r>
            <w:r>
              <w:t xml:space="preserve">2020.</w:t>
            </w:r>
          </w:p>
          <w:p>
            <w:pPr>
              <w:pStyle w:val="TableParagraph"/>
              <w:numPr>
                <w:ilvl w:val="0"/>
                <w:numId w:val="145"/>
              </w:numPr>
              <w:tabs>
                <w:tab w:val="left" w:pos="827"/>
                <w:tab w:val="left" w:pos="828"/>
              </w:tabs>
              <w:spacing w:line="237" w:lineRule="auto"/>
              <w:ind w:end="92"/>
            </w:pPr>
            <w:r>
              <w:rPr>
                <w:spacing w:val="-1"/>
              </w:rPr>
              <w:t xml:space="preserve">1,3 </w:t>
            </w:r>
            <w:r>
              <w:rPr>
                <w:spacing w:val="-1"/>
              </w:rPr>
              <w:t xml:space="preserve">ans </w:t>
            </w:r>
            <w:r>
              <w:rPr>
                <w:spacing w:val="-1"/>
              </w:rPr>
              <w:t xml:space="preserve">(fourchette de </w:t>
            </w:r>
            <w:r>
              <w:rPr>
                <w:spacing w:val="-1"/>
              </w:rPr>
              <w:t xml:space="preserve">0,5 à 3,8) </w:t>
            </w:r>
            <w:r>
              <w:t xml:space="preserve">chez les </w:t>
            </w:r>
            <w:r>
              <w:t xml:space="preserve">transfemmes </w:t>
            </w:r>
            <w:r>
              <w:t xml:space="preserve">et </w:t>
            </w:r>
            <w:r>
              <w:t xml:space="preserve">1,5 </w:t>
            </w:r>
            <w:r>
              <w:t xml:space="preserve">ans </w:t>
            </w:r>
            <w:r>
              <w:t xml:space="preserve">(fourchette de </w:t>
            </w:r>
            <w:r>
              <w:t xml:space="preserve">0,25 à 5,2) chez les </w:t>
            </w:r>
            <w:r>
              <w:t xml:space="preserve">transmales </w:t>
            </w:r>
            <w:r>
              <w:t xml:space="preserve">dans Klink </w:t>
            </w:r>
            <w:r>
              <w:t xml:space="preserve">et </w:t>
            </w:r>
            <w:r>
              <w:t xml:space="preserve">al. </w:t>
            </w:r>
            <w:r>
              <w:t xml:space="preserve">2015.</w:t>
            </w:r>
          </w:p>
          <w:p w:rsidR="00432386" w:rsidRDefault="00432386">
            <w:pPr>
              <w:pStyle w:val="TableParagraph"/>
              <w:spacing w:before="8"/>
              <w:rPr>
                <w:b/>
                <w:sz w:val="21"/>
              </w:rPr>
            </w:pPr>
          </w:p>
          <w:p>
            <w:pPr>
              <w:pStyle w:val="TableParagraph"/>
              <w:ind w:start="107"/>
            </w:pPr>
            <w:r>
              <w:rPr>
                <w:spacing w:val="-1"/>
              </w:rPr>
              <w:t xml:space="preserve">Dans l'étude de </w:t>
            </w:r>
            <w:r>
              <w:rPr>
                <w:spacing w:val="-1"/>
              </w:rPr>
              <w:t xml:space="preserve">Staphorsius </w:t>
            </w:r>
            <w:r>
              <w:t xml:space="preserve">et </w:t>
            </w:r>
            <w:r>
              <w:t xml:space="preserve">al. </w:t>
            </w:r>
            <w:r>
              <w:t xml:space="preserve">2015, </w:t>
            </w:r>
            <w:r>
              <w:t xml:space="preserve">la </w:t>
            </w:r>
            <w:r>
              <w:t xml:space="preserve">durée </w:t>
            </w:r>
            <w:r>
              <w:t xml:space="preserve">moyenne </w:t>
            </w:r>
            <w:r>
              <w:t xml:space="preserve">était de </w:t>
            </w:r>
            <w:r>
              <w:t xml:space="preserve">1,6 </w:t>
            </w:r>
            <w:r>
              <w:t xml:space="preserve">an </w:t>
            </w:r>
            <w:r>
              <w:t xml:space="preserve">(écart-type </w:t>
            </w:r>
            <w:r>
              <w:rPr>
                <w:sz w:val="20"/>
              </w:rPr>
              <w:t xml:space="preserve">±1</w:t>
            </w:r>
            <w:r>
              <w:t xml:space="preserve">,0).</w:t>
            </w:r>
          </w:p>
          <w:p w:rsidR="00432386" w:rsidRDefault="00432386">
            <w:pPr>
              <w:pStyle w:val="TableParagraph"/>
              <w:spacing w:before="1"/>
              <w:rPr>
                <w:b/>
              </w:rPr>
            </w:pPr>
          </w:p>
          <w:p>
            <w:pPr>
              <w:pStyle w:val="TableParagraph"/>
              <w:ind w:start="107"/>
            </w:pPr>
            <w:r>
              <w:t xml:space="preserve">Dans l'étude </w:t>
            </w:r>
            <w:r>
              <w:t xml:space="preserve">de de </w:t>
            </w:r>
            <w:r>
              <w:t xml:space="preserve">Vries </w:t>
            </w:r>
            <w:r>
              <w:t xml:space="preserve">et </w:t>
            </w:r>
            <w:r>
              <w:t xml:space="preserve">al. </w:t>
            </w:r>
            <w:r>
              <w:t xml:space="preserve">2011, </w:t>
            </w:r>
            <w:r>
              <w:t xml:space="preserve">la </w:t>
            </w:r>
            <w:r>
              <w:t xml:space="preserve">durée </w:t>
            </w:r>
            <w:r>
              <w:t xml:space="preserve">moyenne </w:t>
            </w:r>
            <w:r>
              <w:t xml:space="preserve">entre le </w:t>
            </w:r>
            <w:r>
              <w:t xml:space="preserve">début de l'administration d'</w:t>
            </w:r>
            <w:r>
              <w:t xml:space="preserve">analogues de la </w:t>
            </w:r>
            <w:r>
              <w:t xml:space="preserve">GnRH </w:t>
            </w:r>
            <w:r>
              <w:t xml:space="preserve">et d'</w:t>
            </w:r>
            <w:r>
              <w:t xml:space="preserve">hormones </w:t>
            </w:r>
            <w:r>
              <w:t xml:space="preserve">d'affirmation du genre </w:t>
            </w:r>
            <w:r>
              <w:t xml:space="preserve">était de </w:t>
            </w:r>
            <w:r>
              <w:t xml:space="preserve">1,88 </w:t>
            </w:r>
            <w:r>
              <w:t xml:space="preserve">an </w:t>
            </w:r>
            <w:r>
              <w:t xml:space="preserve">(écart type).</w:t>
            </w:r>
          </w:p>
          <w:p>
            <w:pPr>
              <w:pStyle w:val="TableParagraph"/>
              <w:ind w:start="107"/>
            </w:pPr>
            <w:r>
              <w:rPr>
                <w:sz w:val="20"/>
              </w:rPr>
              <w:t xml:space="preserve">±1</w:t>
            </w:r>
            <w:r>
              <w:t xml:space="preserve">.05).</w:t>
            </w:r>
          </w:p>
          <w:p w:rsidR="00432386" w:rsidRDefault="00432386">
            <w:pPr>
              <w:pStyle w:val="TableParagraph"/>
              <w:spacing w:before="1"/>
              <w:rPr>
                <w:b/>
              </w:rPr>
            </w:pPr>
          </w:p>
          <w:p>
            <w:pPr>
              <w:pStyle w:val="TableParagraph"/>
              <w:ind w:start="107" w:end="95"/>
              <w:jc w:val="both"/>
              <w:rPr>
                <w:b/>
              </w:rPr>
            </w:pPr>
            <w:r>
              <w:rPr>
                <w:b/>
              </w:rPr>
              <w:t xml:space="preserve">Les </w:t>
            </w:r>
            <w:r>
              <w:rPr>
                <w:b/>
              </w:rPr>
              <w:t xml:space="preserve">preuves incluses ont montré une grande variation dans la durée du </w:t>
            </w:r>
            <w:r>
              <w:rPr>
                <w:b/>
              </w:rPr>
              <w:t xml:space="preserve">traitement par les analogues de la GnRH, mais la plupart des études n'ont pas rapporté </w:t>
            </w:r>
            <w:r>
              <w:rPr>
                <w:b/>
              </w:rPr>
              <w:t xml:space="preserve">cette </w:t>
            </w:r>
            <w:r>
              <w:rPr>
                <w:b/>
              </w:rPr>
              <w:t xml:space="preserve">information. </w:t>
            </w:r>
            <w:r>
              <w:rPr>
                <w:b/>
              </w:rPr>
              <w:t xml:space="preserve">La </w:t>
            </w:r>
            <w:r>
              <w:rPr>
                <w:b/>
              </w:rPr>
              <w:t xml:space="preserve">durée du </w:t>
            </w:r>
            <w:r>
              <w:rPr>
                <w:b/>
              </w:rPr>
              <w:t xml:space="preserve">traitement </w:t>
            </w:r>
            <w:r>
              <w:rPr>
                <w:b/>
              </w:rPr>
              <w:t xml:space="preserve">variait </w:t>
            </w:r>
            <w:r>
              <w:rPr>
                <w:b/>
              </w:rPr>
              <w:t xml:space="preserve">de </w:t>
            </w:r>
            <w:r>
              <w:rPr>
                <w:b/>
              </w:rPr>
              <w:t xml:space="preserve">quelques </w:t>
            </w:r>
            <w:r>
              <w:rPr>
                <w:b/>
              </w:rPr>
              <w:t xml:space="preserve">mois</w:t>
            </w:r>
          </w:p>
          <w:p>
            <w:pPr>
              <w:pStyle w:val="TableParagraph"/>
              <w:spacing w:line="240" w:lineRule="exact"/>
              <w:ind w:start="107"/>
              <w:jc w:val="both"/>
              <w:rPr>
                <w:b/>
              </w:rPr>
            </w:pPr>
            <w:r>
              <w:rPr>
                <w:b/>
              </w:rPr>
              <w:t xml:space="preserve">jusqu'</w:t>
            </w:r>
            <w:r>
              <w:rPr>
                <w:b/>
              </w:rPr>
              <w:t xml:space="preserve">à </w:t>
            </w:r>
            <w:r>
              <w:rPr>
                <w:b/>
              </w:rPr>
              <w:t xml:space="preserve">environ </w:t>
            </w:r>
            <w:r>
              <w:rPr>
                <w:b/>
              </w:rPr>
              <w:t xml:space="preserve">5 </w:t>
            </w:r>
            <w:r>
              <w:rPr>
                <w:b/>
              </w:rPr>
              <w:t xml:space="preserve">ans.</w:t>
            </w:r>
          </w:p>
        </w:tc>
      </w:tr>
    </w:tbl>
    <w:p>
      <w:pPr>
        <w:pStyle w:val="Corpsdetexte"/>
        <w:spacing w:before="0"/>
      </w:pPr>
      <w:r>
        <w:pict>
          <v:shape id="docshape4" style="position:absolute;left:0;text-align:left;margin-left:183.75pt;margin-top:103.2pt;width:335.15pt;height:91.1pt;z-index:-23843328;mso-position-horizontal-relative:page;mso-position-vertical-relative:page" coordsize="6703,1822" coordorigin="3675,2064" o:spid="_x0000_s1045" fillcolor="black" stroked="f" o:spt="100" adj="0,,0" path="m6397,2064r-2713,l3675,2064r,10l3675,2328r,10l3675,2844r,10l3675,3360r,10l3675,3876r,10l3684,3886r2713,l6397,3876r-2713,l3684,3370r2713,l6397,3360r-2713,l3684,2854r2713,l6397,2844r-2713,l3684,2338r2713,l6397,2328r-2713,l3684,2074r2713,l6397,2064xm10377,2064r-9,l10368,2074r,254l10368,2338r,506l10368,2854r,506l10368,3370r,506l6407,3876r,-506l10368,3370r,-10l6407,3360r,-506l10368,2854r,-10l6407,2844r,-506l10368,2338r,-10l6407,2328r,-254l10368,2074r,-10l6407,2064r-10,l6397,2074r,254l6397,2338r,506l6397,2854r,506l6397,3370r,506l6397,3886r10,l10368,3886r9,l10377,3876r,-506l10377,3360r,-506l10377,2844r,-506l10377,2328r,-254l10377,2064xe">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5" style="position:absolute;left:0;text-align:left;margin-left:184pt;margin-top:90.35pt;width:334.65pt;height:103.6pt;z-index:15730176;mso-position-horizontal-relative:page;mso-position-vertical-relative:page" o:spid="_x0000_s1044" filled="f" stroked="f" type="#_x0000_t202">
            <v:textbox inset="0,0,0,0">
              <w:txbxContent>
                <w:tbl>
                  <w:tblPr>
                    <w:tblStyle w:val="TableNormal"/>
                    <w:tblW w:w="0" w:type="auto"/>
                    <w:tblInd w:w="7" w:type="dxa"/>
                    <w:tblLayout w:type="fixed"/>
                    <w:tblLook w:val="01e0"/>
                  </w:tblPr>
                  <w:tblGrid>
                    <w:gridCol w:w="2722"/>
                    <w:gridCol w:w="3970"/>
                  </w:tblGrid>
                  <w:tr w:rsidR="00432386">
                    <w:trPr>
                      <w:trHeight w:val="262"/>
                    </w:trPr>
                    <w:tc>
                      <w:tcPr>
                        <w:tcW w:w="2722" w:type="dxa"/>
                      </w:tcPr>
                      <w:p w:rsidR="00432386" w:rsidRDefault="00432386">
                        <w:pPr>
                          <w:pStyle w:val="TableParagraph"/>
                          <w:rPr>
                            <w:rFonts w:ascii="Times New Roman"/>
                            <w:sz w:val="18"/>
                          </w:rPr>
                        </w:pPr>
                      </w:p>
                    </w:tc>
                    <w:tc>
                      <w:tcPr>
                        <w:tcW w:w="3970" w:type="dxa"/>
                      </w:tcPr>
                      <w:p w:rsidR="00432386" w:rsidRDefault="00432386">
                        <w:pPr>
                          <w:pStyle w:val="TableParagraph"/>
                          <w:rPr>
                            <w:rFonts w:ascii="Times New Roman"/>
                            <w:sz w:val="18"/>
                          </w:rPr>
                        </w:pPr>
                      </w:p>
                    </w:tc>
                  </w:tr>
                  <w:tr w:rsidR="00432386">
                    <w:trPr>
                      <w:trHeight w:val="264"/>
                    </w:trPr>
                    <w:tc>
                      <w:tcPr>
                        <w:tcW w:w="2722" w:type="dxa"/>
                      </w:tcPr>
                      <w:p w:rsidR="00432386" w:rsidRDefault="00432386">
                        <w:pPr>
                          <w:pStyle w:val="TableParagraph"/>
                          <w:rPr>
                            <w:rFonts w:ascii="Times New Roman"/>
                            <w:sz w:val="18"/>
                          </w:rPr>
                        </w:pPr>
                      </w:p>
                    </w:tc>
                    <w:tc>
                      <w:tcPr>
                        <w:tcW w:w="3970" w:type="dxa"/>
                      </w:tcPr>
                      <w:p w:rsidR="00432386" w:rsidRDefault="00432386">
                        <w:pPr>
                          <w:pStyle w:val="TableParagraph"/>
                          <w:rPr>
                            <w:rFonts w:ascii="Times New Roman"/>
                            <w:sz w:val="18"/>
                          </w:rPr>
                        </w:pPr>
                      </w:p>
                    </w:tc>
                  </w:tr>
                  <w:tr w:rsidR="00432386">
                    <w:trPr>
                      <w:trHeight w:val="515"/>
                    </w:trPr>
                    <w:tc>
                      <w:tcPr>
                        <w:tcW w:w="2722" w:type="dxa"/>
                      </w:tcPr>
                      <w:p w:rsidR="00432386" w:rsidRDefault="00432386">
                        <w:pPr>
                          <w:pStyle w:val="TableParagraph"/>
                          <w:rPr>
                            <w:rFonts w:ascii="Times New Roman"/>
                          </w:rPr>
                        </w:pPr>
                      </w:p>
                    </w:tc>
                    <w:tc>
                      <w:tcPr>
                        <w:tcW w:w="3970" w:type="dxa"/>
                      </w:tcPr>
                      <w:p w:rsidR="00432386" w:rsidRDefault="00432386">
                        <w:pPr>
                          <w:pStyle w:val="TableParagraph"/>
                          <w:rPr>
                            <w:rFonts w:ascii="Times New Roman"/>
                          </w:rPr>
                        </w:pPr>
                      </w:p>
                    </w:tc>
                  </w:tr>
                  <w:tr w:rsidR="00432386">
                    <w:trPr>
                      <w:trHeight w:val="516"/>
                    </w:trPr>
                    <w:tc>
                      <w:tcPr>
                        <w:tcW w:w="2722" w:type="dxa"/>
                      </w:tcPr>
                      <w:p w:rsidR="00432386" w:rsidRDefault="00432386">
                        <w:pPr>
                          <w:pStyle w:val="TableParagraph"/>
                          <w:rPr>
                            <w:rFonts w:ascii="Times New Roman"/>
                          </w:rPr>
                        </w:pPr>
                      </w:p>
                    </w:tc>
                    <w:tc>
                      <w:tcPr>
                        <w:tcW w:w="3970" w:type="dxa"/>
                      </w:tcPr>
                      <w:p w:rsidR="00432386" w:rsidRDefault="00432386">
                        <w:pPr>
                          <w:pStyle w:val="TableParagraph"/>
                          <w:rPr>
                            <w:rFonts w:ascii="Times New Roman"/>
                          </w:rPr>
                        </w:pPr>
                      </w:p>
                    </w:tc>
                  </w:tr>
                  <w:tr w:rsidR="00432386">
                    <w:trPr>
                      <w:trHeight w:val="515"/>
                    </w:trPr>
                    <w:tc>
                      <w:tcPr>
                        <w:tcW w:w="2722" w:type="dxa"/>
                      </w:tcPr>
                      <w:p w:rsidR="00432386" w:rsidRDefault="00432386">
                        <w:pPr>
                          <w:pStyle w:val="TableParagraph"/>
                          <w:rPr>
                            <w:rFonts w:ascii="Times New Roman"/>
                          </w:rPr>
                        </w:pPr>
                      </w:p>
                    </w:tc>
                    <w:tc>
                      <w:tcPr>
                        <w:tcW w:w="3970" w:type="dxa"/>
                      </w:tcPr>
                      <w:p w:rsidR="00432386" w:rsidRDefault="00432386">
                        <w:pPr>
                          <w:pStyle w:val="TableParagraph"/>
                          <w:rPr>
                            <w:rFonts w:ascii="Times New Roman"/>
                          </w:rPr>
                        </w:pPr>
                      </w:p>
                    </w:tc>
                  </w:tr>
                </w:tbl>
                <w:p w:rsidR="00432386" w:rsidRDefault="00432386">
                  <w:pPr>
                    <w:pStyle w:val="Corpsdetexte"/>
                    <w:spacing w:before="0"/>
                    <w:ind w:start="0"/>
                  </w:pPr>
                </w:p>
              </w:txbxContent>
            </v:textbox>
            <w10:wrap anchorx="page" anchory="page"/>
          </v:shape>
        </w:pict>
      </w:r>
      <w:r>
        <w:rPr>
          <w:b/>
        </w:rPr>
        <w:t xml:space="preserve">Abréviations : </w:t>
      </w:r>
      <w:r>
        <w:t xml:space="preserve">DSM, </w:t>
      </w:r>
      <w:r>
        <w:t xml:space="preserve">critères du </w:t>
      </w:r>
      <w:r>
        <w:t xml:space="preserve">Manuel </w:t>
      </w:r>
      <w:r>
        <w:t xml:space="preserve">diagnostique </w:t>
      </w:r>
      <w:r>
        <w:t xml:space="preserve">et </w:t>
      </w:r>
      <w:r>
        <w:t xml:space="preserve">statistique </w:t>
      </w:r>
      <w:r>
        <w:t xml:space="preserve">des </w:t>
      </w:r>
      <w:r>
        <w:t xml:space="preserve">troubles </w:t>
      </w:r>
      <w:r>
        <w:t xml:space="preserve">mentaux </w:t>
      </w:r>
      <w:r>
        <w:t xml:space="preserve">; </w:t>
      </w:r>
      <w:r>
        <w:t xml:space="preserve">SD, </w:t>
      </w:r>
      <w:r>
        <w:t xml:space="preserve">écart-type.</w:t>
      </w:r>
    </w:p>
    <w:p w:rsidR="00432386" w:rsidRDefault="00432386">
      <w:pPr>
        <w:pStyle w:val="Corpsdetexte"/>
        <w:spacing w:before="0"/>
        <w:ind w:start="0"/>
        <w:rPr>
          <w:sz w:val="24"/>
        </w:rPr>
      </w:pPr>
    </w:p>
    <w:p>
      <w:pPr>
        <w:pStyle w:val="Titre1"/>
        <w:numPr>
          <w:ilvl w:val="0"/>
          <w:numId w:val="188"/>
        </w:numPr>
        <w:tabs>
          <w:tab w:val="left" w:pos="430"/>
        </w:tabs>
        <w:spacing w:before="196"/>
        <w:ind w:hanging="270"/>
      </w:pPr>
      <w:bookmarkStart w:name="_bookmark11" w:id="12"/>
      <w:bookmarkEnd w:id="12"/>
      <w:r>
        <w:rPr>
          <w:color w:val="365F91"/>
        </w:rPr>
        <w:t xml:space="preserve">Discussion</w:t>
      </w:r>
    </w:p>
    <w:p w:rsidR="00432386" w:rsidRDefault="00432386">
      <w:pPr>
        <w:pStyle w:val="Corpsdetexte"/>
        <w:spacing w:before="1"/>
        <w:ind w:start="0"/>
        <w:rPr>
          <w:b/>
          <w:sz w:val="21"/>
        </w:rPr>
      </w:pPr>
    </w:p>
    <w:p>
      <w:pPr>
        <w:pStyle w:val="Corpsdetexte"/>
        <w:spacing w:before="0" w:line="276" w:lineRule="auto"/>
        <w:ind w:end="482"/>
      </w:pPr>
      <w:r>
        <w:t xml:space="preserve">L'une des principales limites à l'identification de l'efficacité et de la sécurité des analogues de la GnRH pour les enfants </w:t>
      </w:r>
      <w:r>
        <w:t xml:space="preserve">et les adolescents atteints de dysphorie de genre est le manque d'études comparatives fiables. L'absence de </w:t>
      </w:r>
      <w:r>
        <w:t xml:space="preserve">résultats clairs et attendus du traitement avec un analogue de la GnRH (dont le but est </w:t>
      </w:r>
      <w:r>
        <w:t xml:space="preserve">de supprimer les caractéristiques sexuelles secondaires qui peuvent causer de la détresse en raison de </w:t>
      </w:r>
      <w:r>
        <w:t xml:space="preserve">changements pubertaires </w:t>
      </w:r>
      <w:r>
        <w:t xml:space="preserve">non désirés</w:t>
      </w:r>
      <w:r>
        <w:t xml:space="preserve">) rend également difficile l'interprétation des preuves. La taille de la population </w:t>
      </w:r>
      <w:r>
        <w:t xml:space="preserve">souffrant de dysphorie de genre signifie que la réalisation d'un essai prospectif peut être irréaliste, du moins dans un </w:t>
      </w:r>
      <w:r>
        <w:t xml:space="preserve">centre unique. L'</w:t>
      </w:r>
      <w:r>
        <w:t xml:space="preserve">absence de traitement dans les </w:t>
      </w:r>
      <w:r>
        <w:t xml:space="preserve">essais comparatifs des analogues de la GnRH </w:t>
      </w:r>
      <w:r>
        <w:t xml:space="preserve">peut également poser des problèmes éthiques</w:t>
      </w:r>
      <w:r>
        <w:t xml:space="preserve">, car l'</w:t>
      </w:r>
      <w:r>
        <w:t xml:space="preserve">interruption du traitement </w:t>
      </w:r>
      <w:r>
        <w:t xml:space="preserve">peut avoir des conséquences négatives sur la santé mentale</w:t>
      </w:r>
      <w:r>
        <w:t xml:space="preserve">. Cependant, l'utilisation d'un comparateur actif tel qu'un </w:t>
      </w:r>
      <w:r>
        <w:t xml:space="preserve">soutien </w:t>
      </w:r>
      <w:r>
        <w:t xml:space="preserve">psychologique rapproché </w:t>
      </w:r>
      <w:r>
        <w:t xml:space="preserve">pourrait </w:t>
      </w:r>
      <w:r>
        <w:t xml:space="preserve">réduire les </w:t>
      </w:r>
      <w:r>
        <w:t xml:space="preserve">problèmes </w:t>
      </w:r>
      <w:r>
        <w:t xml:space="preserve">éthiques </w:t>
      </w:r>
      <w:r>
        <w:t xml:space="preserve">dans les </w:t>
      </w:r>
      <w:r>
        <w:t xml:space="preserve">futurs </w:t>
      </w:r>
      <w:r>
        <w:t xml:space="preserve">essais.</w:t>
      </w:r>
    </w:p>
    <w:p>
      <w:pPr>
        <w:pStyle w:val="Corpsdetexte"/>
        <w:spacing w:before="199" w:line="278" w:lineRule="auto"/>
        <w:ind w:end="1252"/>
      </w:pPr>
      <w:r>
        <w:t xml:space="preserve">Les études incluses dans cet examen des preuves sont toutes de petites </w:t>
      </w:r>
      <w:r>
        <w:t xml:space="preserve">études </w:t>
      </w:r>
      <w:r>
        <w:t xml:space="preserve">d'observation non contrôlées, </w:t>
      </w:r>
      <w:r>
        <w:t xml:space="preserve">qui </w:t>
      </w:r>
      <w:r>
        <w:t xml:space="preserve">sont </w:t>
      </w:r>
      <w:r>
        <w:t xml:space="preserve">sujettes </w:t>
      </w:r>
      <w:r>
        <w:t xml:space="preserve">à des </w:t>
      </w:r>
      <w:r>
        <w:t xml:space="preserve">biais </w:t>
      </w:r>
      <w:r>
        <w:t xml:space="preserve">et à des </w:t>
      </w:r>
      <w:r>
        <w:t xml:space="preserve">facteurs de confusion, et dont le degré </w:t>
      </w:r>
      <w:r>
        <w:t xml:space="preserve">de </w:t>
      </w:r>
      <w:r>
        <w:t xml:space="preserve">certitude </w:t>
      </w:r>
      <w:r>
        <w:t xml:space="preserve">est </w:t>
      </w:r>
      <w:r>
        <w:t xml:space="preserve">très faible.</w:t>
      </w:r>
    </w:p>
    <w:p w:rsidR="00432386" w:rsidRDefault="00432386">
      <w:pPr>
        <w:spacing w:line="278" w:lineRule="auto"/>
        <w:sectPr w:rsidR="00432386">
          <w:type w:val="continuous"/>
          <w:pgSz w:w="11910" w:h="16840"/>
          <w:pgMar w:top="1260" w:right="980" w:bottom="1460" w:left="1280" w:header="0" w:footer="1183" w:gutter="0"/>
          <w:cols w:space="720"/>
        </w:sectPr>
      </w:pPr>
    </w:p>
    <w:p>
      <w:pPr>
        <w:pStyle w:val="Corpsdetexte"/>
        <w:spacing w:before="78" w:line="276" w:lineRule="auto"/>
        <w:ind w:end="530"/>
      </w:pPr>
      <w:r>
        <w:lastRenderedPageBreak/>
        <w:t xml:space="preserve">évaluées en utilisant le système GRADE modifié. Toutes les études incluses font </w:t>
      </w:r>
      <w:r>
        <w:t xml:space="preserve">très peu </w:t>
      </w:r>
      <w:r>
        <w:lastRenderedPageBreak/>
        <w:t xml:space="preserve">état des </w:t>
      </w:r>
      <w:r>
        <w:t xml:space="preserve">comorbidités de santé </w:t>
      </w:r>
      <w:r>
        <w:lastRenderedPageBreak/>
        <w:t xml:space="preserve">physique et mentale </w:t>
      </w:r>
      <w:r>
        <w:t xml:space="preserve">et des traitements concomitants. Par exemple, très peu de données </w:t>
      </w:r>
      <w:r>
        <w:t xml:space="preserve">sont rapportées sur le nombre d'enfants et d'adolescents qui ont eu besoin d'un soutien supplémentaire en matière de </w:t>
      </w:r>
      <w:r>
        <w:t xml:space="preserve">santé</w:t>
      </w:r>
      <w:r>
        <w:t xml:space="preserve"> mentale, </w:t>
      </w:r>
      <w:r>
        <w:t xml:space="preserve">et pour quelles raisons, ou d'interventions supplémentaires, ainsi que sur la forme et la </w:t>
      </w:r>
      <w:r>
        <w:t xml:space="preserve">durée de ces interventions (par exemple, traitement médicamenteux ou conseil). Il s'agit d'un facteur de confusion possible </w:t>
      </w:r>
      <w:r>
        <w:t xml:space="preserve">pour les résultats du traitement dans les études, car les changements dans les </w:t>
      </w:r>
      <w:r>
        <w:t xml:space="preserve">résultats </w:t>
      </w:r>
      <w:r>
        <w:t xml:space="preserve">critiques et </w:t>
      </w:r>
      <w:r>
        <w:t xml:space="preserve">importants </w:t>
      </w:r>
      <w:r>
        <w:t xml:space="preserve">peuvent être attribuables à des soins externes plutôt qu'au soutien psychologique ou aux </w:t>
      </w:r>
      <w:r>
        <w:t xml:space="preserve">analogues de la </w:t>
      </w:r>
      <w:r>
        <w:t xml:space="preserve">GnRH </w:t>
      </w:r>
      <w:r>
        <w:t xml:space="preserve">utilisés </w:t>
      </w:r>
      <w:r>
        <w:t xml:space="preserve">dans les </w:t>
      </w:r>
      <w:r>
        <w:t xml:space="preserve">études.</w:t>
      </w:r>
    </w:p>
    <w:p>
      <w:pPr>
        <w:pStyle w:val="Corpsdetexte"/>
        <w:spacing w:before="200" w:line="276" w:lineRule="auto"/>
        <w:ind w:end="739"/>
      </w:pPr>
      <w:r>
        <w:t xml:space="preserve">Les études qui ont rapporté des critères diagnostiques pour la dysphorie de genre (6/9 études) ont utilisé les </w:t>
      </w:r>
      <w:r>
        <w:t xml:space="preserve">critères du </w:t>
      </w:r>
      <w:r>
        <w:t xml:space="preserve">Manuel diagnostique et statistique </w:t>
      </w:r>
      <w:r>
        <w:t xml:space="preserve">des troubles mentaux (DSM) en vigueur au moment où l'</w:t>
      </w:r>
      <w:r>
        <w:t xml:space="preserve">étude a été menée (soit DSM-IV-TR, soit DSM-V). La définition n'était pas claire dans les </w:t>
      </w:r>
      <w:r>
        <w:t xml:space="preserve">autres études. L'âge auquel les participants ont commencé à prendre un </w:t>
      </w:r>
      <w:r>
        <w:t xml:space="preserve">analogue de la GnRH </w:t>
      </w:r>
      <w:r>
        <w:t xml:space="preserve">variait considérablement</w:t>
      </w:r>
      <w:r>
        <w:t xml:space="preserve">, </w:t>
      </w:r>
      <w:r>
        <w:t xml:space="preserve">allant</w:t>
      </w:r>
      <w:r>
        <w:t xml:space="preserve"> généralement </w:t>
      </w:r>
      <w:r>
        <w:t xml:space="preserve">de 11 à 18 ans environ. De même, </w:t>
      </w:r>
      <w:r>
        <w:t xml:space="preserve">la </w:t>
      </w:r>
      <w:r>
        <w:t xml:space="preserve">durée d'</w:t>
      </w:r>
      <w:r>
        <w:t xml:space="preserve">utilisation </w:t>
      </w:r>
      <w:r>
        <w:t xml:space="preserve">variait considérablement</w:t>
      </w:r>
      <w:r>
        <w:t xml:space="preserve">, </w:t>
      </w:r>
      <w:r>
        <w:t xml:space="preserve">mais </w:t>
      </w:r>
      <w:r>
        <w:t xml:space="preserve">peu d'</w:t>
      </w:r>
      <w:r>
        <w:t xml:space="preserve">études en </w:t>
      </w:r>
      <w:r>
        <w:t xml:space="preserve">ont fait état</w:t>
      </w:r>
      <w:r>
        <w:t xml:space="preserve">.</w:t>
      </w:r>
    </w:p>
    <w:p>
      <w:pPr>
        <w:pStyle w:val="Corpsdetexte"/>
        <w:spacing w:before="199" w:line="276" w:lineRule="auto"/>
        <w:ind w:end="518"/>
      </w:pPr>
      <w:r>
        <w:t xml:space="preserve">Les changements dans les scores de résultats pour l'efficacité clinique ont été évalués pour la </w:t>
      </w:r>
      <w:r>
        <w:t xml:space="preserve">signification </w:t>
      </w:r>
      <w:r>
        <w:t xml:space="preserve">statistique </w:t>
      </w:r>
      <w:r>
        <w:t xml:space="preserve">dans les 3 études rapportant ces </w:t>
      </w:r>
      <w:r>
        <w:t xml:space="preserve">résultats (</w:t>
      </w:r>
      <w:hyperlink r:id="rId217">
        <w:r>
          <w:rPr>
            <w:color w:val="0000FF"/>
            <w:u w:val="single" w:color="0000FF"/>
          </w:rPr>
          <w:t xml:space="preserve">Costa et al. 2015 </w:t>
        </w:r>
      </w:hyperlink>
      <w:r>
        <w:t xml:space="preserve">; </w:t>
      </w:r>
      <w:hyperlink r:id="rId218">
        <w:r>
          <w:rPr>
            <w:color w:val="0000FF"/>
            <w:u w:val="single" w:color="0000FF"/>
          </w:rPr>
          <w:t xml:space="preserve">de Vries et al. </w:t>
        </w:r>
      </w:hyperlink>
      <w:hyperlink r:id="rId219">
        <w:r>
          <w:rPr>
            <w:color w:val="0000FF"/>
            <w:u w:val="single" w:color="0000FF"/>
          </w:rPr>
          <w:t xml:space="preserve">2011 </w:t>
        </w:r>
      </w:hyperlink>
      <w:r>
        <w:rPr>
          <w:u w:val="single" w:color="0000FF"/>
        </w:rPr>
        <w:t xml:space="preserve">; </w:t>
      </w:r>
      <w:hyperlink r:id="rId220">
        <w:r>
          <w:rPr>
            <w:color w:val="0000FF"/>
            <w:u w:val="single" w:color="0000FF"/>
          </w:rPr>
          <w:t xml:space="preserve">Staphorsius et al. 2015</w:t>
        </w:r>
      </w:hyperlink>
      <w:r>
        <w:t xml:space="preserve">). Cependant, il y a </w:t>
      </w:r>
      <w:r>
        <w:t xml:space="preserve">relativement peu d'interprétation pour savoir si les </w:t>
      </w:r>
      <w:r>
        <w:t xml:space="preserve">changements </w:t>
      </w:r>
      <w:r>
        <w:t xml:space="preserve">dans les </w:t>
      </w:r>
      <w:r>
        <w:t xml:space="preserve">scores de </w:t>
      </w:r>
      <w:r>
        <w:t xml:space="preserve">résultats </w:t>
      </w:r>
      <w:r>
        <w:t xml:space="preserve">observés </w:t>
      </w:r>
      <w:r>
        <w:t xml:space="preserve">dans </w:t>
      </w:r>
      <w:r>
        <w:t xml:space="preserve">ces </w:t>
      </w:r>
      <w:r>
        <w:t xml:space="preserve">études </w:t>
      </w:r>
      <w:r>
        <w:t xml:space="preserve">sont cliniquement </w:t>
      </w:r>
      <w:r>
        <w:t xml:space="preserve">significatifs.</w:t>
      </w:r>
    </w:p>
    <w:p>
      <w:pPr>
        <w:pStyle w:val="Corpsdetexte"/>
        <w:spacing w:before="202" w:line="276" w:lineRule="auto"/>
        <w:ind w:end="567"/>
      </w:pPr>
      <w:r>
        <w:t xml:space="preserve">Pour certains résultats, il n'y avait pas de différence statistiquement significative entre la période précédant le début de l'administration des </w:t>
      </w:r>
      <w:r>
        <w:t xml:space="preserve">analogues de la GnRH et celle précédant le début de l'administration des </w:t>
      </w:r>
      <w:r>
        <w:t xml:space="preserve">hormones </w:t>
      </w:r>
      <w:r>
        <w:t xml:space="preserve">d'affirmation du genre</w:t>
      </w:r>
      <w:r>
        <w:t xml:space="preserve">. Il s'agissait de l'</w:t>
      </w:r>
      <w:r>
        <w:t xml:space="preserve">échelle de dysphorie de genre d'Utrecht (UGDS) (évaluée dans une étude </w:t>
      </w:r>
      <w:hyperlink r:id="rId221">
        <w:r>
          <w:rPr>
            <w:color w:val="0000FF"/>
            <w:u w:val="single" w:color="0000FF"/>
          </w:rPr>
          <w:t xml:space="preserve">de Vries et al. </w:t>
        </w:r>
      </w:hyperlink>
      <w:hyperlink r:id="rId222">
        <w:r>
          <w:rPr>
            <w:color w:val="0000FF"/>
            <w:u w:val="single" w:color="0000FF"/>
          </w:rPr>
          <w:t xml:space="preserve">2011</w:t>
        </w:r>
      </w:hyperlink>
      <w:r>
        <w:t xml:space="preserve">), des échelles de colère (TPI) et d'anxiété (STAI) (évaluées dans une </w:t>
      </w:r>
      <w:r>
        <w:t xml:space="preserve">étude </w:t>
      </w:r>
      <w:hyperlink r:id="rId223">
        <w:r>
          <w:rPr>
            <w:color w:val="0000FF"/>
            <w:u w:val="single" w:color="0000FF"/>
          </w:rPr>
          <w:t xml:space="preserve">de Vries et al. 2011</w:t>
        </w:r>
      </w:hyperlink>
      <w:r>
        <w:t xml:space="preserve">), et de l'échelle d'image corporelle (BIS) évaluée dans une étude (</w:t>
      </w:r>
      <w:hyperlink r:id="rId224">
        <w:r>
          <w:rPr>
            <w:color w:val="0000FF"/>
            <w:u w:val="single" w:color="0000FF"/>
          </w:rPr>
          <w:t xml:space="preserve">de </w:t>
        </w:r>
      </w:hyperlink>
      <w:hyperlink r:id="rId225">
        <w:r>
          <w:rPr>
            <w:color w:val="0000FF"/>
            <w:u w:val="single" w:color="0000FF"/>
          </w:rPr>
          <w:t xml:space="preserve">Vries</w:t>
        </w:r>
        <w:r>
          <w:rPr>
            <w:color w:val="0000FF"/>
            <w:u w:val="single" w:color="0000FF"/>
          </w:rPr>
          <w:t xml:space="preserve">et al.</w:t>
        </w:r>
        <w:r>
          <w:rPr>
            <w:color w:val="0000FF"/>
            <w:u w:val="single" w:color="0000FF"/>
          </w:rPr>
          <w:t xml:space="preserve">2011</w:t>
        </w:r>
      </w:hyperlink>
      <w:r>
        <w:t xml:space="preserve">).</w:t>
      </w:r>
    </w:p>
    <w:p>
      <w:pPr>
        <w:pStyle w:val="Corpsdetexte"/>
        <w:spacing w:before="199" w:line="276" w:lineRule="auto"/>
        <w:ind w:end="543"/>
      </w:pPr>
      <w:r>
        <w:t xml:space="preserve">L'</w:t>
      </w:r>
      <w:r>
        <w:t xml:space="preserve">inventaire de dépression de Beck (BDI-II) a été utilisé dans 1 étude (</w:t>
      </w:r>
      <w:hyperlink r:id="rId226">
        <w:r>
          <w:rPr>
            <w:color w:val="0000FF"/>
            <w:u w:val="single" w:color="0000FF"/>
          </w:rPr>
          <w:t xml:space="preserve">de Vries et al. 2011</w:t>
        </w:r>
      </w:hyperlink>
      <w:r>
        <w:t xml:space="preserve">) pour évaluer le </w:t>
      </w:r>
      <w:r>
        <w:t xml:space="preserve">changement de dépression entre avant le début des analogues de la GnRH et juste avant le début des </w:t>
      </w:r>
      <w:r>
        <w:t xml:space="preserve">hormones d'affirmation du </w:t>
      </w:r>
      <w:r>
        <w:t xml:space="preserve">genre</w:t>
      </w:r>
      <w:r>
        <w:t xml:space="preserve">. Le résultat est statistiquement significatif, le score moyen (±SD) du BDI-II </w:t>
      </w:r>
      <w:r>
        <w:t xml:space="preserve">diminuant de 8,31 (±7,12) au départ à 4,95 (±6,27) au suivi (p=0</w:t>
      </w:r>
      <w:r>
        <w:t xml:space="preserve">,004). Cependant, les </w:t>
      </w:r>
      <w:r>
        <w:t xml:space="preserve">deux scores se situent dans la fourchette minimale selon les directives générales d'interprétation du </w:t>
      </w:r>
      <w:r>
        <w:t xml:space="preserve">BDI-II (0 à 13 dépression minimale, 14 à 19 dépression légère, 20 à 28 dépression modérée et 29 à 63 </w:t>
      </w:r>
      <w:r>
        <w:t xml:space="preserve">dépression sévère), ce qui suggère que, bien que statistiquement </w:t>
      </w:r>
      <w:r>
        <w:t xml:space="preserve">significatif, il n'est pas clair s'il s'agit d'un </w:t>
      </w:r>
      <w:r>
        <w:t xml:space="preserve">changement </w:t>
      </w:r>
      <w:r>
        <w:t xml:space="preserve">cliniquement significatif</w:t>
      </w:r>
      <w:r>
        <w:t xml:space="preserve">.</w:t>
      </w:r>
    </w:p>
    <w:p>
      <w:pPr>
        <w:pStyle w:val="Corpsdetexte"/>
        <w:spacing w:before="200" w:line="276" w:lineRule="auto"/>
        <w:ind w:end="591"/>
      </w:pPr>
      <w:r>
        <w:pict>
          <v:rect id="docshape6" style="position:absolute;left:0;text-align:left;margin-left:297.75pt;margin-top:65.2pt;width:3.7pt;height:.85pt;z-index:-23842304;mso-position-horizontal-relative:page" o:spid="_x0000_s1043" fillcolor="black" stroked="f">
            <w10:wrap anchorx="page"/>
          </v:rect>
        </w:pict>
      </w:r>
      <w:r>
        <w:t xml:space="preserve">Les </w:t>
      </w:r>
      <w:r>
        <w:t xml:space="preserve">résultats psychosociaux ont été évalués dans 3 études (</w:t>
      </w:r>
      <w:hyperlink r:id="rId227">
        <w:r>
          <w:rPr>
            <w:color w:val="0000FF"/>
            <w:u w:val="single" w:color="0000FF"/>
          </w:rPr>
          <w:t xml:space="preserve">Costa et al. 2015 </w:t>
        </w:r>
      </w:hyperlink>
      <w:r>
        <w:t xml:space="preserve">; </w:t>
      </w:r>
      <w:hyperlink r:id="rId228">
        <w:r>
          <w:rPr>
            <w:color w:val="0000FF"/>
            <w:u w:val="single" w:color="0000FF"/>
          </w:rPr>
          <w:t xml:space="preserve">de Vries et al. 2011 </w:t>
        </w:r>
      </w:hyperlink>
      <w:r>
        <w:t xml:space="preserve">; </w:t>
      </w:r>
      <w:hyperlink r:id="rId229">
        <w:r>
          <w:rPr>
            <w:color w:val="0000FF"/>
            <w:u w:val="single" w:color="0000FF"/>
          </w:rPr>
          <w:t xml:space="preserve">Staphorsius et al. 2015</w:t>
        </w:r>
      </w:hyperlink>
      <w:r>
        <w:t xml:space="preserve">) à l'aide de l'</w:t>
      </w:r>
      <w:r>
        <w:t xml:space="preserve">échelle d'évaluation </w:t>
      </w:r>
      <w:r>
        <w:t xml:space="preserve">globale des enfants </w:t>
      </w:r>
      <w:r>
        <w:t xml:space="preserve">(CGAS) et de la Child </w:t>
      </w:r>
      <w:r>
        <w:t xml:space="preserve">Behavior Checklist/Youth Self-Report (CBCL/YSR). Le score CGAS a été évalué dans deux </w:t>
      </w:r>
      <w:r>
        <w:t xml:space="preserve">études (</w:t>
      </w:r>
      <w:hyperlink r:id="rId230">
        <w:r>
          <w:rPr>
            <w:color w:val="0000FF"/>
            <w:u w:val="single" w:color="0000FF"/>
          </w:rPr>
          <w:t xml:space="preserve">Costa et al. 2015 </w:t>
        </w:r>
      </w:hyperlink>
      <w:r>
        <w:t xml:space="preserve">; </w:t>
      </w:r>
      <w:hyperlink r:id="rId231">
        <w:r>
          <w:rPr>
            <w:color w:val="0000FF"/>
            <w:u w:val="single" w:color="0000FF"/>
          </w:rPr>
          <w:t xml:space="preserve">de Vries et al. 2011</w:t>
        </w:r>
      </w:hyperlink>
      <w:r>
        <w:t xml:space="preserve">). Dans l'étude de Vries et al. 2011, le </w:t>
      </w:r>
      <w:r>
        <w:t xml:space="preserve">score </w:t>
      </w:r>
      <w:r>
        <w:t xml:space="preserve">moyen (±SD) du </w:t>
      </w:r>
      <w:r>
        <w:t xml:space="preserve">CGAS </w:t>
      </w:r>
      <w:r>
        <w:t xml:space="preserve">a augmenté de </w:t>
      </w:r>
      <w:r>
        <w:t xml:space="preserve">manière </w:t>
      </w:r>
      <w:r>
        <w:t xml:space="preserve">statistiquement </w:t>
      </w:r>
      <w:r>
        <w:t xml:space="preserve">significative </w:t>
      </w:r>
      <w:r>
        <w:t xml:space="preserve">au fil du </w:t>
      </w:r>
      <w:r>
        <w:t xml:space="preserve">temps</w:t>
      </w:r>
      <w:r>
        <w:t xml:space="preserve">, passant de </w:t>
      </w:r>
      <w:r>
        <w:t xml:space="preserve">70,24 </w:t>
      </w:r>
      <w:r>
        <w:t xml:space="preserve">[±10,12] </w:t>
      </w:r>
      <w:r>
        <w:t xml:space="preserve">au </w:t>
      </w:r>
      <w:r>
        <w:t xml:space="preserve">départ </w:t>
      </w:r>
      <w:r>
        <w:t xml:space="preserve">à</w:t>
      </w:r>
    </w:p>
    <w:p>
      <w:pPr>
        <w:pStyle w:val="Corpsdetexte"/>
        <w:spacing w:before="0" w:line="276" w:lineRule="auto"/>
        <w:ind w:end="514"/>
      </w:pPr>
      <w:r>
        <w:t xml:space="preserve">73,90 </w:t>
      </w:r>
      <w:r>
        <w:t xml:space="preserve">[±9,63] </w:t>
      </w:r>
      <w:r>
        <w:t xml:space="preserve">lors du suivi. Les </w:t>
      </w:r>
      <w:r>
        <w:t xml:space="preserve">scores </w:t>
      </w:r>
      <w:r>
        <w:t xml:space="preserve">CGAS </w:t>
      </w:r>
      <w:r>
        <w:t xml:space="preserve">sont </w:t>
      </w:r>
      <w:r>
        <w:t xml:space="preserve">cliniquement </w:t>
      </w:r>
      <w:r>
        <w:t xml:space="preserve">classés </w:t>
      </w:r>
      <w:r>
        <w:t xml:space="preserve">en </w:t>
      </w:r>
      <w:r>
        <w:t xml:space="preserve">10 </w:t>
      </w:r>
      <w:r>
        <w:t xml:space="preserve">catégories </w:t>
      </w:r>
      <w:r>
        <w:t xml:space="preserve">(10 </w:t>
      </w:r>
      <w:r>
        <w:t xml:space="preserve">à </w:t>
      </w:r>
      <w:r>
        <w:t xml:space="preserve">1, 20 à 11 et ainsi de suite jusqu'à 100 à 91) et les deux scores rapportés étaient dans une seule catégorie (71 </w:t>
      </w:r>
      <w:r>
        <w:t xml:space="preserve">à 80, pas plus qu'une légère déficience), ce qui suggère que, bien que statistiquement </w:t>
      </w:r>
      <w:r>
        <w:t xml:space="preserve">significatif, il </w:t>
      </w:r>
      <w:r>
        <w:t xml:space="preserve">n'est pas clair s'il s'agit d'un changement cliniquement significatif. L'étude de Costa et al. 2015 met en évidence un </w:t>
      </w:r>
      <w:r>
        <w:t xml:space="preserve">changement plus important dans les scores CGAS entre le début de l'étude et le suivi (moyenne [±SD] 58,72 [±11,38] </w:t>
      </w:r>
      <w:r>
        <w:t xml:space="preserve">contre 67,40 [±13,39]), mais </w:t>
      </w:r>
      <w:r>
        <w:t xml:space="preserve">il n'est pas certain </w:t>
      </w:r>
      <w:r>
        <w:t xml:space="preserve">que ce changement soit cliniquement </w:t>
      </w:r>
      <w:r>
        <w:t xml:space="preserve">significatif. Le </w:t>
      </w:r>
      <w:r>
        <w:t xml:space="preserve">score moyen est passé de la catégorie clinique de 60 à 51 (fonctionnement variable avec </w:t>
      </w:r>
      <w:r>
        <w:t xml:space="preserve">difficultés </w:t>
      </w:r>
      <w:r>
        <w:t xml:space="preserve">sporadiques</w:t>
      </w:r>
      <w:r>
        <w:t xml:space="preserve">) </w:t>
      </w:r>
      <w:r>
        <w:t xml:space="preserve">au </w:t>
      </w:r>
      <w:r>
        <w:t xml:space="preserve">départ </w:t>
      </w:r>
      <w:r>
        <w:t xml:space="preserve">à </w:t>
      </w:r>
      <w:r>
        <w:t xml:space="preserve">70 </w:t>
      </w:r>
      <w:r>
        <w:t xml:space="preserve">à </w:t>
      </w:r>
      <w:r>
        <w:t xml:space="preserve">61 </w:t>
      </w:r>
      <w:r>
        <w:t xml:space="preserve">(quelques </w:t>
      </w:r>
      <w:r>
        <w:t xml:space="preserve">difficultés </w:t>
      </w:r>
      <w:r>
        <w:t xml:space="preserve">dans </w:t>
      </w:r>
      <w:r>
        <w:t xml:space="preserve">un </w:t>
      </w:r>
      <w:r>
        <w:t xml:space="preserve">seul </w:t>
      </w:r>
      <w:r>
        <w:t xml:space="preserve">domaine, </w:t>
      </w:r>
      <w:r>
        <w:t xml:space="preserve">mais </w:t>
      </w:r>
      <w:r>
        <w:t xml:space="preserve">généralement</w:t>
      </w:r>
    </w:p>
    <w:p w:rsidR="00432386" w:rsidRDefault="00432386">
      <w:pPr>
        <w:spacing w:line="276" w:lineRule="auto"/>
        <w:sectPr w:rsidR="00432386">
          <w:pgSz w:w="11910" w:h="16840"/>
          <w:pgMar w:top="1180" w:right="980" w:bottom="1420" w:left="1280" w:header="0" w:footer="1183" w:gutter="0"/>
          <w:cols w:space="720"/>
        </w:sectPr>
      </w:pPr>
    </w:p>
    <w:p>
      <w:pPr>
        <w:pStyle w:val="Corpsdetexte"/>
        <w:spacing w:before="78" w:line="278" w:lineRule="auto"/>
        <w:ind w:end="1080"/>
      </w:pPr>
      <w:r>
        <w:lastRenderedPageBreak/>
        <w:t xml:space="preserve">fonctionnant plutôt bien) lors du </w:t>
      </w:r>
      <w:r>
        <w:t xml:space="preserve">suivi, mais les écarts-types importants suggèrent des </w:t>
      </w:r>
      <w:r>
        <w:t xml:space="preserve">chevauchements </w:t>
      </w:r>
      <w:r>
        <w:t xml:space="preserve">cliniquement </w:t>
      </w:r>
      <w:r>
        <w:t xml:space="preserve">significatifs </w:t>
      </w:r>
      <w:r>
        <w:t xml:space="preserve">entre </w:t>
      </w:r>
      <w:r>
        <w:t xml:space="preserve">les </w:t>
      </w:r>
      <w:r>
        <w:t xml:space="preserve">scores </w:t>
      </w:r>
      <w:r>
        <w:t xml:space="preserve">de la ligne de base </w:t>
      </w:r>
      <w:r>
        <w:t xml:space="preserve">et du </w:t>
      </w:r>
      <w:r>
        <w:t xml:space="preserve">suivi.</w:t>
      </w:r>
    </w:p>
    <w:p>
      <w:pPr>
        <w:pStyle w:val="Corpsdetexte"/>
        <w:spacing w:before="194" w:line="276" w:lineRule="auto"/>
        <w:ind w:end="482"/>
      </w:pPr>
      <w:r>
        <w:t xml:space="preserve">Le </w:t>
      </w:r>
      <w:r>
        <w:t xml:space="preserve">fonctionnement psychosocial à l'aide du CBCL/YSR a été évalué dans deux études (</w:t>
      </w:r>
      <w:hyperlink r:id="rId232">
        <w:r>
          <w:rPr>
            <w:color w:val="0000FF"/>
            <w:u w:val="single" w:color="0000FF"/>
          </w:rPr>
          <w:t xml:space="preserve">de Vries et al. </w:t>
        </w:r>
      </w:hyperlink>
      <w:hyperlink r:id="rId233">
        <w:r>
          <w:rPr>
            <w:color w:val="0000FF"/>
            <w:u w:val="single" w:color="0000FF"/>
          </w:rPr>
          <w:t xml:space="preserve">2011 </w:t>
        </w:r>
      </w:hyperlink>
      <w:r>
        <w:t xml:space="preserve">; </w:t>
      </w:r>
      <w:hyperlink r:id="rId234">
        <w:r>
          <w:rPr>
            <w:color w:val="0000FF"/>
            <w:u w:val="single" w:color="0000FF"/>
          </w:rPr>
          <w:t xml:space="preserve">Staphorsius et al. 2015</w:t>
        </w:r>
      </w:hyperlink>
      <w:r>
        <w:t xml:space="preserve">). Dans l'étude de Vries et al. 2011, une </w:t>
      </w:r>
      <w:r>
        <w:t xml:space="preserve">réduction </w:t>
      </w:r>
      <w:r>
        <w:t xml:space="preserve">statistiquement significative </w:t>
      </w:r>
      <w:r>
        <w:t xml:space="preserve">des scores CBCL et YSR a été observée avant le début de l'administration des analogues de la GnRH et juste avant le </w:t>
      </w:r>
      <w:r>
        <w:t xml:space="preserve">début de l'administration des </w:t>
      </w:r>
      <w:r>
        <w:t xml:space="preserve">hormones d'affirmation du genre. L'étude a interprété le CBCL/YSR avec une proportion </w:t>
      </w:r>
      <w:r>
        <w:t xml:space="preserve">d'adolescents ayant obtenu un score dans la fourchette clinique (un score T supérieur à 63), ce qui permet d'</w:t>
      </w:r>
      <w:r>
        <w:t xml:space="preserve">évaluer les </w:t>
      </w:r>
      <w:r>
        <w:t xml:space="preserve">changements </w:t>
      </w:r>
      <w:r>
        <w:t xml:space="preserve">dans les scores cliniquement significatifs, et les proportions d'adolescents dans la </w:t>
      </w:r>
      <w:r>
        <w:t xml:space="preserve">fourchette </w:t>
      </w:r>
      <w:r>
        <w:t xml:space="preserve">clinique </w:t>
      </w:r>
      <w:r>
        <w:t xml:space="preserve">pour certains scores CBCL et YSR ont diminué au fil du temps. Une étude transversale </w:t>
      </w:r>
      <w:r>
        <w:t xml:space="preserve">(</w:t>
      </w:r>
      <w:hyperlink r:id="rId235">
        <w:r>
          <w:rPr>
            <w:color w:val="0000FF"/>
            <w:u w:val="single" w:color="0000FF"/>
          </w:rPr>
          <w:t xml:space="preserve">Staphorsius et al. 2015</w:t>
        </w:r>
      </w:hyperlink>
      <w:r>
        <w:t xml:space="preserve">) a évalué uniquement les scores de la CBCL, mais il </w:t>
      </w:r>
      <w:r>
        <w:t xml:space="preserve">n'a pas été précisé s'il s'agissait du </w:t>
      </w:r>
      <w:r>
        <w:t xml:space="preserve">score T </w:t>
      </w:r>
      <w:r>
        <w:t xml:space="preserve">total </w:t>
      </w:r>
      <w:r>
        <w:t xml:space="preserve">ou si des sous-échelles de scores internalisants ou externalisants étaient également évaluées, </w:t>
      </w:r>
      <w:r>
        <w:t xml:space="preserve">et </w:t>
      </w:r>
      <w:r>
        <w:t xml:space="preserve">si </w:t>
      </w:r>
      <w:r>
        <w:t xml:space="preserve">les </w:t>
      </w:r>
      <w:r>
        <w:t xml:space="preserve">résultats </w:t>
      </w:r>
      <w:r>
        <w:t xml:space="preserve">étaient statistiquement </w:t>
      </w:r>
      <w:r>
        <w:t xml:space="preserve">significatifs.</w:t>
      </w:r>
    </w:p>
    <w:p>
      <w:pPr>
        <w:pStyle w:val="Corpsdetexte"/>
        <w:spacing w:before="201" w:line="276" w:lineRule="auto"/>
        <w:ind w:end="493"/>
      </w:pPr>
      <w:r>
        <w:t xml:space="preserve">Les </w:t>
      </w:r>
      <w:r>
        <w:t xml:space="preserve">deux études observationnelles prospectives (</w:t>
      </w:r>
      <w:hyperlink r:id="rId236">
        <w:r>
          <w:rPr>
            <w:color w:val="0000FF"/>
            <w:u w:val="single" w:color="0000FF"/>
          </w:rPr>
          <w:t xml:space="preserve">Costa et al. 2015 </w:t>
        </w:r>
      </w:hyperlink>
      <w:r>
        <w:t xml:space="preserve">; </w:t>
      </w:r>
      <w:hyperlink r:id="rId237">
        <w:r>
          <w:rPr>
            <w:color w:val="0000FF"/>
            <w:u w:val="single" w:color="0000FF"/>
          </w:rPr>
          <w:t xml:space="preserve">de Vries et al. 2011</w:t>
        </w:r>
      </w:hyperlink>
      <w:r>
        <w:t xml:space="preserve">) sont </w:t>
      </w:r>
      <w:r>
        <w:t xml:space="preserve">perturbées par un certain nombre de facteurs communs. Premièrement, l'</w:t>
      </w:r>
      <w:r>
        <w:t xml:space="preserve">évaluation unique des scores au </w:t>
      </w:r>
      <w:r>
        <w:t xml:space="preserve">départ signifie qu'on ne sait pas si les scores étaient stables, déjà en amélioration ou en baisse avant de </w:t>
      </w:r>
      <w:r>
        <w:t xml:space="preserve">commencer le traitement. Deuxièmement, dans une étude non contrôlée, tout changement dans les scores entre la ligne de base </w:t>
      </w:r>
      <w:r>
        <w:t xml:space="preserve">et le suivi pourrait être attribué à une régression vers la moyenne</w:t>
      </w:r>
      <w:r>
        <w:t xml:space="preserve">, par exemple le fait de vieillir a été </w:t>
      </w:r>
      <w:r>
        <w:t xml:space="preserve">positivement associé à la maturité et au bien-être. Les études utilisent la moyenne et les </w:t>
      </w:r>
      <w:r>
        <w:t xml:space="preserve">écarts-types dans les statistiques descriptives et les analyses ; cependant, elles n'indiquent pas qu'elles testent la </w:t>
      </w:r>
      <w:r>
        <w:t xml:space="preserve">normalité des données, ce qui </w:t>
      </w:r>
      <w:r>
        <w:t xml:space="preserve">justifierait l'utilisation de mesures paramétriques. L'étude de de </w:t>
      </w:r>
      <w:r>
        <w:t xml:space="preserve">Vries et al. 2011 a utilisé des modèles linéaires généraux (régression) pour examiner les </w:t>
      </w:r>
      <w:r>
        <w:t xml:space="preserve">variances </w:t>
      </w:r>
      <w:r>
        <w:t xml:space="preserve">entre et au sein des </w:t>
      </w:r>
      <w:r>
        <w:t xml:space="preserve">groupes (changements dans les résultats). En utilisant de tels modèles, les données sont supposées être </w:t>
      </w:r>
      <w:r>
        <w:t xml:space="preserve">équilibrées (mesurées à intervalles réguliers et sans données manquantes), mais les grandes fourchettes d'</w:t>
      </w:r>
      <w:r>
        <w:t xml:space="preserve">âges auxquelles les participants ont été évalués et ont commencé les diverses interventions suggèrent que la </w:t>
      </w:r>
      <w:r>
        <w:t xml:space="preserve">vérification des résultats n'était probablement pas régulière et que les données manquantes étaient </w:t>
      </w:r>
      <w:r>
        <w:t xml:space="preserve">probables. </w:t>
      </w:r>
      <w:r>
        <w:t xml:space="preserve">Les données </w:t>
      </w:r>
      <w:r>
        <w:t xml:space="preserve">manquantes </w:t>
      </w:r>
      <w:r>
        <w:t xml:space="preserve">ont été traitées par suppression de liste (omettre les cas avec les données manquantes et </w:t>
      </w:r>
      <w:r>
        <w:t xml:space="preserve">analyser les données restantes), ce qui est acceptable si la perte de données est complètement aléatoire, mais pour </w:t>
      </w:r>
      <w:r>
        <w:t xml:space="preserve">certains résultats où les données étaient incomplètes pour des </w:t>
      </w:r>
      <w:r>
        <w:t xml:space="preserve">éléments </w:t>
      </w:r>
      <w:r>
        <w:t xml:space="preserve">individuels</w:t>
      </w:r>
      <w:r>
        <w:t xml:space="preserve">, ce n'était pas aléatoire </w:t>
      </w:r>
      <w:r>
        <w:t xml:space="preserve">(les éléments ont été introduits par les auteurs après que les premiers adolescents éligibles aient commencé les </w:t>
      </w:r>
      <w:r>
        <w:t xml:space="preserve">analogues de la </w:t>
      </w:r>
      <w:r>
        <w:t xml:space="preserve">GnRH</w:t>
      </w:r>
      <w:r>
        <w:t xml:space="preserve">). L'étude n'a fourni aucun détail sur le </w:t>
      </w:r>
      <w:r>
        <w:t xml:space="preserve">respect de </w:t>
      </w:r>
      <w:r>
        <w:t xml:space="preserve">ces hypothèses pour la modélisation</w:t>
      </w:r>
      <w:r>
        <w:t xml:space="preserve">, elle n'a pas non plus fourni d'évaluation adéquate de la </w:t>
      </w:r>
      <w:r>
        <w:t xml:space="preserve">réalisation de </w:t>
      </w:r>
      <w:r>
        <w:t xml:space="preserve">diagnostics de </w:t>
      </w:r>
      <w:r>
        <w:t xml:space="preserve">régression </w:t>
      </w:r>
      <w:r>
        <w:t xml:space="preserve">(analyse qui cherche à évaluer la validité d'un modèle) ou de l'ajustement du modèle (quelle part de la </w:t>
      </w:r>
      <w:r>
        <w:t xml:space="preserve">variance du résultat est expliquée par la variance entre et au sein du groupe)</w:t>
      </w:r>
      <w:r>
        <w:t xml:space="preserve">.</w:t>
      </w:r>
    </w:p>
    <w:p>
      <w:pPr>
        <w:pStyle w:val="Corpsdetexte"/>
        <w:spacing w:before="200" w:line="276" w:lineRule="auto"/>
        <w:ind w:end="469"/>
      </w:pPr>
      <w:r>
        <w:t xml:space="preserve">Les </w:t>
      </w:r>
      <w:r>
        <w:t xml:space="preserve">deux </w:t>
      </w:r>
      <w:r>
        <w:t xml:space="preserve">études d'</w:t>
      </w:r>
      <w:r>
        <w:t xml:space="preserve">observation rétrospectives </w:t>
      </w:r>
      <w:r>
        <w:t xml:space="preserve">(</w:t>
      </w:r>
      <w:hyperlink r:id="rId238">
        <w:r>
          <w:rPr>
            <w:color w:val="0000FF"/>
            <w:u w:val="single" w:color="0000FF"/>
          </w:rPr>
          <w:t xml:space="preserve">Brik et al. 2020 </w:t>
        </w:r>
      </w:hyperlink>
      <w:r>
        <w:t xml:space="preserve">; </w:t>
      </w:r>
      <w:hyperlink r:id="rId239">
        <w:r>
          <w:rPr>
            <w:color w:val="0000FF"/>
            <w:u w:val="single" w:color="0000FF"/>
          </w:rPr>
          <w:t xml:space="preserve">Khatchadourian et al. 2014</w:t>
        </w:r>
      </w:hyperlink>
      <w:r>
        <w:t xml:space="preserve">) </w:t>
      </w:r>
      <w:r>
        <w:t xml:space="preserve">ne rapportent que des </w:t>
      </w:r>
      <w:r>
        <w:t xml:space="preserve">chiffres </w:t>
      </w:r>
      <w:r>
        <w:t xml:space="preserve">absolus </w:t>
      </w:r>
      <w:r>
        <w:t xml:space="preserve">pour chaque trajectoire ainsi que les raisons de l'arrêt des </w:t>
      </w:r>
      <w:r>
        <w:t xml:space="preserve">analogues de la </w:t>
      </w:r>
      <w:r>
        <w:t xml:space="preserve">GnRH</w:t>
      </w:r>
      <w:r>
        <w:t xml:space="preserve">. Il est difficile d'évaluer les résultats de ces études menées dans un seul centre car il existe </w:t>
      </w:r>
      <w:r>
        <w:t xml:space="preserve">peu de données comparatives sur les résultats d'autres services de ce type. L'absence de </w:t>
      </w:r>
      <w:r>
        <w:t xml:space="preserve">résultats </w:t>
      </w:r>
      <w:r>
        <w:t xml:space="preserve">critiques ou d'autres </w:t>
      </w:r>
      <w:r>
        <w:t xml:space="preserve">résultats importants signifie également qu'il est </w:t>
      </w:r>
      <w:r>
        <w:t xml:space="preserve">difficile </w:t>
      </w:r>
      <w:r>
        <w:t xml:space="preserve">de </w:t>
      </w:r>
      <w:r>
        <w:t xml:space="preserve">juger de </w:t>
      </w:r>
      <w:r>
        <w:t xml:space="preserve">la réussite du traitement pour l'ensemble des participants</w:t>
      </w:r>
      <w:r>
        <w:t xml:space="preserve">.</w:t>
      </w:r>
    </w:p>
    <w:p>
      <w:pPr>
        <w:pStyle w:val="Corpsdetexte"/>
        <w:spacing w:before="202" w:line="276" w:lineRule="auto"/>
        <w:ind w:end="675"/>
      </w:pPr>
      <w:r>
        <w:t xml:space="preserve">Trois études non contrôlées, observationnelles et rétrospectives ont fourni des preuves relatives à l'</w:t>
      </w:r>
      <w:r>
        <w:t xml:space="preserve">effet des analogues de la GnRH sur la densité osseuse (</w:t>
      </w:r>
      <w:hyperlink r:id="rId240">
        <w:r>
          <w:rPr>
            <w:color w:val="0000FF"/>
            <w:u w:val="single" w:color="0000FF"/>
          </w:rPr>
          <w:t xml:space="preserve">Joseph et al. 2019 </w:t>
        </w:r>
      </w:hyperlink>
      <w:r>
        <w:t xml:space="preserve">; </w:t>
      </w:r>
      <w:hyperlink r:id="rId241">
        <w:r>
          <w:rPr>
            <w:color w:val="0000FF"/>
            <w:u w:val="single" w:color="0000FF"/>
          </w:rPr>
          <w:t xml:space="preserve">Klink et al. 2015 </w:t>
        </w:r>
      </w:hyperlink>
      <w:r>
        <w:rPr>
          <w:color w:val="0000FF"/>
          <w:u w:val="single" w:color="0000FF"/>
        </w:rPr>
        <w:t xml:space="preserve">; </w:t>
      </w:r>
      <w:hyperlink r:id="rId242">
        <w:r>
          <w:rPr>
            <w:color w:val="0000FF"/>
            <w:u w:val="single" w:color="0000FF"/>
          </w:rPr>
          <w:t xml:space="preserve">Vlot et al. </w:t>
        </w:r>
      </w:hyperlink>
      <w:hyperlink r:id="rId243">
        <w:r>
          <w:rPr>
            <w:color w:val="0000FF"/>
            <w:u w:val="single" w:color="0000FF"/>
          </w:rPr>
          <w:t xml:space="preserve">2017</w:t>
        </w:r>
      </w:hyperlink>
      <w:r>
        <w:t xml:space="preserve">). Dans ces trois études, les participants ont joué le rôle de témoins et l'évolution de la </w:t>
      </w:r>
      <w:r>
        <w:t xml:space="preserve">densité </w:t>
      </w:r>
      <w:r>
        <w:t xml:space="preserve">osseuse </w:t>
      </w:r>
      <w:r>
        <w:t xml:space="preserve">a été </w:t>
      </w:r>
      <w:r>
        <w:t xml:space="preserve">déterminée entre le début de la prise d'analogues de la GnRH et les </w:t>
      </w:r>
      <w:r>
        <w:t xml:space="preserve">périodes de </w:t>
      </w:r>
      <w:r>
        <w:t xml:space="preserve">suivi de </w:t>
      </w:r>
      <w:r>
        <w:t xml:space="preserve">1 et 2 ans </w:t>
      </w:r>
      <w:r>
        <w:t xml:space="preserve">(Joseph </w:t>
      </w:r>
      <w:r>
        <w:t xml:space="preserve">et </w:t>
      </w:r>
      <w:r>
        <w:t xml:space="preserve">al. 2019) </w:t>
      </w:r>
      <w:r>
        <w:t xml:space="preserve">ou </w:t>
      </w:r>
      <w:r>
        <w:t xml:space="preserve">le </w:t>
      </w:r>
      <w:r>
        <w:t xml:space="preserve">début de la prise d'</w:t>
      </w:r>
      <w:r>
        <w:t xml:space="preserve">hormones </w:t>
      </w:r>
      <w:r>
        <w:t xml:space="preserve">d'affirmation du genre.</w:t>
      </w:r>
    </w:p>
    <w:p w:rsidR="00432386" w:rsidRDefault="00432386">
      <w:pPr>
        <w:spacing w:line="276" w:lineRule="auto"/>
        <w:sectPr w:rsidR="00432386">
          <w:pgSz w:w="11910" w:h="16840"/>
          <w:pgMar w:top="1180" w:right="980" w:bottom="1460" w:left="1280" w:header="0" w:footer="1183" w:gutter="0"/>
          <w:cols w:space="720"/>
        </w:sectPr>
      </w:pPr>
    </w:p>
    <w:p>
      <w:pPr>
        <w:pStyle w:val="Corpsdetexte"/>
        <w:spacing w:before="78" w:line="276" w:lineRule="auto"/>
        <w:ind w:end="530"/>
      </w:pPr>
      <w:r>
        <w:lastRenderedPageBreak/>
        <w:t xml:space="preserve">(Klink et al. 2015 et Vlot et al. 2017). Les études d'observation telles que celles-ci ne peuvent que montrer </w:t>
      </w:r>
      <w:r>
        <w:t xml:space="preserve">une association entre les analogues de la GnRH et la densité osseuse ; elles ne peuvent pas montrer que les </w:t>
      </w:r>
      <w:r>
        <w:t xml:space="preserve">analogues de la </w:t>
      </w:r>
      <w:r>
        <w:t xml:space="preserve">GnRH </w:t>
      </w:r>
      <w:r>
        <w:t xml:space="preserve">ont causé </w:t>
      </w:r>
      <w:r>
        <w:t xml:space="preserve">les </w:t>
      </w:r>
      <w:r>
        <w:t xml:space="preserve">différences de </w:t>
      </w:r>
      <w:r>
        <w:t xml:space="preserve">densité </w:t>
      </w:r>
      <w:r>
        <w:t xml:space="preserve">osseuse </w:t>
      </w:r>
      <w:r>
        <w:t xml:space="preserve">observées. </w:t>
      </w:r>
      <w:r>
        <w:t xml:space="preserve">Comme </w:t>
      </w:r>
      <w:r>
        <w:t xml:space="preserve">il </w:t>
      </w:r>
      <w:r>
        <w:t xml:space="preserve">n'y avait pas de </w:t>
      </w:r>
      <w:r>
        <w:t xml:space="preserve">groupe de </w:t>
      </w:r>
      <w:r>
        <w:t xml:space="preserve">comparaison </w:t>
      </w:r>
      <w:r>
        <w:t xml:space="preserve">et que les participants ont agi comme leurs propres témoins, on ne sait pas si les résultats sont </w:t>
      </w:r>
      <w:r>
        <w:t xml:space="preserve">associés aux analogues de la GnRH ou </w:t>
      </w:r>
      <w:r>
        <w:t xml:space="preserve">s'ils sont </w:t>
      </w:r>
      <w:r>
        <w:t xml:space="preserve">dus à des changements dans le temps. Les auteurs ont rapporté des </w:t>
      </w:r>
      <w:r>
        <w:t xml:space="preserve">scores </w:t>
      </w:r>
      <w:r>
        <w:t xml:space="preserve">z, </w:t>
      </w:r>
      <w:r>
        <w:t xml:space="preserve">ce qui permet une comparaison avec l'augmentation attendue de la densité osseuse dans </w:t>
      </w:r>
      <w:r>
        <w:t xml:space="preserve">la </w:t>
      </w:r>
      <w:r>
        <w:t xml:space="preserve">population générale. Cependant, comme aucun traitement concomitant ou comorbidité n'a été </w:t>
      </w:r>
      <w:r>
        <w:t xml:space="preserve">signalé, il est possible que les résultats ne soient pas dus aux analogues de la GnRH et que </w:t>
      </w:r>
      <w:r>
        <w:t xml:space="preserve">la </w:t>
      </w:r>
      <w:r>
        <w:t xml:space="preserve">population </w:t>
      </w:r>
      <w:r>
        <w:t xml:space="preserve">étudiée </w:t>
      </w:r>
      <w:r>
        <w:t xml:space="preserve">diffère </w:t>
      </w:r>
      <w:r>
        <w:t xml:space="preserve">de la </w:t>
      </w:r>
      <w:r>
        <w:t xml:space="preserve">population </w:t>
      </w:r>
      <w:r>
        <w:t xml:space="preserve">générale d</w:t>
      </w:r>
      <w:r>
        <w:t xml:space="preserve">'une </w:t>
      </w:r>
      <w:r>
        <w:t xml:space="preserve">autre </w:t>
      </w:r>
      <w:r>
        <w:t xml:space="preserve">manière</w:t>
      </w:r>
      <w:r>
        <w:t xml:space="preserve">.</w:t>
      </w:r>
    </w:p>
    <w:p>
      <w:pPr>
        <w:pStyle w:val="Corpsdetexte"/>
        <w:spacing w:before="200" w:line="276" w:lineRule="auto"/>
        <w:ind w:end="677"/>
      </w:pPr>
      <w:r>
        <w:t xml:space="preserve">Toutes les études proviennent d'un nombre limité de services de soins, principalement européens. Elles sont </w:t>
      </w:r>
      <w:r>
        <w:t xml:space="preserve">décrites comme des services de référence tertiaire ou des services d'experts, mais le faible nombre de services </w:t>
      </w:r>
      <w:r>
        <w:t xml:space="preserve">fournissant de tels soins et publiant des données probantes peut biaiser les résultats en faveur des </w:t>
      </w:r>
      <w:r>
        <w:t xml:space="preserve">résultats obtenus dans </w:t>
      </w:r>
      <w:r>
        <w:t xml:space="preserve">ces </w:t>
      </w:r>
      <w:r>
        <w:t xml:space="preserve">seuls </w:t>
      </w:r>
      <w:r>
        <w:t xml:space="preserve">services </w:t>
      </w:r>
      <w:r>
        <w:t xml:space="preserve">et </w:t>
      </w:r>
      <w:r>
        <w:t xml:space="preserve">limiter l'</w:t>
      </w:r>
      <w:r>
        <w:t xml:space="preserve">extrapolation.</w:t>
      </w:r>
    </w:p>
    <w:p>
      <w:pPr>
        <w:pStyle w:val="Corpsdetexte"/>
        <w:spacing w:before="199" w:line="276" w:lineRule="auto"/>
        <w:ind w:end="482"/>
      </w:pPr>
      <w:r>
        <w:t xml:space="preserve">La première étude (</w:t>
      </w:r>
      <w:hyperlink r:id="rId244">
        <w:r>
          <w:rPr>
            <w:color w:val="0000FF"/>
            <w:u w:val="single" w:color="0000FF"/>
          </w:rPr>
          <w:t xml:space="preserve">Brik et al. 2020</w:t>
        </w:r>
      </w:hyperlink>
      <w:r>
        <w:t xml:space="preserve">) était une étude d'observation rétrospective non contrôlée qui a </w:t>
      </w:r>
      <w:r>
        <w:t xml:space="preserve">évalué les trajectoires des résultats des adolescents recevant des analogues de la GnRH pour la </w:t>
      </w:r>
      <w:r>
        <w:t xml:space="preserve">dysphorie de </w:t>
      </w:r>
      <w:r>
        <w:t xml:space="preserve">genre</w:t>
      </w:r>
      <w:r>
        <w:t xml:space="preserve">. Cette étude a suivi 143 personnes qui avaient reçu des analogues de la GnRH (38 </w:t>
      </w:r>
      <w:r>
        <w:t xml:space="preserve">transfemmes et 105 transmales) en utilisant les dossiers cliniques pour montrer les résultats jusqu'à 9 </w:t>
      </w:r>
      <w:r>
        <w:t xml:space="preserve">ans </w:t>
      </w:r>
      <w:r>
        <w:t xml:space="preserve">(</w:t>
      </w:r>
      <w:r>
        <w:t xml:space="preserve">utilisation </w:t>
      </w:r>
      <w:r>
        <w:t xml:space="preserve">continue </w:t>
      </w:r>
      <w:r>
        <w:t xml:space="preserve">des </w:t>
      </w:r>
      <w:r>
        <w:t xml:space="preserve">analogues de la </w:t>
      </w:r>
      <w:r>
        <w:t xml:space="preserve">GnRH</w:t>
      </w:r>
      <w:r>
        <w:t xml:space="preserve">, </w:t>
      </w:r>
      <w:r>
        <w:t xml:space="preserve">raisons de l'</w:t>
      </w:r>
      <w:r>
        <w:t xml:space="preserve">arrêt des </w:t>
      </w:r>
      <w:r>
        <w:t xml:space="preserve">analogues de la </w:t>
      </w:r>
      <w:r>
        <w:t xml:space="preserve">GnRH </w:t>
      </w:r>
      <w:r>
        <w:t xml:space="preserve">et </w:t>
      </w:r>
      <w:r>
        <w:t xml:space="preserve">soins </w:t>
      </w:r>
      <w:r>
        <w:t xml:space="preserve">ultérieurs </w:t>
      </w:r>
      <w:r>
        <w:t xml:space="preserve">tels que l'utilisation d'hormones d'affirmation du genre). Les méthodes et les résultats sont bien rapportés, mais </w:t>
      </w:r>
      <w:r>
        <w:t xml:space="preserve">aucune analyse des données n'a été entreprise. Les opinions des adolescents et de leurs </w:t>
      </w:r>
      <w:r>
        <w:t xml:space="preserve">parents sont </w:t>
      </w:r>
      <w:r>
        <w:t xml:space="preserve">particulièrement difficiles à interpréter car aucune donnée n'est </w:t>
      </w:r>
      <w:r>
        <w:t xml:space="preserve">rapportée </w:t>
      </w:r>
      <w:r>
        <w:t xml:space="preserve">sur le nombre de personnes ayant répondu à chaque question </w:t>
      </w:r>
      <w:r>
        <w:t xml:space="preserve">et sur </w:t>
      </w:r>
      <w:r>
        <w:t xml:space="preserve">la </w:t>
      </w:r>
      <w:r>
        <w:t xml:space="preserve">manière dont elles l'ont fait</w:t>
      </w:r>
      <w:r>
        <w:t xml:space="preserve">.</w:t>
      </w:r>
    </w:p>
    <w:p>
      <w:pPr>
        <w:pStyle w:val="Corpsdetexte"/>
        <w:spacing w:before="203" w:line="276" w:lineRule="auto"/>
        <w:ind w:end="518"/>
      </w:pPr>
      <w:r>
        <w:t xml:space="preserve">La </w:t>
      </w:r>
      <w:r>
        <w:t xml:space="preserve">deuxième étude (</w:t>
      </w:r>
      <w:hyperlink r:id="rId245">
        <w:r>
          <w:rPr>
            <w:color w:val="0000FF"/>
            <w:u w:val="single" w:color="0000FF"/>
          </w:rPr>
          <w:t xml:space="preserve">Costa et al. 2015</w:t>
        </w:r>
      </w:hyperlink>
      <w:r>
        <w:t xml:space="preserve">) </w:t>
      </w:r>
      <w:r>
        <w:t xml:space="preserve">est une étude observationnelle prospective non contrôlée </w:t>
      </w:r>
      <w:r>
        <w:t xml:space="preserve">qui a évalué le fonctionnement global chez les adolescents atteints de dysphorie de genre en utilisant le CGAS tous les </w:t>
      </w:r>
      <w:r>
        <w:t xml:space="preserve">6 mois, y compris pendant les 6 premiers mois où des améliorations statistiquement significatives </w:t>
      </w:r>
      <w:r>
        <w:t xml:space="preserve">ont été observées sans </w:t>
      </w:r>
      <w:r>
        <w:t xml:space="preserve">analogues de la</w:t>
      </w:r>
      <w:r>
        <w:t xml:space="preserve"> GnRH</w:t>
      </w:r>
      <w:r>
        <w:t xml:space="preserve">. L'étude est confondue par une </w:t>
      </w:r>
      <w:r>
        <w:t xml:space="preserve">perte de suivi </w:t>
      </w:r>
      <w:r>
        <w:t xml:space="preserve">significative et inexpliquée </w:t>
      </w:r>
      <w:r>
        <w:t xml:space="preserve">(64,7% : de n=201 adolescents à n=71 après 18 mois). Les données manquantes pour les </w:t>
      </w:r>
      <w:r>
        <w:t xml:space="preserve">personnes perdues de vue peuvent être plus que suffisantes pour modifier la direction des effets observés dans l'</w:t>
      </w:r>
      <w:r>
        <w:t xml:space="preserve">étude </w:t>
      </w:r>
      <w:r>
        <w:t xml:space="preserve">si les raisons de la perte de suivi sont systématiques (comme le fait de tirer peu ou pas de </w:t>
      </w:r>
      <w:r>
        <w:t xml:space="preserve">bénéfices du traitement). L'étude utilise des données en grappes dans son analyse, un seul résultat </w:t>
      </w:r>
      <w:r>
        <w:t xml:space="preserve">(CGAS) mesuré en grappes (à différentes visites), et l'analyse ne tient pas </w:t>
      </w:r>
      <w:r>
        <w:t xml:space="preserve">compte de la </w:t>
      </w:r>
      <w:r>
        <w:t xml:space="preserve">corrélation des scores (les données à différents points dans le temps ne sont pas indépendantes) car un </w:t>
      </w:r>
      <w:r>
        <w:t xml:space="preserve">changement </w:t>
      </w:r>
      <w:r>
        <w:t xml:space="preserve">significatif </w:t>
      </w:r>
      <w:r>
        <w:t xml:space="preserve">des scores au début de l'étude signifie que les changements successifs mesurés par rapport à la </w:t>
      </w:r>
      <w:r>
        <w:t xml:space="preserve">ligne de base </w:t>
      </w:r>
      <w:r>
        <w:t xml:space="preserve">étaient </w:t>
      </w:r>
      <w:r>
        <w:t xml:space="preserve">également </w:t>
      </w:r>
      <w:r>
        <w:t xml:space="preserve">significatifs. </w:t>
      </w:r>
      <w:r>
        <w:t xml:space="preserve">L'</w:t>
      </w:r>
      <w:r>
        <w:t xml:space="preserve">étude </w:t>
      </w:r>
      <w:r>
        <w:t xml:space="preserve">s'appuie </w:t>
      </w:r>
      <w:r>
        <w:t xml:space="preserve">sur </w:t>
      </w:r>
      <w:r>
        <w:t xml:space="preserve">de multiples </w:t>
      </w:r>
      <w:r>
        <w:t xml:space="preserve">(&gt; 20) tests </w:t>
      </w:r>
      <w:r>
        <w:t xml:space="preserve">indépendants</w:t>
      </w:r>
      <w:r>
        <w:t xml:space="preserve"> par paires.</w:t>
      </w:r>
    </w:p>
    <w:p>
      <w:pPr>
        <w:pStyle w:val="Corpsdetexte"/>
        <w:spacing w:before="0" w:line="276" w:lineRule="auto"/>
        <w:ind w:end="522"/>
      </w:pPr>
      <w:r>
        <w:t xml:space="preserve">Les </w:t>
      </w:r>
      <w:r>
        <w:rPr>
          <w:i/>
        </w:rPr>
        <w:t xml:space="preserve">tests t </w:t>
      </w:r>
      <w:r>
        <w:t xml:space="preserve">pour examiner l'évolution du CGAS entre les quatre points temporels augmentent la possibilité d'une </w:t>
      </w:r>
      <w:r>
        <w:t xml:space="preserve">erreur de type I (un faux positif qui se produit lorsqu'un chercheur rejette à tort une véritable </w:t>
      </w:r>
      <w:r>
        <w:t xml:space="preserve">hypothèse </w:t>
      </w:r>
      <w:r>
        <w:t xml:space="preserve">nulle</w:t>
      </w:r>
      <w:r>
        <w:t xml:space="preserve">), car plus le nombre de tests effectués est élevé</w:t>
      </w:r>
      <w:r>
        <w:t xml:space="preserve">, plus il </w:t>
      </w:r>
      <w:r>
        <w:t xml:space="preserve">est </w:t>
      </w:r>
      <w:r>
        <w:t xml:space="preserve">probable qu'un résultat statistiquement significatif </w:t>
      </w:r>
      <w:r>
        <w:t xml:space="preserve">soit observé par </w:t>
      </w:r>
      <w:r>
        <w:t xml:space="preserve">simple hasard.</w:t>
      </w:r>
    </w:p>
    <w:p>
      <w:pPr>
        <w:pStyle w:val="Corpsdetexte"/>
        <w:spacing w:before="199" w:line="276" w:lineRule="auto"/>
        <w:ind w:end="542"/>
      </w:pPr>
      <w:r>
        <w:t xml:space="preserve">L'</w:t>
      </w:r>
      <w:r>
        <w:t xml:space="preserve">étude de </w:t>
      </w:r>
      <w:hyperlink r:id="rId246">
        <w:r>
          <w:rPr>
            <w:color w:val="0000FF"/>
            <w:u w:val="single" w:color="0000FF"/>
          </w:rPr>
          <w:t xml:space="preserve">Costa et al. 2015 </w:t>
        </w:r>
      </w:hyperlink>
      <w:r>
        <w:t xml:space="preserve">compare les </w:t>
      </w:r>
      <w:r>
        <w:t xml:space="preserve">cohortes</w:t>
      </w:r>
      <w:r>
        <w:t xml:space="preserve"> immédiatement éligibles et les </w:t>
      </w:r>
      <w:r>
        <w:t xml:space="preserve">cohortes</w:t>
      </w:r>
      <w:r>
        <w:t xml:space="preserve"> éligibles retardées</w:t>
      </w:r>
      <w:r>
        <w:t xml:space="preserve">, </w:t>
      </w:r>
      <w:r>
        <w:t xml:space="preserve">cependant, il est fort probable qu'il s'agisse de groupes non comparables car le </w:t>
      </w:r>
      <w:r>
        <w:t xml:space="preserve">groupe </w:t>
      </w:r>
      <w:r>
        <w:t xml:space="preserve">immédiatement </w:t>
      </w:r>
      <w:r>
        <w:t xml:space="preserve">éligible était celui qui pouvait commencer les analogues de la GnRH directement tandis que ceux du </w:t>
      </w:r>
      <w:r>
        <w:t xml:space="preserve">groupe éligible retardé n'étaient soit pas prêts à prendre une décision sur le </w:t>
      </w:r>
      <w:r>
        <w:t xml:space="preserve">début du traitement (aucune </w:t>
      </w:r>
      <w:r>
        <w:t xml:space="preserve">comparaison d'âge </w:t>
      </w:r>
      <w:r>
        <w:t xml:space="preserve">n'</w:t>
      </w:r>
      <w:r>
        <w:t xml:space="preserve">a été faite entre les 2 groupes donc il n'est pas clair s'il s'agissait d'une </w:t>
      </w:r>
      <w:r>
        <w:t xml:space="preserve">cohorte </w:t>
      </w:r>
      <w:r>
        <w:t xml:space="preserve">plus jeune </w:t>
      </w:r>
      <w:r>
        <w:t xml:space="preserve">que le groupe immédiatement éligible) ou avaient des </w:t>
      </w:r>
      <w:r>
        <w:t xml:space="preserve">problèmes de </w:t>
      </w:r>
      <w:r>
        <w:t xml:space="preserve">santé mentale ou psychologiques comorbides</w:t>
      </w:r>
      <w:r>
        <w:t xml:space="preserve">. </w:t>
      </w:r>
      <w:r>
        <w:t xml:space="preserve">Les </w:t>
      </w:r>
      <w:r>
        <w:t xml:space="preserve">auteurs </w:t>
      </w:r>
      <w:r>
        <w:t xml:space="preserve">rapportent </w:t>
      </w:r>
      <w:r>
        <w:t xml:space="preserve">que les </w:t>
      </w:r>
      <w:r>
        <w:t xml:space="preserve">personnes </w:t>
      </w:r>
      <w:r>
        <w:t xml:space="preserve">ayant des </w:t>
      </w:r>
      <w:r>
        <w:t xml:space="preserve">problèmes </w:t>
      </w:r>
      <w:r>
        <w:t xml:space="preserve">concomitants </w:t>
      </w:r>
      <w:r>
        <w:t xml:space="preserve">(tels que </w:t>
      </w:r>
      <w:r>
        <w:t xml:space="preserve">des problèmes </w:t>
      </w:r>
      <w:r>
        <w:t xml:space="preserve">de santé </w:t>
      </w:r>
      <w:r>
        <w:t xml:space="preserve">mentale, des troubles de l'humeur, etc.</w:t>
      </w:r>
    </w:p>
    <w:p w:rsidR="00432386" w:rsidRDefault="00432386">
      <w:pPr>
        <w:spacing w:line="276" w:lineRule="auto"/>
        <w:sectPr w:rsidR="00432386">
          <w:pgSz w:w="11910" w:h="16840"/>
          <w:pgMar w:top="1180" w:right="980" w:bottom="1460" w:left="1280" w:header="0" w:footer="1183" w:gutter="0"/>
          <w:cols w:space="720"/>
        </w:sectPr>
      </w:pPr>
    </w:p>
    <w:p>
      <w:pPr>
        <w:pStyle w:val="Corpsdetexte"/>
        <w:spacing w:before="78" w:line="278" w:lineRule="auto"/>
        <w:ind w:end="446"/>
      </w:pPr>
      <w:r>
        <w:lastRenderedPageBreak/>
        <w:t xml:space="preserve">problèmes, problèmes importants avec les pairs ou conflits avec les parents ou les frères et sœurs) ont été orientés </w:t>
      </w:r>
      <w:r>
        <w:t xml:space="preserve">vers les </w:t>
      </w:r>
      <w:r>
        <w:t xml:space="preserve">services </w:t>
      </w:r>
      <w:r>
        <w:t xml:space="preserve">locaux </w:t>
      </w:r>
      <w:r>
        <w:t xml:space="preserve">de santé </w:t>
      </w:r>
      <w:r>
        <w:t xml:space="preserve">mentale</w:t>
      </w:r>
      <w:r>
        <w:t xml:space="preserve">, mais </w:t>
      </w:r>
      <w:r>
        <w:t xml:space="preserve">aucun détail n'est </w:t>
      </w:r>
      <w:r>
        <w:t xml:space="preserve">fourni.</w:t>
      </w:r>
    </w:p>
    <w:p>
      <w:pPr>
        <w:pStyle w:val="Corpsdetexte"/>
        <w:spacing w:before="194" w:line="276" w:lineRule="auto"/>
        <w:ind w:end="482"/>
      </w:pPr>
      <w:r>
        <w:t xml:space="preserve">La </w:t>
      </w:r>
      <w:r>
        <w:t xml:space="preserve">troisième étude (</w:t>
      </w:r>
      <w:hyperlink r:id="rId247">
        <w:r>
          <w:rPr>
            <w:color w:val="0000FF"/>
            <w:u w:val="single" w:color="0000FF"/>
          </w:rPr>
          <w:t xml:space="preserve">de Vries et al. 2011</w:t>
        </w:r>
      </w:hyperlink>
      <w:r>
        <w:t xml:space="preserve">) était une étude observationnelle prospective non contrôlée </w:t>
      </w:r>
      <w:r>
        <w:t xml:space="preserve">qui évaluait la dysphorie de genre et le fonctionnement psychologique avant et après la </w:t>
      </w:r>
      <w:r>
        <w:t xml:space="preserve">suppression de la </w:t>
      </w:r>
      <w:r>
        <w:t xml:space="preserve">puberté </w:t>
      </w:r>
      <w:r>
        <w:t xml:space="preserve">chez les adolescents atteints de dysphorie de genre. Bien que l'étude mentionne le DSM- </w:t>
      </w:r>
      <w:r>
        <w:t xml:space="preserve">IV-TR</w:t>
      </w:r>
      <w:r>
        <w:t xml:space="preserve">, il </w:t>
      </w:r>
      <w:r>
        <w:t xml:space="preserve">n'</w:t>
      </w:r>
      <w:r>
        <w:t xml:space="preserve">y a </w:t>
      </w:r>
      <w:r>
        <w:t xml:space="preserve">aucune </w:t>
      </w:r>
      <w:r>
        <w:t xml:space="preserve">discussion </w:t>
      </w:r>
      <w:r>
        <w:t xml:space="preserve">explicite </w:t>
      </w:r>
      <w:r>
        <w:t xml:space="preserve">sur l'</w:t>
      </w:r>
      <w:r>
        <w:t xml:space="preserve">utilisation </w:t>
      </w:r>
      <w:r>
        <w:t xml:space="preserve">de </w:t>
      </w:r>
      <w:r>
        <w:t xml:space="preserve">ce </w:t>
      </w:r>
      <w:r>
        <w:t xml:space="preserve">critère</w:t>
      </w:r>
      <w:r>
        <w:t xml:space="preserve">, ou de tout </w:t>
      </w:r>
      <w:r>
        <w:t xml:space="preserve">autre </w:t>
      </w:r>
      <w:r>
        <w:t xml:space="preserve">critère, </w:t>
      </w:r>
      <w:r>
        <w:t xml:space="preserve">comme </w:t>
      </w:r>
      <w:r>
        <w:t xml:space="preserve">critère de diagnostic pour l'entrée dans l'étude. Aucun détail n'est fourni sur la manière dont les </w:t>
      </w:r>
      <w:r>
        <w:t xml:space="preserve">résultats de l'</w:t>
      </w:r>
      <w:r>
        <w:t xml:space="preserve">étude ont été évalués, et par qui. La durée du suivi pour les résultats dans le modèle </w:t>
      </w:r>
      <w:r>
        <w:t xml:space="preserve">est discutable par rapport à la question de savoir s'il y avait suffisamment de temps pour que les analogues de la GnRH aient un </w:t>
      </w:r>
      <w:r>
        <w:t xml:space="preserve">effet mesurable. Les points de temps utilisés sont le début des </w:t>
      </w:r>
      <w:r>
        <w:t xml:space="preserve">analogues de la GnRH et le début des </w:t>
      </w:r>
      <w:r>
        <w:t xml:space="preserve">hormones d'affirmation du </w:t>
      </w:r>
      <w:r>
        <w:t xml:space="preserve">genre</w:t>
      </w:r>
      <w:r>
        <w:t xml:space="preserve">. Dans l'ensemble, le délai moyen entre le début de l'administration des analogues de la GnRH et le début de l'administration des </w:t>
      </w:r>
      <w:r>
        <w:t xml:space="preserve">hormones d'</w:t>
      </w:r>
      <w:r>
        <w:t xml:space="preserve">affirmation du </w:t>
      </w:r>
      <w:r>
        <w:t xml:space="preserve">genre </w:t>
      </w:r>
      <w:r>
        <w:t xml:space="preserve">était de 1,88 </w:t>
      </w:r>
      <w:r>
        <w:t xml:space="preserve">(±1,05) an, </w:t>
      </w:r>
      <w:r>
        <w:t xml:space="preserve">mais l'</w:t>
      </w:r>
      <w:r>
        <w:t xml:space="preserve">intervalle peut </w:t>
      </w:r>
      <w:r>
        <w:t xml:space="preserve">aller jusqu</w:t>
      </w:r>
      <w:r>
        <w:t xml:space="preserve">'</w:t>
      </w:r>
      <w:r>
        <w:t xml:space="preserve">à </w:t>
      </w:r>
      <w:r>
        <w:t xml:space="preserve">5 </w:t>
      </w:r>
      <w:r>
        <w:t xml:space="preserve">mois </w:t>
      </w:r>
      <w:r>
        <w:t xml:space="preserve">seulement </w:t>
      </w:r>
      <w:r>
        <w:t xml:space="preserve">entre les deux points temporels, ce qui pourrait être </w:t>
      </w:r>
      <w:r>
        <w:t xml:space="preserve">insuffisant pour qu'une différence dans les résultats </w:t>
      </w:r>
      <w:r>
        <w:t xml:space="preserve">se soit produite </w:t>
      </w:r>
      <w:r>
        <w:t xml:space="preserve">chez certains individus.</w:t>
      </w:r>
    </w:p>
    <w:p>
      <w:pPr>
        <w:pStyle w:val="Corpsdetexte"/>
        <w:spacing w:before="200" w:line="276" w:lineRule="auto"/>
        <w:ind w:end="458"/>
      </w:pPr>
      <w:r>
        <w:t xml:space="preserve">La </w:t>
      </w:r>
      <w:r>
        <w:t xml:space="preserve">quatrième étude (</w:t>
      </w:r>
      <w:hyperlink r:id="rId248">
        <w:r>
          <w:rPr>
            <w:color w:val="0000FF"/>
            <w:u w:val="single" w:color="0000FF"/>
          </w:rPr>
          <w:t xml:space="preserve">Joseph et al. 2019</w:t>
        </w:r>
      </w:hyperlink>
      <w:r>
        <w:rPr>
          <w:color w:val="0000FF"/>
          <w:u w:val="single" w:color="0000FF"/>
        </w:rPr>
        <w:t xml:space="preserve">) </w:t>
      </w:r>
      <w:r>
        <w:t xml:space="preserve">était une étude rétrospective, longitudinale d'observation </w:t>
      </w:r>
      <w:r>
        <w:t xml:space="preserve">monocentrique qui a évalué la densité minérale osseuse chez les adolescents atteints de dysphorie de genre au </w:t>
      </w:r>
      <w:r>
        <w:t xml:space="preserve">Royaume-Uni. Pour être inclus dans l'étude, les participants devaient avoir été évalués par l'</w:t>
      </w:r>
      <w:r>
        <w:t xml:space="preserve">équipe de santé psychosociale multidisciplinaire </w:t>
      </w:r>
      <w:r>
        <w:t xml:space="preserve">du Gender </w:t>
      </w:r>
      <w:r>
        <w:t xml:space="preserve">Identity Development Service pendant </w:t>
      </w:r>
      <w:r>
        <w:t xml:space="preserve">au moins 4 </w:t>
      </w:r>
      <w:r>
        <w:t xml:space="preserve">évaluations sur une période minimale de 6 mois. Aucun autre critère de diagnostic, tel que le </w:t>
      </w:r>
      <w:r>
        <w:t xml:space="preserve">DSM-IV-TR,</w:t>
      </w:r>
      <w:r>
        <w:t xml:space="preserve"> n'</w:t>
      </w:r>
      <w:r>
        <w:t xml:space="preserve">est discuté. La densité osseuse a été évaluée par absorptiométrie à rayons X à double énergie </w:t>
      </w:r>
      <w:r>
        <w:t xml:space="preserve">(DAXA) de la colonne lombaire (L1-L4) et du col du fémur au début de l'étude </w:t>
      </w:r>
      <w:r>
        <w:t xml:space="preserve">(n=70), 1 an </w:t>
      </w:r>
      <w:r>
        <w:t xml:space="preserve">(n=70) et 2 ans après avoir commencé les analogues de la GnRH (n=39). Les résultats suggèrent une </w:t>
      </w:r>
      <w:r>
        <w:t xml:space="preserve">association </w:t>
      </w:r>
      <w:r>
        <w:t xml:space="preserve">possible </w:t>
      </w:r>
      <w:r>
        <w:t xml:space="preserve">entre les analogues de la GnRH et la densité minérale apparente des os. Cependant, les </w:t>
      </w:r>
      <w:r>
        <w:t xml:space="preserve">preuves sont de mauvaise qualité et les résultats pourraient être dus à un biais ou au </w:t>
      </w:r>
      <w:r>
        <w:t xml:space="preserve">hasard. Aucun </w:t>
      </w:r>
      <w:r>
        <w:t xml:space="preserve">traitement </w:t>
      </w:r>
      <w:r>
        <w:t xml:space="preserve">concomitant </w:t>
      </w:r>
      <w:r>
        <w:t xml:space="preserve">ou </w:t>
      </w:r>
      <w:r>
        <w:t xml:space="preserve">comorbidité </w:t>
      </w:r>
      <w:r>
        <w:t xml:space="preserve">n'a été </w:t>
      </w:r>
      <w:r>
        <w:t xml:space="preserve">signalé.</w:t>
      </w:r>
    </w:p>
    <w:p>
      <w:pPr>
        <w:pStyle w:val="Corpsdetexte"/>
        <w:spacing w:before="201" w:line="276" w:lineRule="auto"/>
        <w:ind w:end="530"/>
      </w:pPr>
      <w:r>
        <w:t xml:space="preserve">La cinquième étude (</w:t>
      </w:r>
      <w:hyperlink r:id="rId249">
        <w:r>
          <w:rPr>
            <w:color w:val="0000FF"/>
            <w:u w:val="single" w:color="0000FF"/>
          </w:rPr>
          <w:t xml:space="preserve">Khatchadourian et al. 2014</w:t>
        </w:r>
      </w:hyperlink>
      <w:r>
        <w:t xml:space="preserve">) est une </w:t>
      </w:r>
      <w:r>
        <w:t xml:space="preserve">étude d</w:t>
      </w:r>
      <w:r>
        <w:t xml:space="preserve">'observation rétrospective non contrôlée </w:t>
      </w:r>
      <w:r>
        <w:t xml:space="preserve">qui décrit les caractéristiques des patients à la présentation, le traitement et la réponse au </w:t>
      </w:r>
      <w:r>
        <w:t xml:space="preserve">traitement chez 84 adolescents atteints de dysphorie de genre, dont 27 ont reçu des analogues de la GnRH. L'</w:t>
      </w:r>
      <w:r>
        <w:t xml:space="preserve">étude a utilisé les dossiers cliniques pour montrer les résultats jusqu'à 13 ans (</w:t>
      </w:r>
      <w:r>
        <w:t xml:space="preserve">utilisation continue des </w:t>
      </w:r>
      <w:r>
        <w:t xml:space="preserve">analogues de la GnRH, raisons de l'arrêt des analogues de la GnRH et soins ultérieurs tels que l'</w:t>
      </w:r>
      <w:r>
        <w:t xml:space="preserve">utilisation d'hormones d'affirmation du </w:t>
      </w:r>
      <w:r>
        <w:t xml:space="preserve">genre</w:t>
      </w:r>
      <w:r>
        <w:t xml:space="preserve">). Les méthodes sont bien rapportées mais les résultats pour ceux qui prennent des </w:t>
      </w:r>
      <w:r>
        <w:t xml:space="preserve">analogues de la GnRH sont mal rapportés et incomplets, en particulier pour les </w:t>
      </w:r>
      <w:r>
        <w:t xml:space="preserve">transfemmes, et aucune </w:t>
      </w:r>
      <w:r>
        <w:t xml:space="preserve">analyse des données </w:t>
      </w:r>
      <w:r>
        <w:t xml:space="preserve">n'a été </w:t>
      </w:r>
      <w:r>
        <w:t xml:space="preserve">entreprise. Il est difficile d'évaluer les résultats de l'arrêt des </w:t>
      </w:r>
      <w:r>
        <w:t xml:space="preserve">analogues de la </w:t>
      </w:r>
      <w:r>
        <w:t xml:space="preserve">GnRH en </w:t>
      </w:r>
      <w:r>
        <w:t xml:space="preserve">raison </w:t>
      </w:r>
      <w:r>
        <w:t xml:space="preserve">du </w:t>
      </w:r>
      <w:r>
        <w:t xml:space="preserve">rapport </w:t>
      </w:r>
      <w:r>
        <w:t xml:space="preserve">incomplet </w:t>
      </w:r>
      <w:r>
        <w:t xml:space="preserve">de </w:t>
      </w:r>
      <w:r>
        <w:t xml:space="preserve">ce </w:t>
      </w:r>
      <w:r>
        <w:t xml:space="preserve">résultat.</w:t>
      </w:r>
    </w:p>
    <w:p>
      <w:pPr>
        <w:pStyle w:val="Corpsdetexte"/>
        <w:spacing w:before="200" w:line="276" w:lineRule="auto"/>
        <w:ind w:end="824"/>
      </w:pPr>
      <w:r>
        <w:t xml:space="preserve">La </w:t>
      </w:r>
      <w:r>
        <w:t xml:space="preserve">sixième étude (</w:t>
      </w:r>
      <w:hyperlink r:id="rId250">
        <w:r>
          <w:rPr>
            <w:color w:val="0000FF"/>
            <w:u w:val="single" w:color="0000FF"/>
          </w:rPr>
          <w:t xml:space="preserve">Klink et al. 2015</w:t>
        </w:r>
      </w:hyperlink>
      <w:r>
        <w:rPr>
          <w:color w:val="0000FF"/>
          <w:u w:val="single" w:color="0000FF"/>
        </w:rPr>
        <w:t xml:space="preserve">) </w:t>
      </w:r>
      <w:r>
        <w:t xml:space="preserve">était une étude rétrospective longitudinale d'observation </w:t>
      </w:r>
      <w:r>
        <w:t xml:space="preserve">monocentrique qui a évalué la densité minérale osseuse chez des adolescents atteints de dysphorie de genre, </w:t>
      </w:r>
      <w:r>
        <w:t xml:space="preserve">diagnostiqués selon les critères du DSM-IV-TR. La densité osseuse a été évaluée lors du démarrage des </w:t>
      </w:r>
      <w:r>
        <w:t xml:space="preserve">analogues de la </w:t>
      </w:r>
      <w:r>
        <w:t xml:space="preserve">GnRH</w:t>
      </w:r>
      <w:r>
        <w:t xml:space="preserve">, puis lors du démarrage des hormones d'affirmation du genre. Les résultats sont rapportés </w:t>
      </w:r>
      <w:r>
        <w:t xml:space="preserve">séparément </w:t>
      </w:r>
      <w:r>
        <w:t xml:space="preserve">pour les </w:t>
      </w:r>
      <w:r>
        <w:t xml:space="preserve">transmales </w:t>
      </w:r>
      <w:r>
        <w:t xml:space="preserve">et les </w:t>
      </w:r>
      <w:r>
        <w:t xml:space="preserve">transfemales </w:t>
      </w:r>
      <w:r>
        <w:t xml:space="preserve">et </w:t>
      </w:r>
      <w:r>
        <w:t xml:space="preserve">aucun </w:t>
      </w:r>
      <w:r>
        <w:t xml:space="preserve">résultat </w:t>
      </w:r>
      <w:r>
        <w:t xml:space="preserve">n'</w:t>
      </w:r>
      <w:r>
        <w:t xml:space="preserve">est </w:t>
      </w:r>
      <w:r>
        <w:t xml:space="preserve">donné </w:t>
      </w:r>
      <w:r>
        <w:t xml:space="preserve">pour </w:t>
      </w:r>
      <w:r>
        <w:t xml:space="preserve">l'</w:t>
      </w:r>
      <w:r>
        <w:t xml:space="preserve">ensemble de la </w:t>
      </w:r>
      <w:r>
        <w:t xml:space="preserve">cohorte</w:t>
      </w:r>
      <w:r>
        <w:t xml:space="preserve">.</w:t>
      </w:r>
    </w:p>
    <w:p>
      <w:pPr>
        <w:pStyle w:val="Corpsdetexte"/>
        <w:spacing w:before="2" w:line="276" w:lineRule="auto"/>
        <w:ind w:end="506"/>
      </w:pPr>
      <w:r>
        <w:t xml:space="preserve">Des analyses statistiques ont été rapportées pour tous les résultats d'intérêt mais, comme il n'y avait pas de </w:t>
      </w:r>
      <w:r>
        <w:t xml:space="preserve">groupe de comparaison et que les participants ont agi comme leurs propres témoins, on ne sait pas si les </w:t>
      </w:r>
      <w:r>
        <w:t xml:space="preserve">résultats sont associés aux analogues de la GnRH ou </w:t>
      </w:r>
      <w:r>
        <w:t xml:space="preserve">s'ils sont </w:t>
      </w:r>
      <w:r>
        <w:t xml:space="preserve">dus à des changements dans le temps. Les </w:t>
      </w:r>
      <w:r>
        <w:t xml:space="preserve">auteurs </w:t>
      </w:r>
      <w:r>
        <w:t xml:space="preserve">ont </w:t>
      </w:r>
      <w:r>
        <w:t xml:space="preserve">rapporté des scores z, ce qui permet une comparaison avec l'augmentation attendue de la densité osseuse dans </w:t>
      </w:r>
      <w:r>
        <w:t xml:space="preserve">la </w:t>
      </w:r>
      <w:r>
        <w:t xml:space="preserve">population </w:t>
      </w:r>
      <w:r>
        <w:t xml:space="preserve">générale</w:t>
      </w:r>
      <w:r>
        <w:t xml:space="preserve">. </w:t>
      </w:r>
      <w:r>
        <w:t xml:space="preserve">Cependant, </w:t>
      </w:r>
      <w:r>
        <w:t xml:space="preserve">étant donné qu'</w:t>
      </w:r>
      <w:r>
        <w:t xml:space="preserve">aucun </w:t>
      </w:r>
      <w:r>
        <w:t xml:space="preserve">traitement </w:t>
      </w:r>
      <w:r>
        <w:t xml:space="preserve">concomitant </w:t>
      </w:r>
      <w:r>
        <w:t xml:space="preserve">ou </w:t>
      </w:r>
      <w:r>
        <w:t xml:space="preserve">comorbidité </w:t>
      </w:r>
      <w:r>
        <w:t xml:space="preserve">n'</w:t>
      </w:r>
      <w:r>
        <w:t xml:space="preserve">était</w:t>
      </w:r>
    </w:p>
    <w:p w:rsidR="00432386" w:rsidRDefault="00432386">
      <w:pPr>
        <w:spacing w:line="276" w:lineRule="auto"/>
        <w:sectPr w:rsidR="00432386">
          <w:pgSz w:w="11910" w:h="16840"/>
          <w:pgMar w:top="1180" w:right="980" w:bottom="1460" w:left="1280" w:header="0" w:footer="1183" w:gutter="0"/>
          <w:cols w:space="720"/>
        </w:sectPr>
      </w:pPr>
    </w:p>
    <w:p>
      <w:pPr>
        <w:pStyle w:val="Corpsdetexte"/>
        <w:spacing w:before="78" w:line="278" w:lineRule="auto"/>
        <w:ind w:end="530"/>
      </w:pPr>
      <w:r>
        <w:lastRenderedPageBreak/>
        <w:t xml:space="preserve">Il est possible que les résultats </w:t>
      </w:r>
      <w:r>
        <w:t xml:space="preserve">ne soient pas dus aux analogues de la GnRH et que </w:t>
      </w:r>
      <w:r>
        <w:t xml:space="preserve">la </w:t>
      </w:r>
      <w:r>
        <w:t xml:space="preserve">population </w:t>
      </w:r>
      <w:r>
        <w:t xml:space="preserve">étudiée </w:t>
      </w:r>
      <w:r>
        <w:t xml:space="preserve">diffère </w:t>
      </w:r>
      <w:r>
        <w:t xml:space="preserve">de la </w:t>
      </w:r>
      <w:r>
        <w:t xml:space="preserve">population </w:t>
      </w:r>
      <w:r>
        <w:t xml:space="preserve">générale d'une </w:t>
      </w:r>
      <w:r>
        <w:t xml:space="preserve">autre </w:t>
      </w:r>
      <w:r>
        <w:t xml:space="preserve">manière</w:t>
      </w:r>
      <w:r>
        <w:t xml:space="preserve">.</w:t>
      </w:r>
    </w:p>
    <w:p>
      <w:pPr>
        <w:pStyle w:val="Corpsdetexte"/>
        <w:spacing w:before="194" w:line="276" w:lineRule="auto"/>
        <w:ind w:end="482"/>
      </w:pPr>
      <w:r>
        <w:t xml:space="preserve">La septième étude (</w:t>
      </w:r>
      <w:hyperlink r:id="rId251">
        <w:r>
          <w:rPr>
            <w:color w:val="0000FF"/>
            <w:u w:val="single" w:color="0000FF"/>
          </w:rPr>
          <w:t xml:space="preserve">Schagen et</w:t>
        </w:r>
        <w:r>
          <w:rPr>
            <w:color w:val="0000FF"/>
            <w:u w:val="single" w:color="0000FF"/>
          </w:rPr>
          <w:t xml:space="preserve">al. 2016</w:t>
        </w:r>
      </w:hyperlink>
      <w:r>
        <w:t xml:space="preserve">) était une étude observationnelle prospective de 116 </w:t>
      </w:r>
      <w:r>
        <w:t xml:space="preserve">adolescents qui a fourni des preuves non comparatives de très faible certitude sur le changement de la </w:t>
      </w:r>
      <w:r>
        <w:t xml:space="preserve">créatinine sérique entre le début des analogues de la GnRH et 1 an, et la fonction hépatique pendant le </w:t>
      </w:r>
      <w:r>
        <w:t xml:space="preserve">traitement. Des analyses statistiques ont été rapportées pour les changements de la créatinine sérique mais pas pour la </w:t>
      </w:r>
      <w:r>
        <w:t xml:space="preserve">fonction </w:t>
      </w:r>
      <w:r>
        <w:t xml:space="preserve">hépatique</w:t>
      </w:r>
      <w:r>
        <w:t xml:space="preserve">. Comme il n'y avait pas de groupe de comparaison et que les participants ont agi comme leurs propres </w:t>
      </w:r>
      <w:r>
        <w:t xml:space="preserve">témoins, on ne sait pas si les résultats sont associés aux </w:t>
      </w:r>
      <w:r>
        <w:t xml:space="preserve">analogues de la </w:t>
      </w:r>
      <w:r>
        <w:t xml:space="preserve">GnRH </w:t>
      </w:r>
      <w:r>
        <w:t xml:space="preserve">ou </w:t>
      </w:r>
      <w:r>
        <w:t xml:space="preserve">s'ils sont </w:t>
      </w:r>
      <w:r>
        <w:t xml:space="preserve">dus à des </w:t>
      </w:r>
      <w:r>
        <w:t xml:space="preserve">changements </w:t>
      </w:r>
      <w:r>
        <w:t xml:space="preserve">dans le </w:t>
      </w:r>
      <w:r>
        <w:t xml:space="preserve">temps </w:t>
      </w:r>
      <w:r>
        <w:t xml:space="preserve">ou à des </w:t>
      </w:r>
      <w:r>
        <w:t xml:space="preserve">traitements </w:t>
      </w:r>
      <w:r>
        <w:t xml:space="preserve">concomitants</w:t>
      </w:r>
      <w:r>
        <w:t xml:space="preserve">.</w:t>
      </w:r>
    </w:p>
    <w:p>
      <w:pPr>
        <w:pStyle w:val="Corpsdetexte"/>
        <w:spacing w:before="200" w:line="276" w:lineRule="auto"/>
        <w:ind w:end="481"/>
      </w:pPr>
      <w:r>
        <w:t xml:space="preserve">La huitième étude (</w:t>
      </w:r>
      <w:hyperlink r:id="rId252">
        <w:r>
          <w:rPr>
            <w:color w:val="0000FF"/>
            <w:u w:val="single" w:color="0000FF"/>
          </w:rPr>
          <w:t xml:space="preserve">Staphorsius et al. 2015</w:t>
        </w:r>
      </w:hyperlink>
      <w:r>
        <w:t xml:space="preserve">) est une étude transversale portant sur 85 adolescents, 40 </w:t>
      </w:r>
      <w:r>
        <w:t xml:space="preserve">présentant une dysphorie de genre (dont 20 recevaient des analogues de la GnRH) et 45 </w:t>
      </w:r>
      <w:r>
        <w:t xml:space="preserve">témoins </w:t>
      </w:r>
      <w:r>
        <w:t xml:space="preserve">appariés </w:t>
      </w:r>
      <w:r>
        <w:t xml:space="preserve">(non rapportés plus avant dans cette revue des preuves). L'étude comprend un résultat d'</w:t>
      </w:r>
      <w:r>
        <w:t xml:space="preserve">intérêt pour l'efficacité clinique (CBCL) et un résultat d'intérêt pour la sécurité (</w:t>
      </w:r>
      <w:r>
        <w:t xml:space="preserve">développement ou fonctionnement </w:t>
      </w:r>
      <w:r>
        <w:t xml:space="preserve">cognitif</w:t>
      </w:r>
      <w:r>
        <w:t xml:space="preserve">). Les </w:t>
      </w:r>
      <w:r>
        <w:t xml:space="preserve">scores </w:t>
      </w:r>
      <w:r>
        <w:t xml:space="preserve">moyens (±SD) </w:t>
      </w:r>
      <w:r>
        <w:t xml:space="preserve">de la </w:t>
      </w:r>
      <w:r>
        <w:t xml:space="preserve">CBCL, du test de QI, du temps de réaction et de la précision </w:t>
      </w:r>
      <w:r>
        <w:t xml:space="preserve">sont indiqués pour chaque groupe, mais l'analyse statistique n'est pas claire. Il n'est pas indiqué </w:t>
      </w:r>
      <w:r>
        <w:t xml:space="preserve">quelle analyse a été utilisée ou quels groupes ont été comparés, il est donc </w:t>
      </w:r>
      <w:r>
        <w:t xml:space="preserve">difficile d'</w:t>
      </w:r>
      <w:r>
        <w:t xml:space="preserve">interpréter </w:t>
      </w:r>
      <w:r>
        <w:t xml:space="preserve">les </w:t>
      </w:r>
      <w:r>
        <w:t xml:space="preserve">résultats.</w:t>
      </w:r>
    </w:p>
    <w:p>
      <w:pPr>
        <w:pStyle w:val="Corpsdetexte"/>
        <w:spacing w:before="200" w:line="276" w:lineRule="auto"/>
        <w:ind w:end="450"/>
        <w:jc w:val="both"/>
      </w:pPr>
      <w:r>
        <w:t xml:space="preserve">La </w:t>
      </w:r>
      <w:r>
        <w:t xml:space="preserve">neuvième étude (</w:t>
      </w:r>
      <w:hyperlink r:id="rId253">
        <w:r>
          <w:rPr>
            <w:color w:val="0000FF"/>
            <w:u w:val="single" w:color="0000FF"/>
          </w:rPr>
          <w:t xml:space="preserve">Vlot et al. 2017</w:t>
        </w:r>
      </w:hyperlink>
      <w:r>
        <w:t xml:space="preserve">) est une étude d'observation rétrospective qui a évalué la </w:t>
      </w:r>
      <w:r>
        <w:t xml:space="preserve">densité </w:t>
      </w:r>
      <w:r>
        <w:t xml:space="preserve">minérale </w:t>
      </w:r>
      <w:r>
        <w:t xml:space="preserve">osseuse </w:t>
      </w:r>
      <w:r>
        <w:t xml:space="preserve">apparente </w:t>
      </w:r>
      <w:r>
        <w:t xml:space="preserve">chez des </w:t>
      </w:r>
      <w:r>
        <w:t xml:space="preserve">adolescents </w:t>
      </w:r>
      <w:r>
        <w:t xml:space="preserve">atteints de </w:t>
      </w:r>
      <w:r>
        <w:t xml:space="preserve">dysphorie de </w:t>
      </w:r>
      <w:r>
        <w:t xml:space="preserve">genre </w:t>
      </w:r>
      <w:r>
        <w:t xml:space="preserve">DSM-IV-TR</w:t>
      </w:r>
      <w:r>
        <w:t xml:space="preserve">. Les </w:t>
      </w:r>
      <w:r>
        <w:t xml:space="preserve">mesures </w:t>
      </w:r>
      <w:r>
        <w:t xml:space="preserve">ont été </w:t>
      </w:r>
      <w:r>
        <w:t xml:space="preserve">prises </w:t>
      </w:r>
      <w:r>
        <w:t xml:space="preserve">au </w:t>
      </w:r>
      <w:r>
        <w:t xml:space="preserve">début </w:t>
      </w:r>
      <w:r>
        <w:t xml:space="preserve">des </w:t>
      </w:r>
      <w:r>
        <w:t xml:space="preserve">analogues de la </w:t>
      </w:r>
      <w:r>
        <w:t xml:space="preserve">GnRH </w:t>
      </w:r>
      <w:r>
        <w:t xml:space="preserve">et </w:t>
      </w:r>
      <w:r>
        <w:t xml:space="preserve">au </w:t>
      </w:r>
      <w:r>
        <w:t xml:space="preserve">début </w:t>
      </w:r>
      <w:r>
        <w:t xml:space="preserve">des </w:t>
      </w:r>
      <w:r>
        <w:t xml:space="preserve">hormones d'</w:t>
      </w:r>
      <w:r>
        <w:t xml:space="preserve">affirmation du genre</w:t>
      </w:r>
      <w:r>
        <w:t xml:space="preserve">. Les résultats sont rapportés pour l'âge osseux jeune et l'âge osseux avancé chez les transmales et les </w:t>
      </w:r>
      <w:r>
        <w:t xml:space="preserve">transfemales séparément, et aucun résultat n'est donné pour l'ensemble de la cohorte. Les analyses statistiques </w:t>
      </w:r>
      <w:r>
        <w:t xml:space="preserve">ont été rapportées pour tous les résultats d'intérêt mais, comme il n'y avait pas de groupe de comparaison et que les </w:t>
      </w:r>
      <w:r>
        <w:t xml:space="preserve">participants ont agi comme leurs propres témoins, on ne sait pas si les </w:t>
      </w:r>
      <w:r>
        <w:t xml:space="preserve">résultats sont associés </w:t>
      </w:r>
      <w:r>
        <w:t xml:space="preserve">aux analogues de la GnRH ou </w:t>
      </w:r>
      <w:r>
        <w:t xml:space="preserve">s'ils sont </w:t>
      </w:r>
      <w:r>
        <w:t xml:space="preserve">dus à des changements dans le temps. Les auteurs ont rapporté des scores z, ce qui </w:t>
      </w:r>
      <w:r>
        <w:t xml:space="preserve">permet une comparaison avec l'augmentation attendue de la densité osseuse dans la population générale. </w:t>
      </w:r>
      <w:r>
        <w:t xml:space="preserve">Cependant, comme aucun traitement concomitant ou comorbidité n'</w:t>
      </w:r>
      <w:r>
        <w:t xml:space="preserve">a été signalé, il est possible que </w:t>
      </w:r>
      <w:r>
        <w:t xml:space="preserve">les résultats ne soient pas dus aux analogues de la GnRH et que la </w:t>
      </w:r>
      <w:r>
        <w:t xml:space="preserve">population </w:t>
      </w:r>
      <w:r>
        <w:t xml:space="preserve">étudiée </w:t>
      </w:r>
      <w:r>
        <w:t xml:space="preserve">diffère </w:t>
      </w:r>
      <w:r>
        <w:t xml:space="preserve">de la population </w:t>
      </w:r>
      <w:r>
        <w:t xml:space="preserve">générale d'une </w:t>
      </w:r>
      <w:r>
        <w:t xml:space="preserve">autre manière</w:t>
      </w:r>
      <w:r>
        <w:t xml:space="preserve">.</w:t>
      </w:r>
    </w:p>
    <w:p w:rsidR="00432386" w:rsidRDefault="00432386">
      <w:pPr>
        <w:pStyle w:val="Corpsdetexte"/>
        <w:spacing w:before="0"/>
        <w:ind w:start="0"/>
        <w:rPr>
          <w:sz w:val="24"/>
        </w:rPr>
      </w:pPr>
    </w:p>
    <w:p>
      <w:pPr>
        <w:pStyle w:val="Titre1"/>
        <w:numPr>
          <w:ilvl w:val="0"/>
          <w:numId w:val="188"/>
        </w:numPr>
        <w:tabs>
          <w:tab w:val="left" w:pos="430"/>
        </w:tabs>
        <w:spacing w:before="206"/>
        <w:ind w:hanging="270"/>
      </w:pPr>
      <w:bookmarkStart w:name="_bookmark12" w:id="13"/>
      <w:bookmarkEnd w:id="13"/>
      <w:r>
        <w:rPr>
          <w:color w:val="365F91"/>
        </w:rPr>
        <w:t xml:space="preserve">Conclusion</w:t>
      </w:r>
    </w:p>
    <w:p w:rsidR="00432386" w:rsidRDefault="00432386">
      <w:pPr>
        <w:pStyle w:val="Corpsdetexte"/>
        <w:spacing w:before="0"/>
        <w:ind w:start="0"/>
        <w:rPr>
          <w:b/>
          <w:sz w:val="21"/>
        </w:rPr>
      </w:pPr>
    </w:p>
    <w:p>
      <w:pPr>
        <w:pStyle w:val="Corpsdetexte"/>
        <w:spacing w:before="1" w:line="276" w:lineRule="auto"/>
        <w:ind w:end="453"/>
        <w:jc w:val="both"/>
      </w:pPr>
      <w:r>
        <w:t xml:space="preserve">Les </w:t>
      </w:r>
      <w:r>
        <w:t xml:space="preserve">résultats des études qui ont rapporté l'impact sur les </w:t>
      </w:r>
      <w:r>
        <w:t xml:space="preserve">résultats</w:t>
      </w:r>
      <w:r>
        <w:t xml:space="preserve"> critiques </w:t>
      </w:r>
      <w:r>
        <w:t xml:space="preserve">de la dysphorie de genre </w:t>
      </w:r>
      <w:r>
        <w:rPr>
          <w:spacing w:val="-1"/>
        </w:rPr>
        <w:t xml:space="preserve">et de la </w:t>
      </w:r>
      <w:r>
        <w:rPr>
          <w:spacing w:val="-1"/>
        </w:rPr>
        <w:t xml:space="preserve">santé </w:t>
      </w:r>
      <w:r>
        <w:rPr>
          <w:spacing w:val="-1"/>
        </w:rPr>
        <w:t xml:space="preserve">mentale </w:t>
      </w:r>
      <w:r>
        <w:rPr>
          <w:spacing w:val="-1"/>
        </w:rPr>
        <w:t xml:space="preserve">(dépression, </w:t>
      </w:r>
      <w:r>
        <w:rPr>
          <w:spacing w:val="-1"/>
        </w:rPr>
        <w:t xml:space="preserve">colère </w:t>
      </w:r>
      <w:r>
        <w:rPr>
          <w:spacing w:val="-1"/>
        </w:rPr>
        <w:t xml:space="preserve">et </w:t>
      </w:r>
      <w:r>
        <w:rPr>
          <w:spacing w:val="-1"/>
        </w:rPr>
        <w:t xml:space="preserve">anxiété), </w:t>
      </w:r>
      <w:r>
        <w:t xml:space="preserve">et </w:t>
      </w:r>
      <w:r>
        <w:t xml:space="preserve">les </w:t>
      </w:r>
      <w:r>
        <w:t xml:space="preserve">résultats </w:t>
      </w:r>
      <w:r>
        <w:t xml:space="preserve">importants </w:t>
      </w:r>
      <w:r>
        <w:t xml:space="preserve">de l'</w:t>
      </w:r>
      <w:r>
        <w:t xml:space="preserve">image </w:t>
      </w:r>
      <w:r>
        <w:t xml:space="preserve">corporelle </w:t>
      </w:r>
      <w:r>
        <w:t xml:space="preserve">et de l'impact psychosocial (fonctionnement global et psychosocial) chez les enfants et les adolescents </w:t>
      </w:r>
      <w:r>
        <w:t xml:space="preserve">atteints de dysphorie de genre sont d'un degré de certitude très faible en utilisant le GRADE modifié. Ils suggèrent un faible </w:t>
      </w:r>
      <w:r>
        <w:t xml:space="preserve">changement </w:t>
      </w:r>
      <w:r>
        <w:t xml:space="preserve">avec les </w:t>
      </w:r>
      <w:r>
        <w:t xml:space="preserve">analogues de la </w:t>
      </w:r>
      <w:r>
        <w:t xml:space="preserve">GnRH </w:t>
      </w:r>
      <w:r>
        <w:t xml:space="preserve">entre le </w:t>
      </w:r>
      <w:r>
        <w:t xml:space="preserve">début de l'étude </w:t>
      </w:r>
      <w:r>
        <w:t xml:space="preserve">et le </w:t>
      </w:r>
      <w:r>
        <w:t xml:space="preserve">suivi.</w:t>
      </w:r>
    </w:p>
    <w:p w:rsidR="00432386" w:rsidRDefault="00432386">
      <w:pPr>
        <w:pStyle w:val="Corpsdetexte"/>
        <w:spacing w:before="2"/>
        <w:ind w:start="0"/>
        <w:rPr>
          <w:sz w:val="25"/>
        </w:rPr>
      </w:pPr>
    </w:p>
    <w:p>
      <w:pPr>
        <w:pStyle w:val="Corpsdetexte"/>
        <w:spacing w:before="0" w:line="276" w:lineRule="auto"/>
        <w:ind w:end="452"/>
        <w:jc w:val="both"/>
      </w:pPr>
      <w:r>
        <w:t xml:space="preserve">Les </w:t>
      </w:r>
      <w:r>
        <w:t xml:space="preserve">études </w:t>
      </w:r>
      <w:r>
        <w:t xml:space="preserve">qui ont trouvé des </w:t>
      </w:r>
      <w:r>
        <w:t xml:space="preserve">différences </w:t>
      </w:r>
      <w:r>
        <w:t xml:space="preserve">dans les </w:t>
      </w:r>
      <w:r>
        <w:t xml:space="preserve">résultats </w:t>
      </w:r>
      <w:r>
        <w:t xml:space="preserve">pourraient </w:t>
      </w:r>
      <w:r>
        <w:t xml:space="preserve">représenter des changements qui </w:t>
      </w:r>
      <w:r>
        <w:t xml:space="preserve">sont </w:t>
      </w:r>
      <w:r>
        <w:t xml:space="preserve">soit d</w:t>
      </w:r>
      <w:r>
        <w:t xml:space="preserve">'une </w:t>
      </w:r>
      <w:r>
        <w:t xml:space="preserve">valeur</w:t>
      </w:r>
      <w:r>
        <w:t xml:space="preserve"> clinique douteuse</w:t>
      </w:r>
      <w:r>
        <w:t xml:space="preserve">, soit les études elles-mêmes ne sont pas fiables et les changements pourraient être </w:t>
      </w:r>
      <w:r>
        <w:t xml:space="preserve">dus </w:t>
      </w:r>
      <w:r>
        <w:t xml:space="preserve">à la </w:t>
      </w:r>
      <w:r>
        <w:t xml:space="preserve">confusion, au </w:t>
      </w:r>
      <w:r>
        <w:t xml:space="preserve">biais </w:t>
      </w:r>
      <w:r>
        <w:t xml:space="preserve">ou au </w:t>
      </w:r>
      <w:r>
        <w:t xml:space="preserve">hasard. </w:t>
      </w:r>
      <w:r>
        <w:t xml:space="preserve">Il </w:t>
      </w:r>
      <w:r>
        <w:t xml:space="preserve">est </w:t>
      </w:r>
      <w:r>
        <w:t xml:space="preserve">toutefois </w:t>
      </w:r>
      <w:r>
        <w:t xml:space="preserve">plausible </w:t>
      </w:r>
      <w:r>
        <w:t xml:space="preserve">qu'</w:t>
      </w:r>
      <w:r>
        <w:t xml:space="preserve">une </w:t>
      </w:r>
      <w:r>
        <w:t xml:space="preserve">absence </w:t>
      </w:r>
      <w:r>
        <w:t xml:space="preserve">de </w:t>
      </w:r>
      <w:r>
        <w:t xml:space="preserve">différence </w:t>
      </w:r>
      <w:r>
        <w:t xml:space="preserve">dans les </w:t>
      </w:r>
      <w:r>
        <w:t xml:space="preserve">scores </w:t>
      </w:r>
      <w:r>
        <w:t xml:space="preserve">entre le début de l'étude et le suivi soit l'effet des analogues de la GnRH chez les enfants et les adolescents atteints de </w:t>
      </w:r>
      <w:r>
        <w:t xml:space="preserve">dysphorie de genre, chez qui on pourrait </w:t>
      </w:r>
      <w:r>
        <w:rPr>
          <w:spacing w:val="-1"/>
        </w:rPr>
        <w:t xml:space="preserve">s'attendre à ce que </w:t>
      </w:r>
      <w:r>
        <w:rPr>
          <w:spacing w:val="-1"/>
        </w:rPr>
        <w:t xml:space="preserve">le </w:t>
      </w:r>
      <w:r>
        <w:t xml:space="preserve">développement des caractéristiques sexuelles secondaires </w:t>
      </w:r>
      <w:r>
        <w:rPr>
          <w:spacing w:val="-1"/>
        </w:rPr>
        <w:t xml:space="preserve">soit </w:t>
      </w:r>
      <w:r>
        <w:rPr>
          <w:spacing w:val="-1"/>
        </w:rPr>
        <w:t xml:space="preserve">associé </w:t>
      </w:r>
      <w:r>
        <w:rPr>
          <w:spacing w:val="-1"/>
        </w:rPr>
        <w:t xml:space="preserve">à </w:t>
      </w:r>
      <w:r>
        <w:rPr>
          <w:spacing w:val="-1"/>
        </w:rPr>
        <w:t xml:space="preserve">un </w:t>
      </w:r>
      <w:r>
        <w:rPr>
          <w:spacing w:val="-1"/>
        </w:rPr>
        <w:t xml:space="preserve">impact </w:t>
      </w:r>
      <w:r>
        <w:rPr>
          <w:spacing w:val="-1"/>
        </w:rPr>
        <w:t xml:space="preserve">accru </w:t>
      </w:r>
      <w:r>
        <w:rPr>
          <w:spacing w:val="-1"/>
        </w:rPr>
        <w:t xml:space="preserve">sur la </w:t>
      </w:r>
      <w:r>
        <w:t xml:space="preserve">dysphorie de </w:t>
      </w:r>
      <w:r>
        <w:t xml:space="preserve">genre</w:t>
      </w:r>
      <w:r>
        <w:t xml:space="preserve">, la </w:t>
      </w:r>
      <w:r>
        <w:t xml:space="preserve">dépression, l'</w:t>
      </w:r>
      <w:r>
        <w:t xml:space="preserve">anxiété, la </w:t>
      </w:r>
      <w:r>
        <w:t xml:space="preserve">colère et la détresse au fil du temps sans traitement. Une étude a rapporté des </w:t>
      </w:r>
      <w:r>
        <w:t xml:space="preserve">réductions </w:t>
      </w:r>
      <w:r>
        <w:t xml:space="preserve">statistiquement significatives </w:t>
      </w:r>
      <w:r>
        <w:t xml:space="preserve">des </w:t>
      </w:r>
      <w:r>
        <w:t xml:space="preserve">scores de </w:t>
      </w:r>
      <w:r>
        <w:t xml:space="preserve">la </w:t>
      </w:r>
      <w:r>
        <w:t xml:space="preserve">Child </w:t>
      </w:r>
      <w:r>
        <w:t xml:space="preserve">Behaviour </w:t>
      </w:r>
      <w:r>
        <w:t xml:space="preserve">Checklist/Youth </w:t>
      </w:r>
      <w:r>
        <w:t xml:space="preserve">Self-Report </w:t>
      </w:r>
      <w:r>
        <w:t xml:space="preserve">(CBCL/YSR) </w:t>
      </w:r>
      <w:r>
        <w:t xml:space="preserve">de</w:t>
      </w:r>
    </w:p>
    <w:p w:rsidR="00432386" w:rsidRDefault="00432386">
      <w:pPr>
        <w:spacing w:line="276" w:lineRule="auto"/>
        <w:jc w:val="both"/>
        <w:sectPr w:rsidR="00432386">
          <w:pgSz w:w="11910" w:h="16840"/>
          <w:pgMar w:top="1180" w:right="980" w:bottom="1400" w:left="1280" w:header="0" w:footer="1183" w:gutter="0"/>
          <w:cols w:space="720"/>
        </w:sectPr>
      </w:pPr>
    </w:p>
    <w:p>
      <w:pPr>
        <w:pStyle w:val="Corpsdetexte"/>
        <w:spacing w:before="78" w:line="276" w:lineRule="auto"/>
        <w:ind w:end="456"/>
        <w:jc w:val="both"/>
      </w:pPr>
      <w:r>
        <w:t xml:space="preserve">Étant donné </w:t>
      </w:r>
      <w:r>
        <w:lastRenderedPageBreak/>
        <w:t xml:space="preserve">que l'objectif des analogues de la GnRH est de réduire la détresse </w:t>
      </w:r>
      <w:r>
        <w:t xml:space="preserve">causée par le développement des caractéristiques sexuelles secondaires et que le CBCL/YSR </w:t>
      </w:r>
      <w:r>
        <w:t xml:space="preserve">mesure </w:t>
      </w:r>
      <w:r>
        <w:t xml:space="preserve">en partie </w:t>
      </w:r>
      <w:r>
        <w:t xml:space="preserve">la détresse, cela pourrait être un résultat important. Cependant, comme les études </w:t>
      </w:r>
      <w:r>
        <w:t xml:space="preserve">ne comportent pas de </w:t>
      </w:r>
      <w:r>
        <w:t xml:space="preserve">contrôles raisonnables ne recevant pas d'analogues de la GnRH, l'histoire naturelle des résultats </w:t>
      </w:r>
      <w:r>
        <w:rPr>
          <w:spacing w:val="-1"/>
        </w:rPr>
        <w:t xml:space="preserve">mesurés </w:t>
      </w:r>
      <w:r>
        <w:rPr>
          <w:spacing w:val="-1"/>
        </w:rPr>
        <w:t xml:space="preserve">dans </w:t>
      </w:r>
      <w:r>
        <w:rPr>
          <w:spacing w:val="-1"/>
        </w:rPr>
        <w:t xml:space="preserve">les </w:t>
      </w:r>
      <w:r>
        <w:rPr>
          <w:spacing w:val="-1"/>
        </w:rPr>
        <w:t xml:space="preserve">études </w:t>
      </w:r>
      <w:r>
        <w:rPr>
          <w:spacing w:val="-1"/>
        </w:rPr>
        <w:t xml:space="preserve">n'</w:t>
      </w:r>
      <w:r>
        <w:rPr>
          <w:spacing w:val="-1"/>
        </w:rPr>
        <w:t xml:space="preserve">est </w:t>
      </w:r>
      <w:r>
        <w:rPr>
          <w:spacing w:val="-1"/>
        </w:rPr>
        <w:t xml:space="preserve">pas </w:t>
      </w:r>
      <w:r>
        <w:rPr>
          <w:spacing w:val="-1"/>
        </w:rPr>
        <w:t xml:space="preserve">connue </w:t>
      </w:r>
      <w:r>
        <w:t xml:space="preserve">et </w:t>
      </w:r>
      <w:r>
        <w:t xml:space="preserve">tout </w:t>
      </w:r>
      <w:r>
        <w:t xml:space="preserve">changement </w:t>
      </w:r>
      <w:r>
        <w:t xml:space="preserve">positif </w:t>
      </w:r>
      <w:r>
        <w:t xml:space="preserve">pourrait </w:t>
      </w:r>
      <w:r>
        <w:t xml:space="preserve">être </w:t>
      </w:r>
      <w:r>
        <w:t xml:space="preserve">une </w:t>
      </w:r>
      <w:r>
        <w:t xml:space="preserve">régression </w:t>
      </w:r>
      <w:r>
        <w:t xml:space="preserve">à la </w:t>
      </w:r>
      <w:r>
        <w:t xml:space="preserve">moyenne.</w:t>
      </w:r>
    </w:p>
    <w:p w:rsidR="00432386" w:rsidRDefault="00432386">
      <w:pPr>
        <w:pStyle w:val="Corpsdetexte"/>
        <w:spacing w:before="3"/>
        <w:ind w:start="0"/>
        <w:rPr>
          <w:sz w:val="25"/>
        </w:rPr>
      </w:pPr>
    </w:p>
    <w:p>
      <w:pPr>
        <w:pStyle w:val="Corpsdetexte"/>
        <w:spacing w:before="0" w:line="276" w:lineRule="auto"/>
        <w:ind w:end="453"/>
        <w:jc w:val="both"/>
      </w:pPr>
      <w:r>
        <w:t xml:space="preserve">Les </w:t>
      </w:r>
      <w:r>
        <w:t xml:space="preserve">résultats </w:t>
      </w:r>
      <w:r>
        <w:t xml:space="preserve">des </w:t>
      </w:r>
      <w:r>
        <w:t xml:space="preserve">études </w:t>
      </w:r>
      <w:r>
        <w:t xml:space="preserve">qui ont </w:t>
      </w:r>
      <w:r>
        <w:t xml:space="preserve">rapporté des </w:t>
      </w:r>
      <w:r>
        <w:t xml:space="preserve">résultats sur la </w:t>
      </w:r>
      <w:r>
        <w:t xml:space="preserve">densité os</w:t>
      </w:r>
      <w:r>
        <w:t xml:space="preserve">seuse </w:t>
      </w:r>
      <w:r>
        <w:t xml:space="preserve">suggèrent </w:t>
      </w:r>
      <w:r>
        <w:t xml:space="preserve">que les </w:t>
      </w:r>
      <w:r>
        <w:t xml:space="preserve">analogues de la </w:t>
      </w:r>
      <w:r>
        <w:t xml:space="preserve">GnRH </w:t>
      </w:r>
      <w:r>
        <w:t xml:space="preserve">peuvent réduire l'augmentation de la densité osseuse qui est attendue pendant la puberté. Cependant, comme </w:t>
      </w:r>
      <w:r>
        <w:t xml:space="preserve">les études elles-mêmes ne sont pas fiables, les résultats pourraient être dus à des facteurs de confusion, à des biais ou au hasard. </w:t>
      </w:r>
      <w:r>
        <w:t xml:space="preserve">Bien que des essais contrôlés ne soient pas possibles, des </w:t>
      </w:r>
      <w:r>
        <w:t xml:space="preserve">études comparatives sont nécessaires pour comprendre </w:t>
      </w:r>
      <w:r>
        <w:t xml:space="preserve">cette association et savoir si les effets des analogues de la GnRH sur la densité osseuse sont observés après </w:t>
      </w:r>
      <w:r>
        <w:t xml:space="preserve">l'</w:t>
      </w:r>
      <w:r>
        <w:t xml:space="preserve">arrêt du </w:t>
      </w:r>
      <w:r>
        <w:t xml:space="preserve">traitement</w:t>
      </w:r>
      <w:r>
        <w:t xml:space="preserve">. </w:t>
      </w:r>
      <w:r>
        <w:t xml:space="preserve">Toutes </w:t>
      </w:r>
      <w:r>
        <w:t xml:space="preserve">les </w:t>
      </w:r>
      <w:r>
        <w:t xml:space="preserve">études </w:t>
      </w:r>
      <w:r>
        <w:t xml:space="preserve">qui ont </w:t>
      </w:r>
      <w:r>
        <w:t xml:space="preserve">rapporté des </w:t>
      </w:r>
      <w:r>
        <w:t xml:space="preserve">résultats de </w:t>
      </w:r>
      <w:r>
        <w:t xml:space="preserve">sécurité </w:t>
      </w:r>
      <w:r>
        <w:t xml:space="preserve">ont fourni des </w:t>
      </w:r>
      <w:r>
        <w:t xml:space="preserve">preuves de </w:t>
      </w:r>
      <w:r>
        <w:t xml:space="preserve">certitude </w:t>
      </w:r>
      <w:r>
        <w:t xml:space="preserve">très </w:t>
      </w:r>
      <w:r>
        <w:t xml:space="preserve">faible</w:t>
      </w:r>
      <w:r>
        <w:t xml:space="preserve">.</w:t>
      </w:r>
    </w:p>
    <w:p w:rsidR="00432386" w:rsidRDefault="00432386">
      <w:pPr>
        <w:pStyle w:val="Corpsdetexte"/>
        <w:spacing w:before="4"/>
        <w:ind w:start="0"/>
        <w:rPr>
          <w:sz w:val="25"/>
        </w:rPr>
      </w:pPr>
    </w:p>
    <w:p>
      <w:pPr>
        <w:pStyle w:val="Corpsdetexte"/>
        <w:spacing w:before="0" w:line="276" w:lineRule="auto"/>
        <w:ind w:end="493"/>
        <w:jc w:val="both"/>
      </w:pPr>
      <w:r>
        <w:t xml:space="preserve">Aucune preuve de rentabilité n'a été trouvée pour déterminer si les analogues de la GnRH sont </w:t>
      </w:r>
      <w:r>
        <w:t xml:space="preserve">rentables </w:t>
      </w:r>
      <w:r>
        <w:t xml:space="preserve">ou non </w:t>
      </w:r>
      <w:r>
        <w:t xml:space="preserve">pour les </w:t>
      </w:r>
      <w:r>
        <w:t xml:space="preserve">enfants </w:t>
      </w:r>
      <w:r>
        <w:t xml:space="preserve">et les </w:t>
      </w:r>
      <w:r>
        <w:t xml:space="preserve">adolescents </w:t>
      </w:r>
      <w:r>
        <w:t xml:space="preserve">atteints de </w:t>
      </w:r>
      <w:r>
        <w:t xml:space="preserve">dysphorie de </w:t>
      </w:r>
      <w:r>
        <w:t xml:space="preserve">genre</w:t>
      </w:r>
      <w:r>
        <w:t xml:space="preserve">.</w:t>
      </w:r>
    </w:p>
    <w:p w:rsidR="00432386" w:rsidRDefault="00432386">
      <w:pPr>
        <w:pStyle w:val="Corpsdetexte"/>
        <w:spacing w:before="3"/>
        <w:ind w:start="0"/>
        <w:rPr>
          <w:sz w:val="25"/>
        </w:rPr>
      </w:pPr>
    </w:p>
    <w:p>
      <w:pPr>
        <w:pStyle w:val="Corpsdetexte"/>
        <w:spacing w:before="0" w:line="276" w:lineRule="auto"/>
        <w:ind w:end="542"/>
      </w:pPr>
      <w:r>
        <w:t xml:space="preserve">Les résultats des études qui ont rapporté des résultats pour des sous-groupes d'enfants et d'adolescents </w:t>
      </w:r>
      <w:r>
        <w:t xml:space="preserve">atteints de </w:t>
      </w:r>
      <w:r>
        <w:t xml:space="preserve">dysphorie de genre, suggèrent qu'il peut y avoir des différences entre le sexe assigné à la naissance des </w:t>
      </w:r>
      <w:r>
        <w:t xml:space="preserve">garçons </w:t>
      </w:r>
      <w:r>
        <w:t xml:space="preserve">(transfemmes) </w:t>
      </w:r>
      <w:r>
        <w:t xml:space="preserve">et le </w:t>
      </w:r>
      <w:r>
        <w:t xml:space="preserve">sexe assigné à </w:t>
      </w:r>
      <w:r>
        <w:t xml:space="preserve">la </w:t>
      </w:r>
      <w:r>
        <w:t xml:space="preserve">naissance des </w:t>
      </w:r>
      <w:r>
        <w:t xml:space="preserve">filles </w:t>
      </w:r>
      <w:r>
        <w:t xml:space="preserve">(transmales).</w:t>
      </w:r>
    </w:p>
    <w:p w:rsidR="00432386" w:rsidRDefault="00432386">
      <w:pPr>
        <w:spacing w:line="276" w:lineRule="auto"/>
        <w:sectPr w:rsidR="00432386">
          <w:pgSz w:w="11910" w:h="16840"/>
          <w:pgMar w:top="1180" w:right="980" w:bottom="1460" w:left="1280" w:header="0" w:footer="1183" w:gutter="0"/>
          <w:cols w:space="720"/>
        </w:sectPr>
      </w:pPr>
    </w:p>
    <w:p>
      <w:pPr>
        <w:pStyle w:val="Titre1"/>
        <w:spacing w:before="79"/>
      </w:pPr>
      <w:bookmarkStart w:name="_bookmark13" w:id="14"/>
      <w:bookmarkEnd w:id="14"/>
      <w:r>
        <w:rPr>
          <w:color w:val="365F91"/>
        </w:rPr>
        <w:lastRenderedPageBreak/>
        <w:t xml:space="preserve">Annexe </w:t>
      </w:r>
      <w:r>
        <w:rPr>
          <w:color w:val="365F91"/>
        </w:rPr>
        <w:t xml:space="preserve">A </w:t>
      </w:r>
      <w:r>
        <w:rPr>
          <w:color w:val="365F91"/>
        </w:rPr>
        <w:t xml:space="preserve">Document </w:t>
      </w:r>
      <w:r>
        <w:rPr>
          <w:color w:val="365F91"/>
        </w:rPr>
        <w:t xml:space="preserve">PICO</w:t>
      </w:r>
    </w:p>
    <w:p w:rsidR="00432386" w:rsidRDefault="00432386">
      <w:pPr>
        <w:pStyle w:val="Corpsdetexte"/>
        <w:spacing w:before="9"/>
        <w:ind w:start="0"/>
        <w:rPr>
          <w:b/>
          <w:sz w:val="20"/>
        </w:rPr>
      </w:pPr>
    </w:p>
    <w:p>
      <w:pPr>
        <w:pStyle w:val="Corpsdetexte"/>
        <w:spacing w:before="1"/>
      </w:pPr>
      <w:r>
        <w:t xml:space="preserve">Les </w:t>
      </w:r>
      <w:r>
        <w:t xml:space="preserve">questions de </w:t>
      </w:r>
      <w:r>
        <w:t xml:space="preserve">cette </w:t>
      </w:r>
      <w:r>
        <w:t xml:space="preserve">revue des </w:t>
      </w:r>
      <w:r>
        <w:t xml:space="preserve">preuves </w:t>
      </w:r>
      <w:r>
        <w:t xml:space="preserve">sont les suivantes :</w:t>
      </w:r>
    </w:p>
    <w:p w:rsidR="00432386" w:rsidRDefault="00432386">
      <w:pPr>
        <w:pStyle w:val="Corpsdetexte"/>
        <w:spacing w:before="8"/>
        <w:ind w:start="0"/>
        <w:rPr>
          <w:sz w:val="28"/>
        </w:rPr>
      </w:pPr>
    </w:p>
    <w:p>
      <w:pPr>
        <w:pStyle w:val="Paragraphedeliste"/>
        <w:numPr>
          <w:ilvl w:val="1"/>
          <w:numId w:val="188"/>
        </w:numPr>
        <w:tabs>
          <w:tab w:val="left" w:pos="881"/>
        </w:tabs>
        <w:spacing w:before="0" w:line="276" w:lineRule="auto"/>
        <w:ind w:start="880" w:end="484" w:hanging="360"/>
      </w:pPr>
      <w:r>
        <w:t xml:space="preserve">Pour les enfants </w:t>
      </w:r>
      <w:r>
        <w:t xml:space="preserve">et les adolescents souffrant de dysphorie de genre, quelle est l'efficacité clinique </w:t>
      </w:r>
      <w:r>
        <w:t xml:space="preserve">du traitement par analogues de la GnRH par rapport à une ou une combinaison de </w:t>
      </w:r>
      <w:r>
        <w:t xml:space="preserve">soutien </w:t>
      </w:r>
      <w:r>
        <w:t xml:space="preserve">psychologique</w:t>
      </w:r>
      <w:r>
        <w:t xml:space="preserve">, de </w:t>
      </w:r>
      <w:r>
        <w:t xml:space="preserve">transition </w:t>
      </w:r>
      <w:r>
        <w:t xml:space="preserve">sociale </w:t>
      </w:r>
      <w:r>
        <w:t xml:space="preserve">vers </w:t>
      </w:r>
      <w:r>
        <w:t xml:space="preserve">le </w:t>
      </w:r>
      <w:r>
        <w:t xml:space="preserve">genre </w:t>
      </w:r>
      <w:r>
        <w:t xml:space="preserve">désiré </w:t>
      </w:r>
      <w:r>
        <w:t xml:space="preserve">ou d'</w:t>
      </w:r>
      <w:r>
        <w:t xml:space="preserve">aucune </w:t>
      </w:r>
      <w:r>
        <w:t xml:space="preserve">intervention ?</w:t>
      </w:r>
    </w:p>
    <w:p>
      <w:pPr>
        <w:pStyle w:val="Paragraphedeliste"/>
        <w:numPr>
          <w:ilvl w:val="1"/>
          <w:numId w:val="188"/>
        </w:numPr>
        <w:tabs>
          <w:tab w:val="left" w:pos="881"/>
        </w:tabs>
        <w:spacing w:before="0" w:line="276" w:lineRule="auto"/>
        <w:ind w:start="880" w:end="504" w:hanging="360"/>
      </w:pPr>
      <w:r>
        <w:t xml:space="preserve">Chez les enfants et les adolescents souffrant de dysphorie de genre, quelle est la </w:t>
      </w:r>
      <w:r>
        <w:t xml:space="preserve">sécurité à </w:t>
      </w:r>
      <w:r>
        <w:t xml:space="preserve">court et </w:t>
      </w:r>
      <w:r>
        <w:t xml:space="preserve">à</w:t>
      </w:r>
      <w:r>
        <w:t xml:space="preserve"> long terme </w:t>
      </w:r>
      <w:r>
        <w:t xml:space="preserve">des </w:t>
      </w:r>
      <w:r>
        <w:t xml:space="preserve">analogues de la </w:t>
      </w:r>
      <w:r>
        <w:t xml:space="preserve">GnRH par </w:t>
      </w:r>
      <w:r>
        <w:t xml:space="preserve">rapport </w:t>
      </w:r>
      <w:r>
        <w:t xml:space="preserve">à </w:t>
      </w:r>
      <w:r>
        <w:t xml:space="preserve">une </w:t>
      </w:r>
      <w:r>
        <w:t xml:space="preserve">ou une </w:t>
      </w:r>
      <w:r>
        <w:t xml:space="preserve">combinaison </w:t>
      </w:r>
      <w:r>
        <w:t xml:space="preserve">de </w:t>
      </w:r>
      <w:r>
        <w:t xml:space="preserve">soutien </w:t>
      </w:r>
      <w:r>
        <w:t xml:space="preserve">psychologique</w:t>
      </w:r>
      <w:r>
        <w:t xml:space="preserve">, de </w:t>
      </w:r>
      <w:r>
        <w:t xml:space="preserve">transition </w:t>
      </w:r>
      <w:r>
        <w:t xml:space="preserve">sociale </w:t>
      </w:r>
      <w:r>
        <w:t xml:space="preserve">vers </w:t>
      </w:r>
      <w:r>
        <w:t xml:space="preserve">le </w:t>
      </w:r>
      <w:r>
        <w:t xml:space="preserve">genre </w:t>
      </w:r>
      <w:r>
        <w:t xml:space="preserve">désiré </w:t>
      </w:r>
      <w:r>
        <w:t xml:space="preserve">ou à l'</w:t>
      </w:r>
      <w:r>
        <w:t xml:space="preserve">absence d'</w:t>
      </w:r>
      <w:r>
        <w:t xml:space="preserve">intervention ?</w:t>
      </w:r>
    </w:p>
    <w:p>
      <w:pPr>
        <w:pStyle w:val="Paragraphedeliste"/>
        <w:numPr>
          <w:ilvl w:val="1"/>
          <w:numId w:val="188"/>
        </w:numPr>
        <w:tabs>
          <w:tab w:val="left" w:pos="881"/>
        </w:tabs>
        <w:spacing w:before="0" w:line="276" w:lineRule="auto"/>
        <w:ind w:start="880" w:end="482" w:hanging="360"/>
      </w:pPr>
      <w:r>
        <w:t xml:space="preserve">Pour les enfants et les </w:t>
      </w:r>
      <w:r>
        <w:t xml:space="preserve">adolescents souffrant de dysphorie de genre, quel est le rapport coût-efficacité des </w:t>
      </w:r>
      <w:r>
        <w:t xml:space="preserve">analogues de la GnRH par rapport à une ou une combinaison de soutien psychologique, de </w:t>
      </w:r>
      <w:r>
        <w:t xml:space="preserve">transition </w:t>
      </w:r>
      <w:r>
        <w:t xml:space="preserve">sociale </w:t>
      </w:r>
      <w:r>
        <w:t xml:space="preserve">vers </w:t>
      </w:r>
      <w:r>
        <w:t xml:space="preserve">le </w:t>
      </w:r>
      <w:r>
        <w:t xml:space="preserve">genre désiré </w:t>
      </w:r>
      <w:r>
        <w:t xml:space="preserve">ou d'</w:t>
      </w:r>
      <w:r>
        <w:t xml:space="preserve">aucune </w:t>
      </w:r>
      <w:r>
        <w:t xml:space="preserve">intervention ?</w:t>
      </w:r>
    </w:p>
    <w:p>
      <w:pPr>
        <w:pStyle w:val="Paragraphedeliste"/>
        <w:numPr>
          <w:ilvl w:val="1"/>
          <w:numId w:val="188"/>
        </w:numPr>
        <w:tabs>
          <w:tab w:val="left" w:pos="881"/>
        </w:tabs>
        <w:spacing w:before="0" w:line="276" w:lineRule="auto"/>
        <w:ind w:start="880" w:end="596" w:hanging="360"/>
      </w:pPr>
      <w:r>
        <w:t xml:space="preserve">D'après les preuves sélectionnées, existe-t-il des sous-groupes d'enfants et d'adolescents </w:t>
      </w:r>
      <w:r>
        <w:t xml:space="preserve">atteints de dysphorie de genre qui pourraient tirer plus (ou moins) d'avantages du traitement par les </w:t>
      </w:r>
      <w:r>
        <w:t xml:space="preserve">analogues de la GnRH que la population plus large d'enfants et d'adolescents atteints de </w:t>
      </w:r>
      <w:r>
        <w:t xml:space="preserve">dysphorie de </w:t>
      </w:r>
      <w:r>
        <w:t xml:space="preserve">genre </w:t>
      </w:r>
      <w:r>
        <w:t xml:space="preserve">?</w:t>
      </w:r>
    </w:p>
    <w:p>
      <w:pPr>
        <w:pStyle w:val="Paragraphedeliste"/>
        <w:numPr>
          <w:ilvl w:val="1"/>
          <w:numId w:val="188"/>
        </w:numPr>
        <w:tabs>
          <w:tab w:val="left" w:pos="881"/>
        </w:tabs>
        <w:spacing w:before="1"/>
        <w:ind w:start="880" w:hanging="361"/>
      </w:pPr>
      <w:r>
        <w:t xml:space="preserve">A partir </w:t>
      </w:r>
      <w:r>
        <w:t xml:space="preserve">des </w:t>
      </w:r>
      <w:r>
        <w:t xml:space="preserve">preuves </w:t>
      </w:r>
      <w:r>
        <w:t xml:space="preserve">sélectionnées,</w:t>
      </w:r>
    </w:p>
    <w:p>
      <w:pPr>
        <w:pStyle w:val="Paragraphedeliste"/>
        <w:numPr>
          <w:ilvl w:val="2"/>
          <w:numId w:val="188"/>
        </w:numPr>
        <w:tabs>
          <w:tab w:val="left" w:pos="1241"/>
        </w:tabs>
        <w:spacing w:line="276" w:lineRule="auto"/>
        <w:ind w:end="874"/>
        <w:rPr>
          <w:sz w:val="20"/>
        </w:rPr>
      </w:pPr>
      <w:r>
        <w:t xml:space="preserve">quels sont les critères utilisés par les études de recherche pour définir la dysphorie de genre, le </w:t>
      </w:r>
      <w:r>
        <w:t xml:space="preserve">trouble de l'identité de </w:t>
      </w:r>
      <w:r>
        <w:t xml:space="preserve">genre </w:t>
      </w:r>
      <w:r>
        <w:t xml:space="preserve">et l'</w:t>
      </w:r>
      <w:r>
        <w:t xml:space="preserve">incongruence de </w:t>
      </w:r>
      <w:r>
        <w:t xml:space="preserve">genre </w:t>
      </w:r>
      <w:r>
        <w:t xml:space="preserve">de l'</w:t>
      </w:r>
      <w:r>
        <w:t xml:space="preserve">enfance ?</w:t>
      </w:r>
    </w:p>
    <w:p>
      <w:pPr>
        <w:pStyle w:val="Paragraphedeliste"/>
        <w:numPr>
          <w:ilvl w:val="2"/>
          <w:numId w:val="188"/>
        </w:numPr>
        <w:tabs>
          <w:tab w:val="left" w:pos="1241"/>
        </w:tabs>
        <w:spacing w:before="0" w:line="276" w:lineRule="auto"/>
        <w:ind w:end="1069"/>
        <w:rPr>
          <w:sz w:val="20"/>
        </w:rPr>
      </w:pPr>
      <w:r>
        <w:t xml:space="preserve">quels étaient les âges auxquels les participants ont commencé le traitement par les </w:t>
      </w:r>
      <w:r>
        <w:t xml:space="preserve">analogues de la </w:t>
      </w:r>
      <w:r>
        <w:t xml:space="preserve">GnRH </w:t>
      </w:r>
      <w:r>
        <w:t xml:space="preserve">?</w:t>
      </w:r>
    </w:p>
    <w:p>
      <w:pPr>
        <w:pStyle w:val="Paragraphedeliste"/>
        <w:numPr>
          <w:ilvl w:val="2"/>
          <w:numId w:val="188"/>
        </w:numPr>
        <w:tabs>
          <w:tab w:val="left" w:pos="1241"/>
        </w:tabs>
        <w:spacing w:before="1"/>
        <w:ind w:hanging="361"/>
        <w:rPr>
          <w:sz w:val="20"/>
        </w:rPr>
      </w:pPr>
      <w:r>
        <w:t xml:space="preserve">quelle </w:t>
      </w:r>
      <w:r>
        <w:t xml:space="preserve">a </w:t>
      </w:r>
      <w:r>
        <w:t xml:space="preserve">été la </w:t>
      </w:r>
      <w:r>
        <w:t xml:space="preserve">durée </w:t>
      </w:r>
      <w:r>
        <w:t xml:space="preserve">du </w:t>
      </w:r>
      <w:r>
        <w:t xml:space="preserve">traitement </w:t>
      </w:r>
      <w:r>
        <w:t xml:space="preserve">par les </w:t>
      </w:r>
      <w:r>
        <w:t xml:space="preserve">analogues de la </w:t>
      </w:r>
      <w:r>
        <w:t xml:space="preserve">GnRH </w:t>
      </w:r>
      <w:r>
        <w:t xml:space="preserve">?</w:t>
      </w:r>
    </w:p>
    <w:p w:rsidR="00432386" w:rsidRDefault="00432386">
      <w:pPr>
        <w:pStyle w:val="Corpsdetexte"/>
        <w:spacing w:before="0"/>
        <w:ind w:start="0"/>
        <w:rPr>
          <w:sz w:val="24"/>
        </w:rPr>
      </w:pPr>
    </w:p>
    <w:p w:rsidR="00432386" w:rsidRDefault="00432386">
      <w:pPr>
        <w:pStyle w:val="Corpsdetexte"/>
        <w:spacing w:before="1"/>
        <w:ind w:start="0"/>
        <w:rPr>
          <w:sz w:val="24"/>
        </w:rPr>
      </w:pPr>
    </w:p>
    <w:p>
      <w:pPr>
        <w:pStyle w:val="Titre1"/>
      </w:pPr>
      <w:r>
        <w:t xml:space="preserve">Table PICO</w:t>
      </w:r>
    </w:p>
    <w:p w:rsidR="00432386" w:rsidRDefault="00432386">
      <w:pPr>
        <w:pStyle w:val="Corpsdetexte"/>
        <w:spacing w:before="1"/>
        <w:ind w:start="0"/>
        <w:rPr>
          <w:b/>
          <w:sz w:val="21"/>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26"/>
        <w:gridCol w:w="6726"/>
      </w:tblGrid>
      <w:tr w:rsidR="00432386">
        <w:trPr>
          <w:trHeight w:val="5182"/>
        </w:trPr>
        <w:tc>
          <w:tcPr>
            <w:tcW w:w="2626" w:type="dxa"/>
          </w:tcPr>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spacing w:before="4"/>
              <w:rPr>
                <w:b/>
                <w:sz w:val="29"/>
              </w:rPr>
            </w:pPr>
          </w:p>
          <w:p>
            <w:pPr>
              <w:pStyle w:val="TableParagraph"/>
              <w:ind w:start="107" w:end="699"/>
              <w:rPr>
                <w:b/>
                <w:sz w:val="20"/>
              </w:rPr>
            </w:pPr>
            <w:r>
              <w:rPr>
                <w:b/>
                <w:sz w:val="20"/>
              </w:rPr>
              <w:t xml:space="preserve">P </w:t>
            </w:r>
            <w:r>
              <w:rPr>
                <w:b/>
                <w:sz w:val="20"/>
              </w:rPr>
              <w:t xml:space="preserve">- </w:t>
            </w:r>
            <w:r>
              <w:rPr>
                <w:b/>
                <w:sz w:val="20"/>
              </w:rPr>
              <w:t xml:space="preserve">Population </w:t>
            </w:r>
            <w:r>
              <w:rPr>
                <w:b/>
                <w:sz w:val="20"/>
              </w:rPr>
              <w:t xml:space="preserve">et </w:t>
            </w:r>
            <w:r>
              <w:rPr>
                <w:b/>
                <w:sz w:val="20"/>
              </w:rPr>
              <w:t xml:space="preserve">Indication</w:t>
            </w:r>
          </w:p>
        </w:tc>
        <w:tc>
          <w:tcPr>
            <w:tcW w:w="6726" w:type="dxa"/>
          </w:tcPr>
          <w:p>
            <w:pPr>
              <w:pStyle w:val="TableParagraph"/>
              <w:ind w:start="107" w:end="117"/>
              <w:rPr>
                <w:sz w:val="20"/>
              </w:rPr>
            </w:pPr>
            <w:r>
              <w:rPr>
                <w:sz w:val="20"/>
              </w:rPr>
              <w:t xml:space="preserve">Enfants et adolescents âgés de 18 ans ou moins qui présentent une </w:t>
            </w:r>
            <w:r>
              <w:rPr>
                <w:sz w:val="20"/>
              </w:rPr>
              <w:t xml:space="preserve">dysphorie de </w:t>
            </w:r>
            <w:r>
              <w:rPr>
                <w:sz w:val="20"/>
              </w:rPr>
              <w:t xml:space="preserve">genre</w:t>
            </w:r>
            <w:r>
              <w:rPr>
                <w:sz w:val="20"/>
              </w:rPr>
              <w:t xml:space="preserve">, un </w:t>
            </w:r>
            <w:r>
              <w:rPr>
                <w:sz w:val="20"/>
              </w:rPr>
              <w:t xml:space="preserve">trouble de l'</w:t>
            </w:r>
            <w:r>
              <w:rPr>
                <w:sz w:val="20"/>
              </w:rPr>
              <w:t xml:space="preserve">identité de </w:t>
            </w:r>
            <w:r>
              <w:rPr>
                <w:sz w:val="20"/>
              </w:rPr>
              <w:t xml:space="preserve">genre </w:t>
            </w:r>
            <w:r>
              <w:rPr>
                <w:sz w:val="20"/>
              </w:rPr>
              <w:t xml:space="preserve">ou une </w:t>
            </w:r>
            <w:r>
              <w:rPr>
                <w:sz w:val="20"/>
              </w:rPr>
              <w:t xml:space="preserve">incongruence de </w:t>
            </w:r>
            <w:r>
              <w:rPr>
                <w:sz w:val="20"/>
              </w:rPr>
              <w:t xml:space="preserve">genre </w:t>
            </w:r>
            <w:r>
              <w:rPr>
                <w:sz w:val="20"/>
              </w:rPr>
              <w:t xml:space="preserve">de l'</w:t>
            </w:r>
            <w:r>
              <w:rPr>
                <w:sz w:val="20"/>
              </w:rPr>
              <w:t xml:space="preserve">enfance</w:t>
            </w:r>
            <w:r>
              <w:rPr>
                <w:sz w:val="20"/>
              </w:rPr>
              <w:t xml:space="preserve">, tels que </w:t>
            </w:r>
            <w:r>
              <w:rPr>
                <w:sz w:val="20"/>
              </w:rPr>
              <w:t xml:space="preserve">définis par </w:t>
            </w:r>
            <w:r>
              <w:rPr>
                <w:sz w:val="20"/>
              </w:rPr>
              <w:t xml:space="preserve">l'étude :</w:t>
            </w:r>
          </w:p>
          <w:p w:rsidR="00432386" w:rsidRDefault="00432386">
            <w:pPr>
              <w:pStyle w:val="TableParagraph"/>
              <w:spacing w:before="10"/>
              <w:rPr>
                <w:b/>
                <w:sz w:val="19"/>
              </w:rPr>
            </w:pPr>
          </w:p>
          <w:p>
            <w:pPr>
              <w:pStyle w:val="TableParagraph"/>
              <w:ind w:start="107" w:end="117"/>
              <w:rPr>
                <w:sz w:val="20"/>
              </w:rPr>
            </w:pPr>
            <w:r>
              <w:rPr>
                <w:sz w:val="20"/>
              </w:rPr>
              <w:t xml:space="preserve">Les sous-groupes suivants d'enfants et d'adolescents présentant une </w:t>
            </w:r>
            <w:r>
              <w:rPr>
                <w:sz w:val="20"/>
              </w:rPr>
              <w:t xml:space="preserve">dysphorie de </w:t>
            </w:r>
            <w:r>
              <w:rPr>
                <w:sz w:val="20"/>
              </w:rPr>
              <w:t xml:space="preserve">genre</w:t>
            </w:r>
            <w:r>
              <w:rPr>
                <w:sz w:val="20"/>
              </w:rPr>
              <w:t xml:space="preserve">, un </w:t>
            </w:r>
            <w:r>
              <w:rPr>
                <w:sz w:val="20"/>
              </w:rPr>
              <w:t xml:space="preserve">trouble de l'</w:t>
            </w:r>
            <w:r>
              <w:rPr>
                <w:sz w:val="20"/>
              </w:rPr>
              <w:t xml:space="preserve">identité de </w:t>
            </w:r>
            <w:r>
              <w:rPr>
                <w:sz w:val="20"/>
              </w:rPr>
              <w:t xml:space="preserve">genre </w:t>
            </w:r>
            <w:r>
              <w:rPr>
                <w:sz w:val="20"/>
              </w:rPr>
              <w:t xml:space="preserve">ou une </w:t>
            </w:r>
            <w:r>
              <w:rPr>
                <w:sz w:val="20"/>
              </w:rPr>
              <w:t xml:space="preserve">incongruence de </w:t>
            </w:r>
            <w:r>
              <w:rPr>
                <w:sz w:val="20"/>
              </w:rPr>
              <w:t xml:space="preserve">genre </w:t>
            </w:r>
            <w:r>
              <w:rPr>
                <w:sz w:val="20"/>
              </w:rPr>
              <w:t xml:space="preserve">de l'</w:t>
            </w:r>
            <w:r>
              <w:rPr>
                <w:sz w:val="20"/>
              </w:rPr>
              <w:t xml:space="preserve">enfance </w:t>
            </w:r>
            <w:r>
              <w:rPr>
                <w:sz w:val="20"/>
              </w:rPr>
              <w:t xml:space="preserve">doivent </w:t>
            </w:r>
            <w:r>
              <w:rPr>
                <w:sz w:val="20"/>
              </w:rPr>
              <w:t xml:space="preserve">être </w:t>
            </w:r>
            <w:r>
              <w:rPr>
                <w:sz w:val="20"/>
              </w:rPr>
              <w:t xml:space="preserve">pris en compte :</w:t>
            </w:r>
          </w:p>
          <w:p>
            <w:pPr>
              <w:pStyle w:val="TableParagraph"/>
              <w:numPr>
                <w:ilvl w:val="0"/>
                <w:numId w:val="144"/>
              </w:numPr>
              <w:tabs>
                <w:tab w:val="left" w:pos="467"/>
                <w:tab w:val="left" w:pos="468"/>
              </w:tabs>
              <w:spacing w:before="2" w:line="244" w:lineRule="exact"/>
              <w:ind w:hanging="361"/>
              <w:rPr>
                <w:sz w:val="20"/>
              </w:rPr>
            </w:pPr>
            <w:r>
              <w:rPr>
                <w:sz w:val="20"/>
              </w:rPr>
              <w:t xml:space="preserve">Sexe </w:t>
            </w:r>
            <w:r>
              <w:rPr>
                <w:sz w:val="20"/>
              </w:rPr>
              <w:t xml:space="preserve">assigné à </w:t>
            </w:r>
            <w:r>
              <w:rPr>
                <w:sz w:val="20"/>
              </w:rPr>
              <w:t xml:space="preserve">la </w:t>
            </w:r>
            <w:r>
              <w:rPr>
                <w:sz w:val="20"/>
              </w:rPr>
              <w:t xml:space="preserve">naissance : </w:t>
            </w:r>
            <w:r>
              <w:rPr>
                <w:sz w:val="20"/>
              </w:rPr>
              <w:t xml:space="preserve">mâle.</w:t>
            </w:r>
          </w:p>
          <w:p>
            <w:pPr>
              <w:pStyle w:val="TableParagraph"/>
              <w:numPr>
                <w:ilvl w:val="0"/>
                <w:numId w:val="144"/>
              </w:numPr>
              <w:tabs>
                <w:tab w:val="left" w:pos="467"/>
                <w:tab w:val="left" w:pos="468"/>
              </w:tabs>
              <w:spacing w:line="244" w:lineRule="exact"/>
              <w:ind w:hanging="361"/>
              <w:rPr>
                <w:sz w:val="20"/>
              </w:rPr>
            </w:pPr>
            <w:r>
              <w:rPr>
                <w:sz w:val="20"/>
              </w:rPr>
              <w:t xml:space="preserve">Sexe </w:t>
            </w:r>
            <w:r>
              <w:rPr>
                <w:sz w:val="20"/>
              </w:rPr>
              <w:t xml:space="preserve">assigné à </w:t>
            </w:r>
            <w:r>
              <w:rPr>
                <w:sz w:val="20"/>
              </w:rPr>
              <w:t xml:space="preserve">la </w:t>
            </w:r>
            <w:r>
              <w:rPr>
                <w:sz w:val="20"/>
              </w:rPr>
              <w:t xml:space="preserve">naissance : </w:t>
            </w:r>
            <w:r>
              <w:rPr>
                <w:sz w:val="20"/>
              </w:rPr>
              <w:t xml:space="preserve">féminin.</w:t>
            </w:r>
          </w:p>
          <w:p>
            <w:pPr>
              <w:pStyle w:val="TableParagraph"/>
              <w:numPr>
                <w:ilvl w:val="0"/>
                <w:numId w:val="144"/>
              </w:numPr>
              <w:tabs>
                <w:tab w:val="left" w:pos="467"/>
                <w:tab w:val="left" w:pos="468"/>
              </w:tabs>
              <w:spacing w:before="4" w:line="235" w:lineRule="auto"/>
              <w:ind w:end="231"/>
              <w:rPr>
                <w:sz w:val="20"/>
              </w:rPr>
            </w:pPr>
            <w:r>
              <w:rPr>
                <w:sz w:val="20"/>
              </w:rPr>
              <w:t xml:space="preserve">La durée de la dysphorie de genre : moins de 6 mois, 6-24 mois, </w:t>
            </w:r>
            <w:r>
              <w:rPr>
                <w:sz w:val="20"/>
              </w:rPr>
              <w:t xml:space="preserve">et plus </w:t>
            </w:r>
            <w:r>
              <w:rPr>
                <w:sz w:val="20"/>
              </w:rPr>
              <w:t xml:space="preserve">de </w:t>
            </w:r>
            <w:r>
              <w:rPr>
                <w:sz w:val="20"/>
              </w:rPr>
              <w:t xml:space="preserve">24 </w:t>
            </w:r>
            <w:r>
              <w:rPr>
                <w:sz w:val="20"/>
              </w:rPr>
              <w:t xml:space="preserve">mois.</w:t>
            </w:r>
          </w:p>
          <w:p>
            <w:pPr>
              <w:pStyle w:val="TableParagraph"/>
              <w:numPr>
                <w:ilvl w:val="0"/>
                <w:numId w:val="144"/>
              </w:numPr>
              <w:tabs>
                <w:tab w:val="left" w:pos="467"/>
                <w:tab w:val="left" w:pos="468"/>
              </w:tabs>
              <w:spacing w:before="4" w:line="245" w:lineRule="exact"/>
              <w:ind w:hanging="361"/>
              <w:rPr>
                <w:sz w:val="20"/>
              </w:rPr>
            </w:pPr>
            <w:r>
              <w:rPr>
                <w:sz w:val="20"/>
              </w:rPr>
              <w:t xml:space="preserve">L'</w:t>
            </w:r>
            <w:r>
              <w:rPr>
                <w:sz w:val="20"/>
              </w:rPr>
              <w:t xml:space="preserve">âge </w:t>
            </w:r>
            <w:r>
              <w:rPr>
                <w:sz w:val="20"/>
              </w:rPr>
              <w:t xml:space="preserve">d'</w:t>
            </w:r>
            <w:r>
              <w:rPr>
                <w:sz w:val="20"/>
              </w:rPr>
              <w:t xml:space="preserve">apparition </w:t>
            </w:r>
            <w:r>
              <w:rPr>
                <w:sz w:val="20"/>
              </w:rPr>
              <w:t xml:space="preserve">de la </w:t>
            </w:r>
            <w:r>
              <w:rPr>
                <w:sz w:val="20"/>
              </w:rPr>
              <w:t xml:space="preserve">dysphorie de </w:t>
            </w:r>
            <w:r>
              <w:rPr>
                <w:sz w:val="20"/>
              </w:rPr>
              <w:t xml:space="preserve">genre</w:t>
            </w:r>
            <w:r>
              <w:rPr>
                <w:sz w:val="20"/>
              </w:rPr>
              <w:t xml:space="preserve">.</w:t>
            </w:r>
          </w:p>
          <w:p>
            <w:pPr>
              <w:pStyle w:val="TableParagraph"/>
              <w:numPr>
                <w:ilvl w:val="0"/>
                <w:numId w:val="144"/>
              </w:numPr>
              <w:tabs>
                <w:tab w:val="left" w:pos="467"/>
                <w:tab w:val="left" w:pos="468"/>
              </w:tabs>
              <w:spacing w:line="244" w:lineRule="exact"/>
              <w:ind w:hanging="361"/>
              <w:rPr>
                <w:sz w:val="20"/>
              </w:rPr>
            </w:pPr>
            <w:r>
              <w:rPr>
                <w:sz w:val="20"/>
              </w:rPr>
              <w:t xml:space="preserve">L'</w:t>
            </w:r>
            <w:r>
              <w:rPr>
                <w:sz w:val="20"/>
              </w:rPr>
              <w:t xml:space="preserve">âge </w:t>
            </w:r>
            <w:r>
              <w:rPr>
                <w:sz w:val="20"/>
              </w:rPr>
              <w:t xml:space="preserve">auquel le </w:t>
            </w:r>
            <w:r>
              <w:rPr>
                <w:sz w:val="20"/>
              </w:rPr>
              <w:t xml:space="preserve">traitement </w:t>
            </w:r>
            <w:r>
              <w:rPr>
                <w:sz w:val="20"/>
              </w:rPr>
              <w:t xml:space="preserve">a été </w:t>
            </w:r>
            <w:r>
              <w:rPr>
                <w:sz w:val="20"/>
              </w:rPr>
              <w:t xml:space="preserve">initié.</w:t>
            </w:r>
          </w:p>
          <w:p>
            <w:pPr>
              <w:pStyle w:val="TableParagraph"/>
              <w:numPr>
                <w:ilvl w:val="0"/>
                <w:numId w:val="144"/>
              </w:numPr>
              <w:tabs>
                <w:tab w:val="left" w:pos="467"/>
                <w:tab w:val="left" w:pos="468"/>
              </w:tabs>
              <w:spacing w:line="242" w:lineRule="exact"/>
              <w:ind w:hanging="361"/>
              <w:rPr>
                <w:sz w:val="20"/>
              </w:rPr>
            </w:pPr>
            <w:r>
              <w:rPr>
                <w:sz w:val="20"/>
              </w:rPr>
              <w:t xml:space="preserve">L'</w:t>
            </w:r>
            <w:r>
              <w:rPr>
                <w:sz w:val="20"/>
              </w:rPr>
              <w:t xml:space="preserve">âge </w:t>
            </w:r>
            <w:r>
              <w:rPr>
                <w:sz w:val="20"/>
              </w:rPr>
              <w:t xml:space="preserve">de l'</w:t>
            </w:r>
            <w:r>
              <w:rPr>
                <w:sz w:val="20"/>
              </w:rPr>
              <w:t xml:space="preserve">apparition de </w:t>
            </w:r>
            <w:r>
              <w:rPr>
                <w:sz w:val="20"/>
              </w:rPr>
              <w:t xml:space="preserve">la </w:t>
            </w:r>
            <w:r>
              <w:rPr>
                <w:sz w:val="20"/>
              </w:rPr>
              <w:t xml:space="preserve">puberté.</w:t>
            </w:r>
          </w:p>
          <w:p>
            <w:pPr>
              <w:pStyle w:val="TableParagraph"/>
              <w:numPr>
                <w:ilvl w:val="0"/>
                <w:numId w:val="144"/>
              </w:numPr>
              <w:tabs>
                <w:tab w:val="left" w:pos="467"/>
                <w:tab w:val="left" w:pos="468"/>
              </w:tabs>
              <w:spacing w:line="244" w:lineRule="exact"/>
              <w:ind w:hanging="361"/>
              <w:rPr>
                <w:sz w:val="20"/>
              </w:rPr>
            </w:pPr>
            <w:r>
              <w:rPr>
                <w:sz w:val="20"/>
              </w:rPr>
              <w:t xml:space="preserve">Stade de </w:t>
            </w:r>
            <w:r>
              <w:rPr>
                <w:sz w:val="20"/>
              </w:rPr>
              <w:t xml:space="preserve">Tanner </w:t>
            </w:r>
            <w:r>
              <w:rPr>
                <w:sz w:val="20"/>
              </w:rPr>
              <w:t xml:space="preserve">auquel le </w:t>
            </w:r>
            <w:r>
              <w:rPr>
                <w:sz w:val="20"/>
              </w:rPr>
              <w:t xml:space="preserve">traitement </w:t>
            </w:r>
            <w:r>
              <w:rPr>
                <w:sz w:val="20"/>
              </w:rPr>
              <w:t xml:space="preserve">a été </w:t>
            </w:r>
            <w:r>
              <w:rPr>
                <w:sz w:val="20"/>
              </w:rPr>
              <w:t xml:space="preserve">initié.</w:t>
            </w:r>
          </w:p>
          <w:p>
            <w:pPr>
              <w:pStyle w:val="TableParagraph"/>
              <w:numPr>
                <w:ilvl w:val="0"/>
                <w:numId w:val="144"/>
              </w:numPr>
              <w:tabs>
                <w:tab w:val="left" w:pos="467"/>
                <w:tab w:val="left" w:pos="468"/>
              </w:tabs>
              <w:spacing w:before="4" w:line="235" w:lineRule="auto"/>
              <w:ind w:end="485"/>
              <w:rPr>
                <w:sz w:val="20"/>
              </w:rPr>
            </w:pPr>
            <w:r>
              <w:rPr>
                <w:sz w:val="20"/>
              </w:rPr>
              <w:t xml:space="preserve">Enfants et adolescents souffrant de dysphorie de genre et ayant reçu un </w:t>
            </w:r>
            <w:r>
              <w:rPr>
                <w:sz w:val="20"/>
              </w:rPr>
              <w:t xml:space="preserve">diagnostic </w:t>
            </w:r>
            <w:r>
              <w:rPr>
                <w:sz w:val="20"/>
              </w:rPr>
              <w:t xml:space="preserve">préalable </w:t>
            </w:r>
            <w:r>
              <w:rPr>
                <w:sz w:val="20"/>
              </w:rPr>
              <w:t xml:space="preserve">de </w:t>
            </w:r>
            <w:r>
              <w:rPr>
                <w:sz w:val="20"/>
              </w:rPr>
              <w:t xml:space="preserve">trouble </w:t>
            </w:r>
            <w:r>
              <w:rPr>
                <w:sz w:val="20"/>
              </w:rPr>
              <w:t xml:space="preserve">du spectre </w:t>
            </w:r>
            <w:r>
              <w:rPr>
                <w:sz w:val="20"/>
              </w:rPr>
              <w:t xml:space="preserve">autistique</w:t>
            </w:r>
            <w:r>
              <w:rPr>
                <w:sz w:val="20"/>
              </w:rPr>
              <w:t xml:space="preserve">.</w:t>
            </w:r>
          </w:p>
          <w:p>
            <w:pPr>
              <w:pStyle w:val="TableParagraph"/>
              <w:numPr>
                <w:ilvl w:val="0"/>
                <w:numId w:val="144"/>
              </w:numPr>
              <w:tabs>
                <w:tab w:val="left" w:pos="467"/>
                <w:tab w:val="left" w:pos="468"/>
              </w:tabs>
              <w:spacing w:before="3"/>
              <w:ind w:end="812"/>
              <w:rPr>
                <w:sz w:val="20"/>
              </w:rPr>
            </w:pPr>
            <w:r>
              <w:rPr>
                <w:sz w:val="20"/>
              </w:rPr>
              <w:t xml:space="preserve">Enfants et adolescents souffrant de dysphorie de genre et présentant une </w:t>
            </w:r>
            <w:r>
              <w:rPr>
                <w:sz w:val="20"/>
              </w:rPr>
              <w:t xml:space="preserve">charge importante de symptômes de santé mentale au moment du diagnostic, notamment </w:t>
            </w:r>
            <w:r>
              <w:rPr>
                <w:sz w:val="20"/>
              </w:rPr>
              <w:t xml:space="preserve">anxiété, </w:t>
            </w:r>
            <w:r>
              <w:rPr>
                <w:sz w:val="20"/>
              </w:rPr>
              <w:t xml:space="preserve">dépression </w:t>
            </w:r>
            <w:r>
              <w:rPr>
                <w:sz w:val="20"/>
              </w:rPr>
              <w:t xml:space="preserve">(</w:t>
            </w:r>
            <w:r>
              <w:rPr>
                <w:sz w:val="20"/>
              </w:rPr>
              <w:t xml:space="preserve">avec </w:t>
            </w:r>
            <w:r>
              <w:rPr>
                <w:sz w:val="20"/>
              </w:rPr>
              <w:t xml:space="preserve">ou </w:t>
            </w:r>
            <w:r>
              <w:rPr>
                <w:sz w:val="20"/>
              </w:rPr>
              <w:t xml:space="preserve">sans </w:t>
            </w:r>
            <w:r>
              <w:rPr>
                <w:sz w:val="20"/>
              </w:rPr>
              <w:t xml:space="preserve">antécédents </w:t>
            </w:r>
            <w:r>
              <w:rPr>
                <w:sz w:val="20"/>
              </w:rPr>
              <w:t xml:space="preserve">d'</w:t>
            </w:r>
            <w:r>
              <w:rPr>
                <w:sz w:val="20"/>
              </w:rPr>
              <w:t xml:space="preserve">automutilation </w:t>
            </w:r>
            <w:r>
              <w:rPr>
                <w:sz w:val="20"/>
              </w:rPr>
              <w:t xml:space="preserve">et de </w:t>
            </w:r>
            <w:r>
              <w:rPr>
                <w:sz w:val="20"/>
              </w:rPr>
              <w:t xml:space="preserve">suicidalité), </w:t>
            </w:r>
            <w:r>
              <w:rPr>
                <w:sz w:val="20"/>
              </w:rPr>
              <w:t xml:space="preserve">tentatives de </w:t>
            </w:r>
            <w:r>
              <w:rPr>
                <w:sz w:val="20"/>
              </w:rPr>
              <w:t xml:space="preserve">suicide</w:t>
            </w:r>
            <w:r>
              <w:rPr>
                <w:sz w:val="20"/>
              </w:rPr>
              <w:t xml:space="preserve">, </w:t>
            </w:r>
            <w:r>
              <w:rPr>
                <w:sz w:val="20"/>
              </w:rPr>
              <w:t xml:space="preserve">psychose, </w:t>
            </w:r>
            <w:r>
              <w:rPr>
                <w:sz w:val="20"/>
              </w:rPr>
              <w:t xml:space="preserve">trouble de la </w:t>
            </w:r>
            <w:r>
              <w:rPr>
                <w:sz w:val="20"/>
              </w:rPr>
              <w:t xml:space="preserve">personnalité</w:t>
            </w:r>
            <w:r>
              <w:rPr>
                <w:sz w:val="20"/>
              </w:rPr>
              <w:t xml:space="preserve">,</w:t>
            </w:r>
          </w:p>
          <w:p>
            <w:pPr>
              <w:pStyle w:val="TableParagraph"/>
              <w:spacing w:line="209" w:lineRule="exact"/>
              <w:ind w:start="467"/>
              <w:rPr>
                <w:sz w:val="20"/>
              </w:rPr>
            </w:pPr>
            <w:r>
              <w:rPr>
                <w:sz w:val="20"/>
              </w:rPr>
              <w:t xml:space="preserve">Trouble </w:t>
            </w:r>
            <w:r>
              <w:rPr>
                <w:sz w:val="20"/>
              </w:rPr>
              <w:t xml:space="preserve">déficitaire de l'</w:t>
            </w:r>
            <w:r>
              <w:rPr>
                <w:sz w:val="20"/>
              </w:rPr>
              <w:t xml:space="preserve">attention avec </w:t>
            </w:r>
            <w:r>
              <w:rPr>
                <w:sz w:val="20"/>
              </w:rPr>
              <w:t xml:space="preserve">hyperactivité </w:t>
            </w:r>
            <w:r>
              <w:rPr>
                <w:sz w:val="20"/>
              </w:rPr>
              <w:t xml:space="preserve">et </w:t>
            </w:r>
            <w:r>
              <w:rPr>
                <w:sz w:val="20"/>
              </w:rPr>
              <w:t xml:space="preserve">troubles de l'</w:t>
            </w:r>
            <w:r>
              <w:rPr>
                <w:sz w:val="20"/>
              </w:rPr>
              <w:t xml:space="preserve">alimentation</w:t>
            </w:r>
            <w:r>
              <w:rPr>
                <w:sz w:val="20"/>
              </w:rPr>
              <w:t xml:space="preserve">.</w:t>
            </w:r>
          </w:p>
        </w:tc>
      </w:tr>
      <w:tr w:rsidR="00432386">
        <w:trPr>
          <w:trHeight w:val="690"/>
        </w:trPr>
        <w:tc>
          <w:tcPr>
            <w:tcW w:w="2626" w:type="dxa"/>
          </w:tcPr>
          <w:p w:rsidR="00432386" w:rsidRDefault="00432386">
            <w:pPr>
              <w:pStyle w:val="TableParagraph"/>
              <w:spacing w:before="11"/>
              <w:rPr>
                <w:b/>
                <w:sz w:val="19"/>
              </w:rPr>
            </w:pPr>
          </w:p>
          <w:p>
            <w:pPr>
              <w:pStyle w:val="TableParagraph"/>
              <w:ind w:start="107"/>
              <w:rPr>
                <w:b/>
                <w:sz w:val="20"/>
              </w:rPr>
            </w:pPr>
            <w:r>
              <w:rPr>
                <w:b/>
                <w:sz w:val="20"/>
              </w:rPr>
              <w:t xml:space="preserve">I </w:t>
            </w:r>
            <w:r>
              <w:rPr>
                <w:b/>
                <w:sz w:val="20"/>
              </w:rPr>
              <w:t xml:space="preserve">- </w:t>
            </w:r>
            <w:r>
              <w:rPr>
                <w:b/>
                <w:sz w:val="20"/>
              </w:rPr>
              <w:t xml:space="preserve">Intervention</w:t>
            </w:r>
          </w:p>
        </w:tc>
        <w:tc>
          <w:tcPr>
            <w:tcW w:w="6726" w:type="dxa"/>
          </w:tcPr>
          <w:p>
            <w:pPr>
              <w:pStyle w:val="TableParagraph"/>
              <w:ind w:start="107" w:end="117"/>
              <w:rPr>
                <w:sz w:val="20"/>
              </w:rPr>
            </w:pPr>
            <w:r>
              <w:rPr>
                <w:sz w:val="20"/>
              </w:rPr>
              <w:t xml:space="preserve">Tout </w:t>
            </w:r>
            <w:r>
              <w:rPr>
                <w:sz w:val="20"/>
              </w:rPr>
              <w:t xml:space="preserve">analogue de la </w:t>
            </w:r>
            <w:r>
              <w:rPr>
                <w:sz w:val="20"/>
              </w:rPr>
              <w:t xml:space="preserve">GnRH</w:t>
            </w:r>
            <w:r>
              <w:rPr>
                <w:sz w:val="20"/>
              </w:rPr>
              <w:t xml:space="preserve">, y compris : </w:t>
            </w:r>
            <w:r>
              <w:rPr>
                <w:sz w:val="20"/>
              </w:rPr>
              <w:t xml:space="preserve">triptoréline* ; </w:t>
            </w:r>
            <w:r>
              <w:rPr>
                <w:sz w:val="20"/>
              </w:rPr>
              <w:t xml:space="preserve">buséréline ; </w:t>
            </w:r>
            <w:r>
              <w:rPr>
                <w:sz w:val="20"/>
              </w:rPr>
              <w:t xml:space="preserve">histréline ; </w:t>
            </w:r>
            <w:r>
              <w:rPr>
                <w:sz w:val="20"/>
              </w:rPr>
              <w:t xml:space="preserve">goséréline </w:t>
            </w:r>
            <w:r>
              <w:rPr>
                <w:sz w:val="20"/>
              </w:rPr>
              <w:t xml:space="preserve">(Zoladex) ; </w:t>
            </w:r>
            <w:r>
              <w:rPr>
                <w:sz w:val="20"/>
              </w:rPr>
              <w:t xml:space="preserve">leuproréline/leuprolide </w:t>
            </w:r>
            <w:r>
              <w:rPr>
                <w:sz w:val="20"/>
              </w:rPr>
              <w:t xml:space="preserve">(Prostap) ; nafaréline.</w:t>
            </w:r>
          </w:p>
        </w:tc>
      </w:tr>
    </w:tbl>
    <w:p w:rsidR="00432386" w:rsidRDefault="00432386">
      <w:pPr>
        <w:rPr>
          <w:sz w:val="20"/>
        </w:rPr>
        <w:sectPr w:rsidR="00432386">
          <w:pgSz w:w="11910" w:h="16840"/>
          <w:pgMar w:top="1180" w:right="980" w:bottom="1673"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26"/>
        <w:gridCol w:w="6726"/>
      </w:tblGrid>
      <w:tr w:rsidR="00432386">
        <w:trPr>
          <w:trHeight w:val="688"/>
        </w:trPr>
        <w:tc>
          <w:tcPr>
            <w:tcW w:w="2626" w:type="dxa"/>
          </w:tcPr>
          <w:p w:rsidR="00432386" w:rsidRDefault="00432386">
            <w:pPr>
              <w:pStyle w:val="TableParagraph"/>
              <w:rPr>
                <w:rFonts w:ascii="Times New Roman"/>
                <w:sz w:val="18"/>
              </w:rPr>
            </w:pPr>
          </w:p>
        </w:tc>
        <w:tc>
          <w:tcPr>
            <w:tcW w:w="6726" w:type="dxa"/>
          </w:tcPr>
          <w:p>
            <w:pPr>
              <w:pStyle w:val="TableParagraph"/>
              <w:ind w:start="107" w:end="109"/>
              <w:rPr>
                <w:sz w:val="20"/>
              </w:rPr>
            </w:pPr>
            <w:r>
              <w:rPr>
                <w:sz w:val="20"/>
              </w:rPr>
              <w:t xml:space="preserve">* La </w:t>
            </w:r>
            <w:r>
              <w:rPr>
                <w:sz w:val="20"/>
              </w:rPr>
              <w:t xml:space="preserve">triptoréline (</w:t>
            </w:r>
            <w:r>
              <w:rPr>
                <w:sz w:val="20"/>
              </w:rPr>
              <w:t xml:space="preserve">noms de </w:t>
            </w:r>
            <w:r>
              <w:rPr>
                <w:sz w:val="20"/>
              </w:rPr>
              <w:t xml:space="preserve">marque </w:t>
            </w:r>
            <w:r>
              <w:rPr>
                <w:sz w:val="20"/>
              </w:rPr>
              <w:t xml:space="preserve">Gonapeptyl </w:t>
            </w:r>
            <w:r>
              <w:rPr>
                <w:sz w:val="20"/>
              </w:rPr>
              <w:t xml:space="preserve">et </w:t>
            </w:r>
            <w:r>
              <w:rPr>
                <w:sz w:val="20"/>
              </w:rPr>
              <w:t xml:space="preserve">Decapeptyl) </w:t>
            </w:r>
            <w:r>
              <w:rPr>
                <w:sz w:val="20"/>
              </w:rPr>
              <w:t xml:space="preserve">est utilisée à l'</w:t>
            </w:r>
            <w:r>
              <w:rPr>
                <w:sz w:val="20"/>
              </w:rPr>
              <w:t xml:space="preserve">hôpital de </w:t>
            </w:r>
            <w:r>
              <w:rPr>
                <w:sz w:val="20"/>
              </w:rPr>
              <w:t xml:space="preserve">Leeds</w:t>
            </w:r>
            <w:r>
              <w:rPr>
                <w:sz w:val="20"/>
              </w:rPr>
              <w:t xml:space="preserve">, en </w:t>
            </w:r>
            <w:r>
              <w:rPr>
                <w:sz w:val="20"/>
              </w:rPr>
              <w:t xml:space="preserve">Angleterre. </w:t>
            </w:r>
            <w:r>
              <w:rPr>
                <w:sz w:val="20"/>
              </w:rPr>
              <w:t xml:space="preserve">La </w:t>
            </w:r>
            <w:r>
              <w:rPr>
                <w:sz w:val="20"/>
              </w:rPr>
              <w:t xml:space="preserve">recherche </w:t>
            </w:r>
            <w:r>
              <w:rPr>
                <w:sz w:val="20"/>
              </w:rPr>
              <w:t xml:space="preserve">doit </w:t>
            </w:r>
            <w:r>
              <w:rPr>
                <w:sz w:val="20"/>
              </w:rPr>
              <w:t xml:space="preserve">inclure les </w:t>
            </w:r>
            <w:r>
              <w:rPr>
                <w:sz w:val="20"/>
              </w:rPr>
              <w:t xml:space="preserve">noms de </w:t>
            </w:r>
            <w:r>
              <w:rPr>
                <w:sz w:val="20"/>
              </w:rPr>
              <w:t xml:space="preserve">marque </w:t>
            </w:r>
            <w:r>
              <w:rPr>
                <w:sz w:val="20"/>
              </w:rPr>
              <w:t xml:space="preserve">ainsi </w:t>
            </w:r>
            <w:r>
              <w:rPr>
                <w:sz w:val="20"/>
              </w:rPr>
              <w:t xml:space="preserve">que</w:t>
            </w:r>
          </w:p>
          <w:p>
            <w:pPr>
              <w:pStyle w:val="TableParagraph"/>
              <w:spacing w:line="209" w:lineRule="exact"/>
              <w:ind w:start="107"/>
              <w:rPr>
                <w:sz w:val="20"/>
              </w:rPr>
            </w:pPr>
            <w:r>
              <w:rPr>
                <w:sz w:val="20"/>
              </w:rPr>
              <w:t xml:space="preserve">comme </w:t>
            </w:r>
            <w:r>
              <w:rPr>
                <w:sz w:val="20"/>
              </w:rPr>
              <w:t xml:space="preserve">noms </w:t>
            </w:r>
            <w:r>
              <w:rPr>
                <w:sz w:val="20"/>
              </w:rPr>
              <w:t xml:space="preserve">génériques</w:t>
            </w:r>
            <w:r>
              <w:rPr>
                <w:sz w:val="20"/>
              </w:rPr>
              <w:t xml:space="preserve">.</w:t>
            </w:r>
          </w:p>
        </w:tc>
      </w:tr>
      <w:tr w:rsidR="00432386">
        <w:trPr>
          <w:trHeight w:val="962"/>
        </w:trPr>
        <w:tc>
          <w:tcPr>
            <w:tcW w:w="2626" w:type="dxa"/>
          </w:tcPr>
          <w:p w:rsidR="00432386" w:rsidRDefault="00432386">
            <w:pPr>
              <w:pStyle w:val="TableParagraph"/>
              <w:spacing w:before="7"/>
              <w:rPr>
                <w:b/>
                <w:sz w:val="31"/>
              </w:rPr>
            </w:pPr>
          </w:p>
          <w:p>
            <w:pPr>
              <w:pStyle w:val="TableParagraph"/>
              <w:ind w:start="107"/>
              <w:rPr>
                <w:b/>
                <w:sz w:val="20"/>
              </w:rPr>
            </w:pPr>
            <w:r>
              <w:rPr>
                <w:b/>
                <w:sz w:val="20"/>
              </w:rPr>
              <w:t xml:space="preserve">C </w:t>
            </w:r>
            <w:r>
              <w:rPr>
                <w:b/>
                <w:sz w:val="20"/>
              </w:rPr>
              <w:t xml:space="preserve">- </w:t>
            </w:r>
            <w:r>
              <w:rPr>
                <w:b/>
                <w:sz w:val="20"/>
              </w:rPr>
              <w:t xml:space="preserve">Comparateur(s)</w:t>
            </w:r>
          </w:p>
        </w:tc>
        <w:tc>
          <w:tcPr>
            <w:tcW w:w="6726" w:type="dxa"/>
          </w:tcPr>
          <w:p>
            <w:pPr>
              <w:pStyle w:val="TableParagraph"/>
              <w:spacing w:line="229" w:lineRule="exact"/>
              <w:ind w:start="107"/>
              <w:rPr>
                <w:sz w:val="20"/>
              </w:rPr>
            </w:pPr>
            <w:r>
              <w:rPr>
                <w:sz w:val="20"/>
              </w:rPr>
              <w:t xml:space="preserve">Un </w:t>
            </w:r>
            <w:r>
              <w:rPr>
                <w:sz w:val="20"/>
              </w:rPr>
              <w:t xml:space="preserve">ou </w:t>
            </w:r>
            <w:r>
              <w:rPr>
                <w:sz w:val="20"/>
              </w:rPr>
              <w:t xml:space="preserve">une </w:t>
            </w:r>
            <w:r>
              <w:rPr>
                <w:sz w:val="20"/>
              </w:rPr>
              <w:t xml:space="preserve">combinaison de </w:t>
            </w:r>
            <w:r>
              <w:rPr>
                <w:sz w:val="20"/>
              </w:rPr>
              <w:t xml:space="preserve">:</w:t>
            </w:r>
          </w:p>
          <w:p>
            <w:pPr>
              <w:pStyle w:val="TableParagraph"/>
              <w:numPr>
                <w:ilvl w:val="0"/>
                <w:numId w:val="143"/>
              </w:numPr>
              <w:tabs>
                <w:tab w:val="left" w:pos="467"/>
                <w:tab w:val="left" w:pos="468"/>
              </w:tabs>
              <w:spacing w:before="1" w:line="245" w:lineRule="exact"/>
              <w:ind w:hanging="361"/>
              <w:rPr>
                <w:sz w:val="20"/>
              </w:rPr>
            </w:pPr>
            <w:r>
              <w:rPr>
                <w:sz w:val="20"/>
              </w:rPr>
              <w:t xml:space="preserve">Soutien </w:t>
            </w:r>
            <w:r>
              <w:rPr>
                <w:sz w:val="20"/>
              </w:rPr>
              <w:t xml:space="preserve">psychologique</w:t>
            </w:r>
            <w:r>
              <w:rPr>
                <w:sz w:val="20"/>
              </w:rPr>
              <w:t xml:space="preserve">.</w:t>
            </w:r>
          </w:p>
          <w:p>
            <w:pPr>
              <w:pStyle w:val="TableParagraph"/>
              <w:numPr>
                <w:ilvl w:val="0"/>
                <w:numId w:val="143"/>
              </w:numPr>
              <w:tabs>
                <w:tab w:val="left" w:pos="467"/>
                <w:tab w:val="left" w:pos="468"/>
              </w:tabs>
              <w:spacing w:line="244" w:lineRule="exact"/>
              <w:ind w:hanging="361"/>
              <w:rPr>
                <w:sz w:val="20"/>
              </w:rPr>
            </w:pPr>
            <w:r>
              <w:rPr>
                <w:sz w:val="20"/>
              </w:rPr>
              <w:t xml:space="preserve">Transition </w:t>
            </w:r>
            <w:r>
              <w:rPr>
                <w:sz w:val="20"/>
              </w:rPr>
              <w:t xml:space="preserve">sociale </w:t>
            </w:r>
            <w:r>
              <w:rPr>
                <w:sz w:val="20"/>
              </w:rPr>
              <w:t xml:space="preserve">vers </w:t>
            </w:r>
            <w:r>
              <w:rPr>
                <w:sz w:val="20"/>
              </w:rPr>
              <w:t xml:space="preserve">le </w:t>
            </w:r>
            <w:r>
              <w:rPr>
                <w:sz w:val="20"/>
              </w:rPr>
              <w:t xml:space="preserve">genre </w:t>
            </w:r>
            <w:r>
              <w:rPr>
                <w:sz w:val="20"/>
              </w:rPr>
              <w:t xml:space="preserve">auquel </w:t>
            </w:r>
            <w:r>
              <w:rPr>
                <w:sz w:val="20"/>
              </w:rPr>
              <w:t xml:space="preserve">la </w:t>
            </w:r>
            <w:r>
              <w:rPr>
                <w:sz w:val="20"/>
              </w:rPr>
              <w:t xml:space="preserve">personne </w:t>
            </w:r>
            <w:r>
              <w:rPr>
                <w:sz w:val="20"/>
              </w:rPr>
              <w:t xml:space="preserve">s'identifie.</w:t>
            </w:r>
          </w:p>
          <w:p>
            <w:pPr>
              <w:pStyle w:val="TableParagraph"/>
              <w:numPr>
                <w:ilvl w:val="0"/>
                <w:numId w:val="143"/>
              </w:numPr>
              <w:tabs>
                <w:tab w:val="left" w:pos="467"/>
                <w:tab w:val="left" w:pos="468"/>
              </w:tabs>
              <w:spacing w:line="223" w:lineRule="exact"/>
              <w:ind w:hanging="361"/>
              <w:rPr>
                <w:sz w:val="20"/>
              </w:rPr>
            </w:pPr>
            <w:r>
              <w:rPr>
                <w:sz w:val="20"/>
              </w:rPr>
              <w:t xml:space="preserve">Pas d'</w:t>
            </w:r>
            <w:r>
              <w:rPr>
                <w:sz w:val="20"/>
              </w:rPr>
              <w:t xml:space="preserve">intervention.</w:t>
            </w:r>
          </w:p>
        </w:tc>
      </w:tr>
      <w:tr w:rsidR="00432386">
        <w:trPr>
          <w:trHeight w:val="12269"/>
        </w:trPr>
        <w:tc>
          <w:tcPr>
            <w:tcW w:w="2626" w:type="dxa"/>
          </w:tcPr>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rPr>
                <w:b/>
              </w:rPr>
            </w:pPr>
          </w:p>
          <w:p w:rsidR="00432386" w:rsidRDefault="00432386">
            <w:pPr>
              <w:pStyle w:val="TableParagraph"/>
              <w:spacing w:before="5"/>
              <w:rPr>
                <w:b/>
                <w:sz w:val="17"/>
              </w:rPr>
            </w:pPr>
          </w:p>
          <w:p>
            <w:pPr>
              <w:pStyle w:val="TableParagraph"/>
              <w:ind w:start="107"/>
              <w:rPr>
                <w:b/>
                <w:sz w:val="20"/>
              </w:rPr>
            </w:pPr>
            <w:r>
              <w:rPr>
                <w:b/>
                <w:sz w:val="20"/>
              </w:rPr>
              <w:t xml:space="preserve">O </w:t>
            </w:r>
            <w:r>
              <w:rPr>
                <w:b/>
                <w:sz w:val="20"/>
              </w:rPr>
              <w:t xml:space="preserve">- </w:t>
            </w:r>
            <w:r>
              <w:rPr>
                <w:b/>
                <w:sz w:val="20"/>
              </w:rPr>
              <w:t xml:space="preserve">Résultats</w:t>
            </w:r>
          </w:p>
        </w:tc>
        <w:tc>
          <w:tcPr>
            <w:tcW w:w="6726" w:type="dxa"/>
          </w:tcPr>
          <w:p>
            <w:pPr>
              <w:pStyle w:val="TableParagraph"/>
              <w:ind w:start="107" w:end="117"/>
              <w:rPr>
                <w:sz w:val="20"/>
              </w:rPr>
            </w:pPr>
            <w:r>
              <w:rPr>
                <w:sz w:val="20"/>
              </w:rPr>
              <w:t xml:space="preserve">Il </w:t>
            </w:r>
            <w:r>
              <w:rPr>
                <w:sz w:val="20"/>
              </w:rPr>
              <w:t xml:space="preserve">n'y a pas de </w:t>
            </w:r>
            <w:r>
              <w:rPr>
                <w:sz w:val="20"/>
              </w:rPr>
              <w:t xml:space="preserve">différences </w:t>
            </w:r>
            <w:r>
              <w:rPr>
                <w:sz w:val="20"/>
              </w:rPr>
              <w:t xml:space="preserve">minimales </w:t>
            </w:r>
            <w:r>
              <w:rPr>
                <w:sz w:val="20"/>
              </w:rPr>
              <w:t xml:space="preserve">cliniquement </w:t>
            </w:r>
            <w:r>
              <w:rPr>
                <w:sz w:val="20"/>
              </w:rPr>
              <w:t xml:space="preserve">importantes </w:t>
            </w:r>
            <w:r>
              <w:rPr>
                <w:sz w:val="20"/>
              </w:rPr>
              <w:t xml:space="preserve">connues </w:t>
            </w:r>
            <w:r>
              <w:rPr>
                <w:sz w:val="20"/>
              </w:rPr>
              <w:t xml:space="preserve">et </w:t>
            </w:r>
            <w:r>
              <w:rPr>
                <w:sz w:val="20"/>
              </w:rPr>
              <w:t xml:space="preserve">il </w:t>
            </w:r>
            <w:r>
              <w:rPr>
                <w:sz w:val="20"/>
              </w:rPr>
              <w:t xml:space="preserve">n'y a pas de </w:t>
            </w:r>
            <w:r>
              <w:rPr>
                <w:sz w:val="20"/>
              </w:rPr>
              <w:t xml:space="preserve">points de repère </w:t>
            </w:r>
            <w:r>
              <w:rPr>
                <w:sz w:val="20"/>
              </w:rPr>
              <w:t xml:space="preserve">préférés </w:t>
            </w:r>
            <w:r>
              <w:rPr>
                <w:sz w:val="20"/>
              </w:rPr>
              <w:t xml:space="preserve">pour </w:t>
            </w:r>
            <w:r>
              <w:rPr>
                <w:sz w:val="20"/>
              </w:rPr>
              <w:t xml:space="preserve">les </w:t>
            </w:r>
            <w:r>
              <w:rPr>
                <w:sz w:val="20"/>
              </w:rPr>
              <w:t xml:space="preserve">mesures de </w:t>
            </w:r>
            <w:r>
              <w:rPr>
                <w:sz w:val="20"/>
              </w:rPr>
              <w:t xml:space="preserve">résultats </w:t>
            </w:r>
            <w:r>
              <w:rPr>
                <w:sz w:val="20"/>
              </w:rPr>
              <w:t xml:space="preserve">sélectionnées.</w:t>
            </w:r>
          </w:p>
          <w:p w:rsidR="00432386" w:rsidRDefault="00432386">
            <w:pPr>
              <w:pStyle w:val="TableParagraph"/>
              <w:spacing w:before="9"/>
              <w:rPr>
                <w:b/>
                <w:sz w:val="19"/>
              </w:rPr>
            </w:pPr>
          </w:p>
          <w:p>
            <w:pPr>
              <w:pStyle w:val="TableParagraph"/>
              <w:ind w:start="107"/>
              <w:rPr>
                <w:b/>
                <w:sz w:val="20"/>
              </w:rPr>
            </w:pPr>
            <w:r>
              <w:rPr>
                <w:b/>
                <w:sz w:val="20"/>
              </w:rPr>
              <w:t xml:space="preserve">Tous les </w:t>
            </w:r>
            <w:r>
              <w:rPr>
                <w:b/>
                <w:sz w:val="20"/>
              </w:rPr>
              <w:t xml:space="preserve">résultats </w:t>
            </w:r>
            <w:r>
              <w:rPr>
                <w:b/>
                <w:sz w:val="20"/>
              </w:rPr>
              <w:t xml:space="preserve">doivent </w:t>
            </w:r>
            <w:r>
              <w:rPr>
                <w:b/>
                <w:sz w:val="20"/>
              </w:rPr>
              <w:t xml:space="preserve">être </w:t>
            </w:r>
            <w:r>
              <w:rPr>
                <w:b/>
                <w:sz w:val="20"/>
              </w:rPr>
              <w:t xml:space="preserve">stratifiés </w:t>
            </w:r>
            <w:r>
              <w:rPr>
                <w:b/>
                <w:sz w:val="20"/>
              </w:rPr>
              <w:t xml:space="preserve">par :</w:t>
            </w:r>
          </w:p>
          <w:p w:rsidR="00432386" w:rsidRDefault="00432386">
            <w:pPr>
              <w:pStyle w:val="TableParagraph"/>
              <w:spacing w:before="2"/>
              <w:rPr>
                <w:b/>
                <w:sz w:val="20"/>
              </w:rPr>
            </w:pPr>
          </w:p>
          <w:p>
            <w:pPr>
              <w:pStyle w:val="TableParagraph"/>
              <w:numPr>
                <w:ilvl w:val="0"/>
                <w:numId w:val="142"/>
              </w:numPr>
              <w:tabs>
                <w:tab w:val="left" w:pos="827"/>
                <w:tab w:val="left" w:pos="828"/>
              </w:tabs>
              <w:spacing w:line="244" w:lineRule="exact"/>
              <w:ind w:hanging="361"/>
              <w:rPr>
                <w:sz w:val="20"/>
              </w:rPr>
            </w:pPr>
            <w:r>
              <w:rPr>
                <w:sz w:val="20"/>
              </w:rPr>
              <w:t xml:space="preserve">L'</w:t>
            </w:r>
            <w:r>
              <w:rPr>
                <w:sz w:val="20"/>
              </w:rPr>
              <w:t xml:space="preserve">âge </w:t>
            </w:r>
            <w:r>
              <w:rPr>
                <w:sz w:val="20"/>
              </w:rPr>
              <w:t xml:space="preserve">auquel le </w:t>
            </w:r>
            <w:r>
              <w:rPr>
                <w:sz w:val="20"/>
              </w:rPr>
              <w:t xml:space="preserve">traitement </w:t>
            </w:r>
            <w:r>
              <w:rPr>
                <w:sz w:val="20"/>
              </w:rPr>
              <w:t xml:space="preserve">par les </w:t>
            </w:r>
            <w:r>
              <w:rPr>
                <w:sz w:val="20"/>
              </w:rPr>
              <w:t xml:space="preserve">analogues de la GnRH </w:t>
            </w:r>
            <w:r>
              <w:rPr>
                <w:sz w:val="20"/>
              </w:rPr>
              <w:t xml:space="preserve">a été </w:t>
            </w:r>
            <w:r>
              <w:rPr>
                <w:sz w:val="20"/>
              </w:rPr>
              <w:t xml:space="preserve">initié.</w:t>
            </w:r>
          </w:p>
          <w:p>
            <w:pPr>
              <w:pStyle w:val="TableParagraph"/>
              <w:numPr>
                <w:ilvl w:val="0"/>
                <w:numId w:val="142"/>
              </w:numPr>
              <w:tabs>
                <w:tab w:val="left" w:pos="827"/>
                <w:tab w:val="left" w:pos="828"/>
              </w:tabs>
              <w:spacing w:line="244" w:lineRule="exact"/>
              <w:ind w:hanging="361"/>
              <w:rPr>
                <w:sz w:val="20"/>
              </w:rPr>
            </w:pPr>
            <w:r>
              <w:rPr>
                <w:sz w:val="20"/>
              </w:rPr>
              <w:t xml:space="preserve">La </w:t>
            </w:r>
            <w:r>
              <w:rPr>
                <w:sz w:val="20"/>
              </w:rPr>
              <w:t xml:space="preserve">durée </w:t>
            </w:r>
            <w:r>
              <w:rPr>
                <w:sz w:val="20"/>
              </w:rPr>
              <w:t xml:space="preserve">du </w:t>
            </w:r>
            <w:r>
              <w:rPr>
                <w:sz w:val="20"/>
              </w:rPr>
              <w:t xml:space="preserve">traitement </w:t>
            </w:r>
            <w:r>
              <w:rPr>
                <w:sz w:val="20"/>
              </w:rPr>
              <w:t xml:space="preserve">par les </w:t>
            </w:r>
            <w:r>
              <w:rPr>
                <w:sz w:val="20"/>
              </w:rPr>
              <w:t xml:space="preserve">analogues de la </w:t>
            </w:r>
            <w:r>
              <w:rPr>
                <w:sz w:val="20"/>
              </w:rPr>
              <w:t xml:space="preserve">GnRH </w:t>
            </w:r>
            <w:r>
              <w:rPr>
                <w:sz w:val="20"/>
              </w:rPr>
              <w:t xml:space="preserve">lorsque </w:t>
            </w:r>
            <w:r>
              <w:rPr>
                <w:sz w:val="20"/>
              </w:rPr>
              <w:t xml:space="preserve">cela est possible.</w:t>
            </w:r>
          </w:p>
          <w:p w:rsidR="00432386" w:rsidRDefault="00432386">
            <w:pPr>
              <w:pStyle w:val="TableParagraph"/>
              <w:spacing w:before="8"/>
              <w:rPr>
                <w:b/>
                <w:sz w:val="19"/>
              </w:rPr>
            </w:pPr>
          </w:p>
          <w:p>
            <w:pPr>
              <w:pStyle w:val="TableParagraph"/>
              <w:spacing w:before="1"/>
              <w:ind w:start="107"/>
              <w:rPr>
                <w:b/>
                <w:sz w:val="20"/>
              </w:rPr>
            </w:pPr>
            <w:r>
              <w:rPr>
                <w:b/>
                <w:sz w:val="20"/>
                <w:u w:val="single"/>
              </w:rPr>
              <w:t xml:space="preserve">A : </w:t>
            </w:r>
            <w:r>
              <w:rPr>
                <w:b/>
                <w:sz w:val="20"/>
                <w:u w:val="single"/>
              </w:rPr>
              <w:t xml:space="preserve">Efficacité </w:t>
            </w:r>
            <w:r>
              <w:rPr>
                <w:b/>
                <w:sz w:val="20"/>
                <w:u w:val="single"/>
              </w:rPr>
              <w:t xml:space="preserve">clinique</w:t>
            </w:r>
          </w:p>
          <w:p w:rsidR="00432386" w:rsidRDefault="00432386">
            <w:pPr>
              <w:pStyle w:val="TableParagraph"/>
              <w:rPr>
                <w:b/>
                <w:sz w:val="20"/>
              </w:rPr>
            </w:pPr>
          </w:p>
          <w:p>
            <w:pPr>
              <w:pStyle w:val="TableParagraph"/>
              <w:ind w:start="107"/>
              <w:rPr>
                <w:i/>
                <w:sz w:val="20"/>
              </w:rPr>
            </w:pPr>
            <w:r>
              <w:rPr>
                <w:i/>
                <w:sz w:val="20"/>
              </w:rPr>
              <w:t xml:space="preserve">Essentiel à </w:t>
            </w:r>
            <w:r>
              <w:rPr>
                <w:i/>
                <w:sz w:val="20"/>
              </w:rPr>
              <w:t xml:space="preserve">la </w:t>
            </w:r>
            <w:r>
              <w:rPr>
                <w:i/>
                <w:sz w:val="20"/>
              </w:rPr>
              <w:t xml:space="preserve">prise de </w:t>
            </w:r>
            <w:r>
              <w:rPr>
                <w:i/>
                <w:sz w:val="20"/>
              </w:rPr>
              <w:t xml:space="preserve">décision</w:t>
            </w:r>
          </w:p>
          <w:p w:rsidR="00432386" w:rsidRDefault="00432386">
            <w:pPr>
              <w:pStyle w:val="TableParagraph"/>
              <w:spacing w:before="3"/>
              <w:rPr>
                <w:b/>
                <w:sz w:val="20"/>
              </w:rPr>
            </w:pPr>
          </w:p>
          <w:p>
            <w:pPr>
              <w:pStyle w:val="TableParagraph"/>
              <w:numPr>
                <w:ilvl w:val="0"/>
                <w:numId w:val="142"/>
              </w:numPr>
              <w:tabs>
                <w:tab w:val="left" w:pos="827"/>
                <w:tab w:val="left" w:pos="828"/>
              </w:tabs>
              <w:spacing w:line="243" w:lineRule="exact"/>
              <w:ind w:hanging="361"/>
              <w:rPr>
                <w:b/>
                <w:sz w:val="20"/>
              </w:rPr>
            </w:pPr>
            <w:r>
              <w:rPr>
                <w:b/>
                <w:sz w:val="20"/>
              </w:rPr>
              <w:t xml:space="preserve">Impact </w:t>
            </w:r>
            <w:r>
              <w:rPr>
                <w:b/>
                <w:sz w:val="20"/>
              </w:rPr>
              <w:t xml:space="preserve">sur la </w:t>
            </w:r>
            <w:r>
              <w:rPr>
                <w:b/>
                <w:sz w:val="20"/>
              </w:rPr>
              <w:t xml:space="preserve">dysphorie de </w:t>
            </w:r>
            <w:r>
              <w:rPr>
                <w:b/>
                <w:sz w:val="20"/>
              </w:rPr>
              <w:t xml:space="preserve">genre</w:t>
            </w:r>
          </w:p>
          <w:p>
            <w:pPr>
              <w:pStyle w:val="TableParagraph"/>
              <w:ind w:start="827" w:end="125"/>
              <w:rPr>
                <w:sz w:val="20"/>
              </w:rPr>
            </w:pPr>
            <w:r>
              <w:rPr>
                <w:sz w:val="20"/>
              </w:rPr>
              <w:t xml:space="preserve">Ce </w:t>
            </w:r>
            <w:r>
              <w:rPr>
                <w:sz w:val="20"/>
              </w:rPr>
              <w:t xml:space="preserve">résultat </w:t>
            </w:r>
            <w:r>
              <w:rPr>
                <w:sz w:val="20"/>
              </w:rPr>
              <w:t xml:space="preserve">est </w:t>
            </w:r>
            <w:r>
              <w:rPr>
                <w:sz w:val="20"/>
              </w:rPr>
              <w:t xml:space="preserve">essentiel </w:t>
            </w:r>
            <w:r>
              <w:rPr>
                <w:sz w:val="20"/>
              </w:rPr>
              <w:t xml:space="preserve">car la </w:t>
            </w:r>
            <w:r>
              <w:rPr>
                <w:sz w:val="20"/>
              </w:rPr>
              <w:t xml:space="preserve">dysphorie de </w:t>
            </w:r>
            <w:r>
              <w:rPr>
                <w:sz w:val="20"/>
              </w:rPr>
              <w:t xml:space="preserve">genre </w:t>
            </w:r>
            <w:r>
              <w:rPr>
                <w:sz w:val="20"/>
              </w:rPr>
              <w:t xml:space="preserve">chez les </w:t>
            </w:r>
            <w:r>
              <w:rPr>
                <w:sz w:val="20"/>
              </w:rPr>
              <w:t xml:space="preserve">adolescents </w:t>
            </w:r>
            <w:r>
              <w:rPr>
                <w:sz w:val="20"/>
              </w:rPr>
              <w:t xml:space="preserve">et les enfants est associée à une détresse importante et à des problèmes de </w:t>
            </w:r>
            <w:r>
              <w:rPr>
                <w:sz w:val="20"/>
              </w:rPr>
              <w:t xml:space="preserve">fonctionnement. L'</w:t>
            </w:r>
            <w:r>
              <w:rPr>
                <w:sz w:val="20"/>
              </w:rPr>
              <w:t xml:space="preserve">impact </w:t>
            </w:r>
            <w:r>
              <w:rPr>
                <w:sz w:val="20"/>
              </w:rPr>
              <w:t xml:space="preserve">sur la </w:t>
            </w:r>
            <w:r>
              <w:rPr>
                <w:sz w:val="20"/>
              </w:rPr>
              <w:t xml:space="preserve">dysphorie de genre </w:t>
            </w:r>
            <w:r>
              <w:rPr>
                <w:sz w:val="20"/>
              </w:rPr>
              <w:t xml:space="preserve">peut </w:t>
            </w:r>
            <w:r>
              <w:rPr>
                <w:sz w:val="20"/>
              </w:rPr>
              <w:t xml:space="preserve">être </w:t>
            </w:r>
            <w:r>
              <w:rPr>
                <w:sz w:val="20"/>
              </w:rPr>
              <w:t xml:space="preserve">mesuré par l'</w:t>
            </w:r>
            <w:r>
              <w:rPr>
                <w:sz w:val="20"/>
              </w:rPr>
              <w:t xml:space="preserve">échelle de dysphorie de genre d'Utrecht. D'autres mesures </w:t>
            </w:r>
            <w:r>
              <w:rPr>
                <w:sz w:val="20"/>
              </w:rPr>
              <w:t xml:space="preserve">rapportées dans les études peuvent être utilisées comme alternative à la </w:t>
            </w:r>
            <w:r>
              <w:rPr>
                <w:sz w:val="20"/>
              </w:rPr>
              <w:t xml:space="preserve">mesure </w:t>
            </w:r>
            <w:r>
              <w:rPr>
                <w:sz w:val="20"/>
              </w:rPr>
              <w:t xml:space="preserve">indiquée</w:t>
            </w:r>
            <w:r>
              <w:rPr>
                <w:sz w:val="20"/>
              </w:rPr>
              <w:t xml:space="preserve">.</w:t>
            </w:r>
          </w:p>
          <w:p w:rsidR="00432386" w:rsidRDefault="00432386">
            <w:pPr>
              <w:pStyle w:val="TableParagraph"/>
              <w:spacing w:before="11"/>
              <w:rPr>
                <w:b/>
                <w:sz w:val="19"/>
              </w:rPr>
            </w:pPr>
          </w:p>
          <w:p>
            <w:pPr>
              <w:pStyle w:val="TableParagraph"/>
              <w:numPr>
                <w:ilvl w:val="0"/>
                <w:numId w:val="142"/>
              </w:numPr>
              <w:tabs>
                <w:tab w:val="left" w:pos="827"/>
                <w:tab w:val="left" w:pos="828"/>
              </w:tabs>
              <w:spacing w:line="243" w:lineRule="exact"/>
              <w:ind w:hanging="361"/>
              <w:rPr>
                <w:b/>
                <w:sz w:val="20"/>
              </w:rPr>
            </w:pPr>
            <w:r>
              <w:rPr>
                <w:b/>
                <w:sz w:val="20"/>
              </w:rPr>
              <w:t xml:space="preserve">Impact </w:t>
            </w:r>
            <w:r>
              <w:rPr>
                <w:b/>
                <w:sz w:val="20"/>
              </w:rPr>
              <w:t xml:space="preserve">sur la </w:t>
            </w:r>
            <w:r>
              <w:rPr>
                <w:b/>
                <w:sz w:val="20"/>
              </w:rPr>
              <w:t xml:space="preserve">santé </w:t>
            </w:r>
            <w:r>
              <w:rPr>
                <w:b/>
                <w:sz w:val="20"/>
              </w:rPr>
              <w:t xml:space="preserve">mentale</w:t>
            </w:r>
          </w:p>
          <w:p>
            <w:pPr>
              <w:pStyle w:val="TableParagraph"/>
              <w:ind w:start="827" w:end="124"/>
              <w:rPr>
                <w:sz w:val="20"/>
              </w:rPr>
            </w:pPr>
            <w:r>
              <w:rPr>
                <w:sz w:val="20"/>
              </w:rPr>
              <w:t xml:space="preserve">Les exemples de problèmes de santé mentale comprennent l'automutilation, les pensées </w:t>
            </w:r>
            <w:r>
              <w:rPr>
                <w:sz w:val="20"/>
              </w:rPr>
              <w:t xml:space="preserve">suicidaires, les tentatives de suicide, les troubles alimentaires, la dépression/la mauvaise </w:t>
            </w:r>
            <w:r>
              <w:rPr>
                <w:sz w:val="20"/>
              </w:rPr>
              <w:t xml:space="preserve">humeur et l'anxiété. Ces résultats sont essentiels car l'automutilation </w:t>
            </w:r>
            <w:r>
              <w:rPr>
                <w:sz w:val="20"/>
              </w:rPr>
              <w:t xml:space="preserve">et les pensées suicidaires peuvent entraîner des </w:t>
            </w:r>
            <w:r>
              <w:rPr>
                <w:sz w:val="20"/>
              </w:rPr>
              <w:t xml:space="preserve">dommages physiques importants et, dans le cas des suicides, le décès </w:t>
            </w:r>
            <w:r>
              <w:rPr>
                <w:sz w:val="20"/>
              </w:rPr>
              <w:t xml:space="preserve">du </w:t>
            </w:r>
            <w:r>
              <w:rPr>
                <w:sz w:val="20"/>
              </w:rPr>
              <w:t xml:space="preserve">jeune</w:t>
            </w:r>
            <w:r>
              <w:rPr>
                <w:sz w:val="20"/>
              </w:rPr>
              <w:t xml:space="preserve">. Les </w:t>
            </w:r>
            <w:r>
              <w:rPr>
                <w:sz w:val="20"/>
              </w:rPr>
              <w:t xml:space="preserve">troubles de l</w:t>
            </w:r>
            <w:r>
              <w:rPr>
                <w:sz w:val="20"/>
              </w:rPr>
              <w:t xml:space="preserve">'</w:t>
            </w:r>
            <w:r>
              <w:rPr>
                <w:sz w:val="20"/>
              </w:rPr>
              <w:t xml:space="preserve">alimentation </w:t>
            </w:r>
            <w:r>
              <w:rPr>
                <w:sz w:val="20"/>
              </w:rPr>
              <w:t xml:space="preserve">peuvent </w:t>
            </w:r>
            <w:r>
              <w:rPr>
                <w:sz w:val="20"/>
              </w:rPr>
              <w:t xml:space="preserve">entraîner une </w:t>
            </w:r>
            <w:r>
              <w:rPr>
                <w:sz w:val="20"/>
              </w:rPr>
              <w:t xml:space="preserve">morbidité </w:t>
            </w:r>
            <w:r>
              <w:rPr>
                <w:sz w:val="20"/>
              </w:rPr>
              <w:t xml:space="preserve">importante </w:t>
            </w:r>
            <w:r>
              <w:rPr>
                <w:sz w:val="20"/>
              </w:rPr>
              <w:t xml:space="preserve">chez les </w:t>
            </w:r>
            <w:r>
              <w:rPr>
                <w:sz w:val="20"/>
              </w:rPr>
              <w:t xml:space="preserve">jeunes</w:t>
            </w:r>
            <w:r>
              <w:rPr>
                <w:sz w:val="20"/>
              </w:rPr>
              <w:t xml:space="preserve">. La </w:t>
            </w:r>
            <w:r>
              <w:rPr>
                <w:sz w:val="20"/>
              </w:rPr>
              <w:t xml:space="preserve">dépression </w:t>
            </w:r>
            <w:r>
              <w:rPr>
                <w:sz w:val="20"/>
              </w:rPr>
              <w:t xml:space="preserve">et l'</w:t>
            </w:r>
            <w:r>
              <w:rPr>
                <w:sz w:val="20"/>
              </w:rPr>
              <w:t xml:space="preserve">anxiété </w:t>
            </w:r>
            <w:r>
              <w:rPr>
                <w:sz w:val="20"/>
              </w:rPr>
              <w:t xml:space="preserve">sont </w:t>
            </w:r>
            <w:r>
              <w:rPr>
                <w:sz w:val="20"/>
              </w:rPr>
              <w:t xml:space="preserve">également </w:t>
            </w:r>
            <w:r>
              <w:rPr>
                <w:sz w:val="20"/>
              </w:rPr>
              <w:t xml:space="preserve">des </w:t>
            </w:r>
            <w:r>
              <w:rPr>
                <w:sz w:val="20"/>
              </w:rPr>
              <w:t xml:space="preserve">résultats critiques car elles peuvent avoir un impact sur le </w:t>
            </w:r>
            <w:r>
              <w:rPr>
                <w:sz w:val="20"/>
              </w:rPr>
              <w:t xml:space="preserve">fonctionnement </w:t>
            </w:r>
            <w:r>
              <w:rPr>
                <w:sz w:val="20"/>
              </w:rPr>
              <w:t xml:space="preserve">social, </w:t>
            </w:r>
            <w:r>
              <w:rPr>
                <w:sz w:val="20"/>
              </w:rPr>
              <w:t xml:space="preserve">professionnel ou autre des enfants et des </w:t>
            </w:r>
            <w:r>
              <w:rPr>
                <w:sz w:val="20"/>
              </w:rPr>
              <w:t xml:space="preserve">adolescents. Le </w:t>
            </w:r>
            <w:r>
              <w:rPr>
                <w:sz w:val="20"/>
              </w:rPr>
              <w:t xml:space="preserve">Child and Adolescent Psychiatric Assessment </w:t>
            </w:r>
            <w:r>
              <w:rPr>
                <w:sz w:val="20"/>
              </w:rPr>
              <w:t xml:space="preserve">(CAPA) peut être utilisé pour mesurer la dépression et l'anxiété. L'</w:t>
            </w:r>
            <w:r>
              <w:rPr>
                <w:sz w:val="20"/>
              </w:rPr>
              <w:t xml:space="preserve">impact sur l'automutilation et la suicidalité (idéation et comportement) peut </w:t>
            </w:r>
            <w:r>
              <w:rPr>
                <w:sz w:val="20"/>
              </w:rPr>
              <w:t xml:space="preserve">être </w:t>
            </w:r>
            <w:r>
              <w:rPr>
                <w:sz w:val="20"/>
              </w:rPr>
              <w:t xml:space="preserve">mesuré </w:t>
            </w:r>
            <w:r>
              <w:rPr>
                <w:sz w:val="20"/>
              </w:rPr>
              <w:t xml:space="preserve">à l'aide </w:t>
            </w:r>
            <w:r>
              <w:rPr>
                <w:sz w:val="20"/>
              </w:rPr>
              <w:t xml:space="preserve">du </w:t>
            </w:r>
            <w:r>
              <w:rPr>
                <w:sz w:val="20"/>
              </w:rPr>
              <w:t xml:space="preserve">Suicide </w:t>
            </w:r>
            <w:r>
              <w:rPr>
                <w:sz w:val="20"/>
              </w:rPr>
              <w:t xml:space="preserve">Ideation </w:t>
            </w:r>
            <w:r>
              <w:rPr>
                <w:sz w:val="20"/>
              </w:rPr>
              <w:t xml:space="preserve">Questionnaire </w:t>
            </w:r>
            <w:r>
              <w:rPr>
                <w:sz w:val="20"/>
              </w:rPr>
              <w:t xml:space="preserve">Junior.</w:t>
            </w:r>
          </w:p>
          <w:p>
            <w:pPr>
              <w:pStyle w:val="TableParagraph"/>
              <w:ind w:start="827" w:end="117"/>
              <w:rPr>
                <w:sz w:val="20"/>
              </w:rPr>
            </w:pPr>
            <w:r>
              <w:rPr>
                <w:sz w:val="20"/>
              </w:rPr>
              <w:t xml:space="preserve">D'</w:t>
            </w:r>
            <w:r>
              <w:rPr>
                <w:sz w:val="20"/>
              </w:rPr>
              <w:t xml:space="preserve">autres </w:t>
            </w:r>
            <w:r>
              <w:rPr>
                <w:sz w:val="20"/>
              </w:rPr>
              <w:t xml:space="preserve">mesures </w:t>
            </w:r>
            <w:r>
              <w:rPr>
                <w:sz w:val="20"/>
              </w:rPr>
              <w:t xml:space="preserve">peuvent </w:t>
            </w:r>
            <w:r>
              <w:rPr>
                <w:sz w:val="20"/>
              </w:rPr>
              <w:t xml:space="preserve">être </w:t>
            </w:r>
            <w:r>
              <w:rPr>
                <w:sz w:val="20"/>
              </w:rPr>
              <w:t xml:space="preserve">utilisées </w:t>
            </w:r>
            <w:r>
              <w:rPr>
                <w:sz w:val="20"/>
              </w:rPr>
              <w:t xml:space="preserve">en </w:t>
            </w:r>
            <w:r>
              <w:rPr>
                <w:sz w:val="20"/>
              </w:rPr>
              <w:t xml:space="preserve">remplacement </w:t>
            </w:r>
            <w:r>
              <w:rPr>
                <w:sz w:val="20"/>
              </w:rPr>
              <w:t xml:space="preserve">des </w:t>
            </w:r>
            <w:r>
              <w:rPr>
                <w:sz w:val="20"/>
              </w:rPr>
              <w:t xml:space="preserve">mesures </w:t>
            </w:r>
            <w:r>
              <w:rPr>
                <w:sz w:val="20"/>
              </w:rPr>
              <w:t xml:space="preserve">énoncées</w:t>
            </w:r>
            <w:r>
              <w:rPr>
                <w:sz w:val="20"/>
              </w:rPr>
              <w:t xml:space="preserve">.</w:t>
            </w:r>
          </w:p>
          <w:p w:rsidR="00432386" w:rsidRDefault="00432386">
            <w:pPr>
              <w:pStyle w:val="TableParagraph"/>
              <w:spacing w:before="1"/>
              <w:rPr>
                <w:b/>
                <w:sz w:val="20"/>
              </w:rPr>
            </w:pPr>
          </w:p>
          <w:p>
            <w:pPr>
              <w:pStyle w:val="TableParagraph"/>
              <w:numPr>
                <w:ilvl w:val="0"/>
                <w:numId w:val="142"/>
              </w:numPr>
              <w:tabs>
                <w:tab w:val="left" w:pos="827"/>
                <w:tab w:val="left" w:pos="828"/>
              </w:tabs>
              <w:spacing w:line="243" w:lineRule="exact"/>
              <w:ind w:hanging="361"/>
              <w:rPr>
                <w:b/>
                <w:sz w:val="20"/>
              </w:rPr>
            </w:pPr>
            <w:r>
              <w:rPr>
                <w:b/>
                <w:sz w:val="20"/>
              </w:rPr>
              <w:t xml:space="preserve">Impact </w:t>
            </w:r>
            <w:r>
              <w:rPr>
                <w:b/>
                <w:sz w:val="20"/>
              </w:rPr>
              <w:t xml:space="preserve">sur la </w:t>
            </w:r>
            <w:r>
              <w:rPr>
                <w:b/>
                <w:sz w:val="20"/>
              </w:rPr>
              <w:t xml:space="preserve">qualité </w:t>
            </w:r>
            <w:r>
              <w:rPr>
                <w:b/>
                <w:sz w:val="20"/>
              </w:rPr>
              <w:t xml:space="preserve">de </w:t>
            </w:r>
            <w:r>
              <w:rPr>
                <w:b/>
                <w:sz w:val="20"/>
              </w:rPr>
              <w:t xml:space="preserve">vie</w:t>
            </w:r>
          </w:p>
          <w:p>
            <w:pPr>
              <w:pStyle w:val="TableParagraph"/>
              <w:ind w:start="827" w:end="287"/>
              <w:rPr>
                <w:sz w:val="20"/>
              </w:rPr>
            </w:pPr>
            <w:r>
              <w:rPr>
                <w:sz w:val="20"/>
              </w:rPr>
              <w:t xml:space="preserve">Ce résultat est essentiel car la dysphorie de genre chez les enfants </w:t>
            </w:r>
            <w:r>
              <w:rPr>
                <w:sz w:val="20"/>
              </w:rPr>
              <w:t xml:space="preserve">et les adolescents peut être associée à une réduction significative </w:t>
            </w:r>
            <w:r>
              <w:rPr>
                <w:sz w:val="20"/>
              </w:rPr>
              <w:t xml:space="preserve">de la </w:t>
            </w:r>
            <w:r>
              <w:rPr>
                <w:sz w:val="20"/>
              </w:rPr>
              <w:t xml:space="preserve">qualité </w:t>
            </w:r>
            <w:r>
              <w:rPr>
                <w:sz w:val="20"/>
              </w:rPr>
              <w:t xml:space="preserve">de </w:t>
            </w:r>
            <w:r>
              <w:rPr>
                <w:sz w:val="20"/>
              </w:rPr>
              <w:t xml:space="preserve">vie </w:t>
            </w:r>
            <w:r>
              <w:rPr>
                <w:sz w:val="20"/>
              </w:rPr>
              <w:t xml:space="preserve">liée à la santé</w:t>
            </w:r>
            <w:r>
              <w:rPr>
                <w:sz w:val="20"/>
              </w:rPr>
              <w:t xml:space="preserve">. La </w:t>
            </w:r>
            <w:r>
              <w:rPr>
                <w:sz w:val="20"/>
              </w:rPr>
              <w:t xml:space="preserve">qualité </w:t>
            </w:r>
            <w:r>
              <w:rPr>
                <w:sz w:val="20"/>
              </w:rPr>
              <w:t xml:space="preserve">de </w:t>
            </w:r>
            <w:r>
              <w:rPr>
                <w:sz w:val="20"/>
              </w:rPr>
              <w:t xml:space="preserve">vie </w:t>
            </w:r>
            <w:r>
              <w:rPr>
                <w:sz w:val="20"/>
              </w:rPr>
              <w:t xml:space="preserve">peut </w:t>
            </w:r>
            <w:r>
              <w:rPr>
                <w:sz w:val="20"/>
              </w:rPr>
              <w:t xml:space="preserve">être </w:t>
            </w:r>
            <w:r>
              <w:rPr>
                <w:sz w:val="20"/>
              </w:rPr>
              <w:t xml:space="preserve">mesurée </w:t>
            </w:r>
            <w:r>
              <w:rPr>
                <w:sz w:val="20"/>
              </w:rPr>
              <w:t xml:space="preserve">par </w:t>
            </w:r>
            <w:r>
              <w:rPr>
                <w:sz w:val="20"/>
              </w:rPr>
              <w:t xml:space="preserve">le </w:t>
            </w:r>
            <w:r>
              <w:rPr>
                <w:sz w:val="20"/>
              </w:rPr>
              <w:t xml:space="preserve">questionnaire </w:t>
            </w:r>
            <w:r>
              <w:rPr>
                <w:sz w:val="20"/>
              </w:rPr>
              <w:t xml:space="preserve">KINDL</w:t>
            </w:r>
            <w:r>
              <w:rPr>
                <w:sz w:val="20"/>
              </w:rPr>
              <w:t xml:space="preserve">, </w:t>
            </w:r>
            <w:r>
              <w:rPr>
                <w:sz w:val="20"/>
              </w:rPr>
              <w:t xml:space="preserve">Kidscreen </w:t>
            </w:r>
            <w:r>
              <w:rPr>
                <w:sz w:val="20"/>
              </w:rPr>
              <w:t xml:space="preserve">52. D'</w:t>
            </w:r>
            <w:r>
              <w:rPr>
                <w:sz w:val="20"/>
              </w:rPr>
              <w:t xml:space="preserve">autres </w:t>
            </w:r>
            <w:r>
              <w:rPr>
                <w:sz w:val="20"/>
              </w:rPr>
              <w:t xml:space="preserve">mesures </w:t>
            </w:r>
            <w:r>
              <w:rPr>
                <w:sz w:val="20"/>
              </w:rPr>
              <w:t xml:space="preserve">rapportées dans les études peuvent être utilisées comme alternative à la </w:t>
            </w:r>
            <w:r>
              <w:rPr>
                <w:sz w:val="20"/>
              </w:rPr>
              <w:t xml:space="preserve">mesure </w:t>
            </w:r>
            <w:r>
              <w:rPr>
                <w:sz w:val="20"/>
              </w:rPr>
              <w:t xml:space="preserve">indiquée</w:t>
            </w:r>
            <w:r>
              <w:rPr>
                <w:sz w:val="20"/>
              </w:rPr>
              <w:t xml:space="preserve">.</w:t>
            </w:r>
          </w:p>
          <w:p w:rsidR="00432386" w:rsidRDefault="00432386">
            <w:pPr>
              <w:pStyle w:val="TableParagraph"/>
              <w:rPr>
                <w:b/>
                <w:sz w:val="20"/>
              </w:rPr>
            </w:pPr>
          </w:p>
          <w:p>
            <w:pPr>
              <w:pStyle w:val="TableParagraph"/>
              <w:ind w:start="107"/>
              <w:rPr>
                <w:i/>
                <w:sz w:val="20"/>
              </w:rPr>
            </w:pPr>
            <w:r>
              <w:rPr>
                <w:i/>
                <w:sz w:val="20"/>
              </w:rPr>
              <w:t xml:space="preserve">Important pour </w:t>
            </w:r>
            <w:r>
              <w:rPr>
                <w:i/>
                <w:sz w:val="20"/>
              </w:rPr>
              <w:t xml:space="preserve">la </w:t>
            </w:r>
            <w:r>
              <w:rPr>
                <w:i/>
                <w:sz w:val="20"/>
              </w:rPr>
              <w:t xml:space="preserve">prise de </w:t>
            </w:r>
            <w:r>
              <w:rPr>
                <w:i/>
                <w:sz w:val="20"/>
              </w:rPr>
              <w:t xml:space="preserve">décision</w:t>
            </w:r>
          </w:p>
          <w:p w:rsidR="00432386" w:rsidRDefault="00432386">
            <w:pPr>
              <w:pStyle w:val="TableParagraph"/>
              <w:spacing w:before="1"/>
              <w:rPr>
                <w:b/>
                <w:sz w:val="20"/>
              </w:rPr>
            </w:pPr>
          </w:p>
          <w:p>
            <w:pPr>
              <w:pStyle w:val="TableParagraph"/>
              <w:numPr>
                <w:ilvl w:val="0"/>
                <w:numId w:val="142"/>
              </w:numPr>
              <w:tabs>
                <w:tab w:val="left" w:pos="827"/>
                <w:tab w:val="left" w:pos="828"/>
              </w:tabs>
              <w:spacing w:before="1" w:line="243" w:lineRule="exact"/>
              <w:ind w:hanging="361"/>
              <w:rPr>
                <w:b/>
                <w:sz w:val="20"/>
              </w:rPr>
            </w:pPr>
            <w:r>
              <w:rPr>
                <w:b/>
                <w:sz w:val="20"/>
              </w:rPr>
              <w:t xml:space="preserve">Impact </w:t>
            </w:r>
            <w:r>
              <w:rPr>
                <w:b/>
                <w:sz w:val="20"/>
              </w:rPr>
              <w:t xml:space="preserve">sur l'</w:t>
            </w:r>
            <w:r>
              <w:rPr>
                <w:b/>
                <w:sz w:val="20"/>
              </w:rPr>
              <w:t xml:space="preserve">image </w:t>
            </w:r>
            <w:r>
              <w:rPr>
                <w:b/>
                <w:sz w:val="20"/>
              </w:rPr>
              <w:t xml:space="preserve">corporelle</w:t>
            </w:r>
          </w:p>
          <w:p>
            <w:pPr>
              <w:pStyle w:val="TableParagraph"/>
              <w:ind w:start="827" w:end="117"/>
              <w:rPr>
                <w:sz w:val="20"/>
              </w:rPr>
            </w:pPr>
            <w:r>
              <w:rPr>
                <w:sz w:val="20"/>
              </w:rPr>
              <w:t xml:space="preserve">Ce résultat est important car certains jeunes transgenres </w:t>
            </w:r>
            <w:r>
              <w:rPr>
                <w:sz w:val="20"/>
              </w:rPr>
              <w:t xml:space="preserve">peuvent souhaiter prendre des mesures pour supprimer les caractéristiques de leur </w:t>
            </w:r>
            <w:r>
              <w:rPr>
                <w:sz w:val="20"/>
              </w:rPr>
              <w:t xml:space="preserve">apparence </w:t>
            </w:r>
            <w:r>
              <w:rPr>
                <w:sz w:val="20"/>
              </w:rPr>
              <w:t xml:space="preserve">physique </w:t>
            </w:r>
            <w:r>
              <w:rPr>
                <w:sz w:val="20"/>
              </w:rPr>
              <w:t xml:space="preserve">associées </w:t>
            </w:r>
            <w:r>
              <w:rPr>
                <w:sz w:val="20"/>
              </w:rPr>
              <w:t xml:space="preserve">au </w:t>
            </w:r>
            <w:r>
              <w:rPr>
                <w:sz w:val="20"/>
              </w:rPr>
              <w:t xml:space="preserve">sexe </w:t>
            </w:r>
            <w:r>
              <w:rPr>
                <w:sz w:val="20"/>
              </w:rPr>
              <w:t xml:space="preserve">qui </w:t>
            </w:r>
            <w:r>
              <w:rPr>
                <w:sz w:val="20"/>
              </w:rPr>
              <w:t xml:space="preserve">leur </w:t>
            </w:r>
            <w:r>
              <w:rPr>
                <w:sz w:val="20"/>
              </w:rPr>
              <w:t xml:space="preserve">a été attribué à </w:t>
            </w:r>
            <w:r>
              <w:rPr>
                <w:sz w:val="20"/>
              </w:rPr>
              <w:t xml:space="preserve">la </w:t>
            </w:r>
            <w:r>
              <w:rPr>
                <w:sz w:val="20"/>
              </w:rPr>
              <w:t xml:space="preserve">naissance.</w:t>
            </w:r>
          </w:p>
          <w:p>
            <w:pPr>
              <w:pStyle w:val="TableParagraph"/>
              <w:spacing w:line="230" w:lineRule="exact"/>
              <w:ind w:start="827" w:end="156"/>
              <w:rPr>
                <w:sz w:val="20"/>
              </w:rPr>
            </w:pPr>
            <w:r>
              <w:rPr>
                <w:sz w:val="20"/>
              </w:rPr>
              <w:t xml:space="preserve">ou accentuer les caractéristiques physiques du sexe qu'ils souhaitent. L'</w:t>
            </w:r>
            <w:r>
              <w:rPr>
                <w:sz w:val="20"/>
              </w:rPr>
              <w:t xml:space="preserve">échelle d'</w:t>
            </w:r>
            <w:r>
              <w:rPr>
                <w:sz w:val="20"/>
              </w:rPr>
              <w:t xml:space="preserve">image </w:t>
            </w:r>
            <w:r>
              <w:rPr>
                <w:sz w:val="20"/>
              </w:rPr>
              <w:t xml:space="preserve">corporelle </w:t>
            </w:r>
            <w:r>
              <w:rPr>
                <w:sz w:val="20"/>
              </w:rPr>
              <w:t xml:space="preserve">peut </w:t>
            </w:r>
            <w:r>
              <w:rPr>
                <w:sz w:val="20"/>
              </w:rPr>
              <w:t xml:space="preserve">être </w:t>
            </w:r>
            <w:r>
              <w:rPr>
                <w:sz w:val="20"/>
              </w:rPr>
              <w:t xml:space="preserve">utilisée </w:t>
            </w:r>
            <w:r>
              <w:rPr>
                <w:sz w:val="20"/>
              </w:rPr>
              <w:t xml:space="preserve">comme </w:t>
            </w:r>
            <w:r>
              <w:rPr>
                <w:sz w:val="20"/>
              </w:rPr>
              <w:t xml:space="preserve">mesure. </w:t>
            </w:r>
            <w:r>
              <w:rPr>
                <w:sz w:val="20"/>
              </w:rPr>
              <w:t xml:space="preserve">Autres </w:t>
            </w:r>
            <w:r>
              <w:rPr>
                <w:sz w:val="20"/>
              </w:rPr>
              <w:t xml:space="preserve">mesures</w:t>
            </w:r>
          </w:p>
        </w:tc>
      </w:tr>
    </w:tbl>
    <w:p w:rsidR="00432386" w:rsidRDefault="00432386">
      <w:pPr>
        <w:spacing w:line="230" w:lineRule="exact"/>
        <w:rPr>
          <w:sz w:val="20"/>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26"/>
        <w:gridCol w:w="6726"/>
      </w:tblGrid>
      <w:tr w:rsidR="00432386">
        <w:trPr>
          <w:trHeight w:val="12258"/>
        </w:trPr>
        <w:tc>
          <w:tcPr>
            <w:tcW w:w="2626" w:type="dxa"/>
          </w:tcPr>
          <w:p w:rsidR="00432386" w:rsidRDefault="00432386">
            <w:pPr>
              <w:pStyle w:val="TableParagraph"/>
              <w:rPr>
                <w:rFonts w:ascii="Times New Roman"/>
                <w:sz w:val="18"/>
              </w:rPr>
            </w:pPr>
          </w:p>
        </w:tc>
        <w:tc>
          <w:tcPr>
            <w:tcW w:w="6726" w:type="dxa"/>
          </w:tcPr>
          <w:p>
            <w:pPr>
              <w:pStyle w:val="TableParagraph"/>
              <w:ind w:start="827" w:end="117"/>
              <w:rPr>
                <w:sz w:val="20"/>
              </w:rPr>
            </w:pPr>
            <w:r>
              <w:rPr>
                <w:sz w:val="20"/>
              </w:rPr>
              <w:t xml:space="preserve">tels que </w:t>
            </w:r>
            <w:r>
              <w:rPr>
                <w:sz w:val="20"/>
              </w:rPr>
              <w:t xml:space="preserve">rapportés </w:t>
            </w:r>
            <w:r>
              <w:rPr>
                <w:sz w:val="20"/>
              </w:rPr>
              <w:t xml:space="preserve">dans les </w:t>
            </w:r>
            <w:r>
              <w:rPr>
                <w:sz w:val="20"/>
              </w:rPr>
              <w:t xml:space="preserve">études </w:t>
            </w:r>
            <w:r>
              <w:rPr>
                <w:sz w:val="20"/>
              </w:rPr>
              <w:t xml:space="preserve">peuvent également </w:t>
            </w:r>
            <w:r>
              <w:rPr>
                <w:sz w:val="20"/>
              </w:rPr>
              <w:t xml:space="preserve">être </w:t>
            </w:r>
            <w:r>
              <w:rPr>
                <w:sz w:val="20"/>
              </w:rPr>
              <w:t xml:space="preserve">utilisés </w:t>
            </w:r>
            <w:r>
              <w:rPr>
                <w:sz w:val="20"/>
              </w:rPr>
              <w:t xml:space="preserve">comme </w:t>
            </w:r>
            <w:r>
              <w:rPr>
                <w:sz w:val="20"/>
              </w:rPr>
              <w:t xml:space="preserve">alternative </w:t>
            </w:r>
            <w:r>
              <w:rPr>
                <w:sz w:val="20"/>
              </w:rPr>
              <w:t xml:space="preserve">à </w:t>
            </w:r>
            <w:r>
              <w:rPr>
                <w:sz w:val="20"/>
              </w:rPr>
              <w:t xml:space="preserve">la </w:t>
            </w:r>
            <w:r>
              <w:rPr>
                <w:sz w:val="20"/>
              </w:rPr>
              <w:t xml:space="preserve">mesure </w:t>
            </w:r>
            <w:r>
              <w:rPr>
                <w:sz w:val="20"/>
              </w:rPr>
              <w:t xml:space="preserve">indiquée</w:t>
            </w:r>
            <w:r>
              <w:rPr>
                <w:sz w:val="20"/>
              </w:rPr>
              <w:t xml:space="preserve">.</w:t>
            </w:r>
          </w:p>
          <w:p w:rsidR="00432386" w:rsidRDefault="00432386">
            <w:pPr>
              <w:pStyle w:val="TableParagraph"/>
              <w:spacing w:before="11"/>
              <w:rPr>
                <w:b/>
                <w:sz w:val="19"/>
              </w:rPr>
            </w:pPr>
          </w:p>
          <w:p>
            <w:pPr>
              <w:pStyle w:val="TableParagraph"/>
              <w:numPr>
                <w:ilvl w:val="0"/>
                <w:numId w:val="141"/>
              </w:numPr>
              <w:tabs>
                <w:tab w:val="left" w:pos="827"/>
                <w:tab w:val="left" w:pos="828"/>
              </w:tabs>
              <w:spacing w:line="244" w:lineRule="exact"/>
              <w:ind w:hanging="361"/>
              <w:rPr>
                <w:b/>
                <w:sz w:val="20"/>
              </w:rPr>
            </w:pPr>
            <w:r>
              <w:rPr>
                <w:b/>
                <w:sz w:val="20"/>
              </w:rPr>
              <w:t xml:space="preserve">Impact </w:t>
            </w:r>
            <w:r>
              <w:rPr>
                <w:b/>
                <w:sz w:val="20"/>
              </w:rPr>
              <w:t xml:space="preserve">psychosocial</w:t>
            </w:r>
          </w:p>
          <w:p>
            <w:pPr>
              <w:pStyle w:val="TableParagraph"/>
              <w:ind w:start="827" w:end="150"/>
              <w:rPr>
                <w:sz w:val="20"/>
              </w:rPr>
            </w:pPr>
            <w:r>
              <w:rPr>
                <w:sz w:val="20"/>
              </w:rPr>
              <w:t xml:space="preserve">Les </w:t>
            </w:r>
            <w:r>
              <w:rPr>
                <w:sz w:val="20"/>
              </w:rPr>
              <w:t xml:space="preserve">exemples </w:t>
            </w:r>
            <w:r>
              <w:rPr>
                <w:sz w:val="20"/>
              </w:rPr>
              <w:t xml:space="preserve">d'</w:t>
            </w:r>
            <w:r>
              <w:rPr>
                <w:sz w:val="20"/>
              </w:rPr>
              <w:t xml:space="preserve">impact </w:t>
            </w:r>
            <w:r>
              <w:rPr>
                <w:sz w:val="20"/>
              </w:rPr>
              <w:t xml:space="preserve">psychosocial </w:t>
            </w:r>
            <w:r>
              <w:rPr>
                <w:sz w:val="20"/>
              </w:rPr>
              <w:t xml:space="preserve">sont : les </w:t>
            </w:r>
            <w:r>
              <w:rPr>
                <w:sz w:val="20"/>
              </w:rPr>
              <w:t xml:space="preserve">mécanismes d'</w:t>
            </w:r>
            <w:r>
              <w:rPr>
                <w:sz w:val="20"/>
              </w:rPr>
              <w:t xml:space="preserve">adaptation </w:t>
            </w:r>
            <w:r>
              <w:rPr>
                <w:sz w:val="20"/>
              </w:rPr>
              <w:t xml:space="preserve">qui </w:t>
            </w:r>
            <w:r>
              <w:rPr>
                <w:sz w:val="20"/>
              </w:rPr>
              <w:t xml:space="preserve">peuvent avoir un impact sur la toxicomanie, les relations familiales et les </w:t>
            </w:r>
            <w:r>
              <w:rPr>
                <w:sz w:val="20"/>
              </w:rPr>
              <w:t xml:space="preserve">relations avec </w:t>
            </w:r>
            <w:r>
              <w:rPr>
                <w:sz w:val="20"/>
              </w:rPr>
              <w:t xml:space="preserve">les pairs</w:t>
            </w:r>
            <w:r>
              <w:rPr>
                <w:sz w:val="20"/>
              </w:rPr>
              <w:t xml:space="preserve">. Ce résultat est important car </w:t>
            </w:r>
            <w:r>
              <w:rPr>
                <w:sz w:val="20"/>
              </w:rPr>
              <w:t xml:space="preserve">la dysphorie de </w:t>
            </w:r>
            <w:r>
              <w:rPr>
                <w:sz w:val="20"/>
              </w:rPr>
              <w:t xml:space="preserve">genre </w:t>
            </w:r>
            <w:r>
              <w:rPr>
                <w:sz w:val="20"/>
              </w:rPr>
              <w:t xml:space="preserve">chez les adolescents et les enfants est associée à des </w:t>
            </w:r>
            <w:r>
              <w:rPr>
                <w:sz w:val="20"/>
              </w:rPr>
              <w:t xml:space="preserve">comportements d'internalisation et d'externalisation et à des </w:t>
            </w:r>
            <w:r>
              <w:rPr>
                <w:sz w:val="20"/>
              </w:rPr>
              <w:t xml:space="preserve">problèmes </w:t>
            </w:r>
            <w:r>
              <w:rPr>
                <w:sz w:val="20"/>
              </w:rPr>
              <w:t xml:space="preserve">émotionnels et </w:t>
            </w:r>
            <w:r>
              <w:rPr>
                <w:sz w:val="20"/>
              </w:rPr>
              <w:t xml:space="preserve">comportementaux qui peuvent avoir un impact sur le </w:t>
            </w:r>
            <w:r>
              <w:rPr>
                <w:sz w:val="20"/>
              </w:rPr>
              <w:t xml:space="preserve">fonctionnement </w:t>
            </w:r>
            <w:r>
              <w:rPr>
                <w:sz w:val="20"/>
              </w:rPr>
              <w:t xml:space="preserve">social et </w:t>
            </w:r>
            <w:r>
              <w:rPr>
                <w:sz w:val="20"/>
              </w:rPr>
              <w:t xml:space="preserve">professionnel. </w:t>
            </w:r>
            <w:r>
              <w:rPr>
                <w:sz w:val="20"/>
              </w:rPr>
              <w:t xml:space="preserve">La </w:t>
            </w:r>
            <w:r>
              <w:rPr>
                <w:sz w:val="20"/>
              </w:rPr>
              <w:t xml:space="preserve">Child Behavioral Check List </w:t>
            </w:r>
            <w:r>
              <w:rPr>
                <w:sz w:val="20"/>
              </w:rPr>
              <w:t xml:space="preserve">(CBCL) peut être utilisée pour mesurer l'impact sur le </w:t>
            </w:r>
            <w:r>
              <w:rPr>
                <w:sz w:val="20"/>
              </w:rPr>
              <w:t xml:space="preserve">fonctionnement </w:t>
            </w:r>
            <w:r>
              <w:rPr>
                <w:sz w:val="20"/>
              </w:rPr>
              <w:t xml:space="preserve">psychosocial</w:t>
            </w:r>
            <w:r>
              <w:rPr>
                <w:sz w:val="20"/>
              </w:rPr>
              <w:t xml:space="preserve">. D'</w:t>
            </w:r>
            <w:r>
              <w:rPr>
                <w:sz w:val="20"/>
              </w:rPr>
              <w:t xml:space="preserve">autres </w:t>
            </w:r>
            <w:r>
              <w:rPr>
                <w:sz w:val="20"/>
              </w:rPr>
              <w:t xml:space="preserve">mesures </w:t>
            </w:r>
            <w:r>
              <w:rPr>
                <w:sz w:val="20"/>
              </w:rPr>
              <w:t xml:space="preserve">rapportées </w:t>
            </w:r>
            <w:r>
              <w:rPr>
                <w:sz w:val="20"/>
              </w:rPr>
              <w:t xml:space="preserve">dans les </w:t>
            </w:r>
            <w:r>
              <w:rPr>
                <w:sz w:val="20"/>
              </w:rPr>
              <w:t xml:space="preserve">études </w:t>
            </w:r>
            <w:r>
              <w:rPr>
                <w:sz w:val="20"/>
              </w:rPr>
              <w:t xml:space="preserve">peuvent </w:t>
            </w:r>
            <w:r>
              <w:rPr>
                <w:sz w:val="20"/>
              </w:rPr>
              <w:t xml:space="preserve">être </w:t>
            </w:r>
            <w:r>
              <w:rPr>
                <w:sz w:val="20"/>
              </w:rPr>
              <w:t xml:space="preserve">utilisées </w:t>
            </w:r>
            <w:r>
              <w:rPr>
                <w:sz w:val="20"/>
              </w:rPr>
              <w:t xml:space="preserve">comme </w:t>
            </w:r>
            <w:r>
              <w:rPr>
                <w:sz w:val="20"/>
              </w:rPr>
              <w:t xml:space="preserve">alternative </w:t>
            </w:r>
            <w:r>
              <w:rPr>
                <w:sz w:val="20"/>
              </w:rPr>
              <w:t xml:space="preserve">à </w:t>
            </w:r>
            <w:r>
              <w:rPr>
                <w:sz w:val="20"/>
              </w:rPr>
              <w:t xml:space="preserve">la </w:t>
            </w:r>
            <w:r>
              <w:rPr>
                <w:sz w:val="20"/>
              </w:rPr>
              <w:t xml:space="preserve">mesure </w:t>
            </w:r>
            <w:r>
              <w:rPr>
                <w:sz w:val="20"/>
              </w:rPr>
              <w:t xml:space="preserve">indiquée</w:t>
            </w:r>
            <w:r>
              <w:rPr>
                <w:sz w:val="20"/>
              </w:rPr>
              <w:t xml:space="preserve">.</w:t>
            </w:r>
          </w:p>
          <w:p w:rsidR="00432386" w:rsidRDefault="00432386">
            <w:pPr>
              <w:pStyle w:val="TableParagraph"/>
              <w:rPr>
                <w:b/>
                <w:sz w:val="20"/>
              </w:rPr>
            </w:pPr>
          </w:p>
          <w:p>
            <w:pPr>
              <w:pStyle w:val="TableParagraph"/>
              <w:numPr>
                <w:ilvl w:val="0"/>
                <w:numId w:val="141"/>
              </w:numPr>
              <w:tabs>
                <w:tab w:val="left" w:pos="827"/>
                <w:tab w:val="left" w:pos="828"/>
              </w:tabs>
              <w:spacing w:line="243" w:lineRule="exact"/>
              <w:ind w:hanging="361"/>
              <w:rPr>
                <w:b/>
                <w:sz w:val="20"/>
              </w:rPr>
            </w:pPr>
            <w:r>
              <w:rPr>
                <w:b/>
                <w:sz w:val="20"/>
              </w:rPr>
              <w:t xml:space="preserve">Engagement </w:t>
            </w:r>
            <w:r>
              <w:rPr>
                <w:b/>
                <w:sz w:val="20"/>
              </w:rPr>
              <w:t xml:space="preserve">avec les </w:t>
            </w:r>
            <w:r>
              <w:rPr>
                <w:b/>
                <w:sz w:val="20"/>
              </w:rPr>
              <w:t xml:space="preserve">services de </w:t>
            </w:r>
            <w:r>
              <w:rPr>
                <w:b/>
                <w:sz w:val="20"/>
              </w:rPr>
              <w:t xml:space="preserve">soins de </w:t>
            </w:r>
            <w:r>
              <w:rPr>
                <w:b/>
                <w:sz w:val="20"/>
              </w:rPr>
              <w:t xml:space="preserve">santé</w:t>
            </w:r>
          </w:p>
          <w:p>
            <w:pPr>
              <w:pStyle w:val="TableParagraph"/>
              <w:ind w:start="827" w:end="117"/>
              <w:rPr>
                <w:sz w:val="20"/>
              </w:rPr>
            </w:pPr>
            <w:r>
              <w:rPr>
                <w:sz w:val="20"/>
              </w:rPr>
              <w:t xml:space="preserve">Ce </w:t>
            </w:r>
            <w:r>
              <w:rPr>
                <w:sz w:val="20"/>
              </w:rPr>
              <w:t xml:space="preserve">résultat </w:t>
            </w:r>
            <w:r>
              <w:rPr>
                <w:sz w:val="20"/>
              </w:rPr>
              <w:t xml:space="preserve">est </w:t>
            </w:r>
            <w:r>
              <w:rPr>
                <w:sz w:val="20"/>
              </w:rPr>
              <w:t xml:space="preserve">important </w:t>
            </w:r>
            <w:r>
              <w:rPr>
                <w:sz w:val="20"/>
              </w:rPr>
              <w:t xml:space="preserve">car </w:t>
            </w:r>
            <w:r>
              <w:rPr>
                <w:sz w:val="20"/>
              </w:rPr>
              <w:t xml:space="preserve">l'</w:t>
            </w:r>
            <w:r>
              <w:rPr>
                <w:sz w:val="20"/>
              </w:rPr>
              <w:t xml:space="preserve">engagement des </w:t>
            </w:r>
            <w:r>
              <w:rPr>
                <w:sz w:val="20"/>
              </w:rPr>
              <w:t xml:space="preserve">patients </w:t>
            </w:r>
            <w:r>
              <w:rPr>
                <w:sz w:val="20"/>
              </w:rPr>
              <w:t xml:space="preserve">dans les </w:t>
            </w:r>
            <w:r>
              <w:rPr>
                <w:sz w:val="20"/>
              </w:rPr>
              <w:t xml:space="preserve">services de </w:t>
            </w:r>
            <w:r>
              <w:rPr>
                <w:sz w:val="20"/>
              </w:rPr>
              <w:t xml:space="preserve">santé aura un </w:t>
            </w:r>
            <w:r>
              <w:rPr>
                <w:sz w:val="20"/>
              </w:rPr>
              <w:t xml:space="preserve">impact </w:t>
            </w:r>
            <w:r>
              <w:rPr>
                <w:sz w:val="20"/>
              </w:rPr>
              <w:t xml:space="preserve">sur </w:t>
            </w:r>
            <w:r>
              <w:rPr>
                <w:sz w:val="20"/>
              </w:rPr>
              <w:t xml:space="preserve">leurs </w:t>
            </w:r>
            <w:r>
              <w:rPr>
                <w:sz w:val="20"/>
              </w:rPr>
              <w:t xml:space="preserve">résultats </w:t>
            </w:r>
            <w:r>
              <w:rPr>
                <w:sz w:val="20"/>
              </w:rPr>
              <w:t xml:space="preserve">cliniques</w:t>
            </w:r>
            <w:r>
              <w:rPr>
                <w:sz w:val="20"/>
              </w:rPr>
              <w:t xml:space="preserve">.</w:t>
            </w:r>
          </w:p>
          <w:p>
            <w:pPr>
              <w:pStyle w:val="TableParagraph"/>
              <w:ind w:start="827" w:end="117"/>
              <w:rPr>
                <w:sz w:val="20"/>
              </w:rPr>
            </w:pPr>
            <w:r>
              <w:rPr>
                <w:sz w:val="20"/>
              </w:rPr>
              <w:t xml:space="preserve">L'engagement dans les services de soins de santé peut être mesuré à l'aide </w:t>
            </w:r>
            <w:r>
              <w:rPr>
                <w:sz w:val="20"/>
              </w:rPr>
              <w:t xml:space="preserve">du questionnaire Youth Health Care measure-satisfaction, utilization, and </w:t>
            </w:r>
            <w:r>
              <w:rPr>
                <w:sz w:val="20"/>
              </w:rPr>
              <w:t xml:space="preserve">needs (YHC-SUN). La perte de </w:t>
            </w:r>
            <w:r>
              <w:rPr>
                <w:sz w:val="20"/>
              </w:rPr>
              <w:t xml:space="preserve">suivi doit également </w:t>
            </w:r>
            <w:r>
              <w:rPr>
                <w:sz w:val="20"/>
              </w:rPr>
              <w:t xml:space="preserve">être vérifiée dans le cadre de ce résultat. Des </w:t>
            </w:r>
            <w:r>
              <w:rPr>
                <w:sz w:val="20"/>
              </w:rPr>
              <w:t xml:space="preserve">mesures alternatives au </w:t>
            </w:r>
            <w:r>
              <w:rPr>
                <w:sz w:val="20"/>
              </w:rPr>
              <w:t xml:space="preserve">questionnaire </w:t>
            </w:r>
            <w:r>
              <w:rPr>
                <w:sz w:val="20"/>
              </w:rPr>
              <w:t xml:space="preserve">YHC-SUN </w:t>
            </w:r>
            <w:r>
              <w:rPr>
                <w:sz w:val="20"/>
              </w:rPr>
              <w:t xml:space="preserve">peuvent </w:t>
            </w:r>
            <w:r>
              <w:rPr>
                <w:sz w:val="20"/>
              </w:rPr>
              <w:t xml:space="preserve">être </w:t>
            </w:r>
            <w:r>
              <w:rPr>
                <w:sz w:val="20"/>
              </w:rPr>
              <w:t xml:space="preserve">utilisées</w:t>
            </w:r>
            <w:r>
              <w:rPr>
                <w:sz w:val="20"/>
              </w:rPr>
              <w:t xml:space="preserve">, comme </w:t>
            </w:r>
            <w:r>
              <w:rPr>
                <w:sz w:val="20"/>
              </w:rPr>
              <w:t xml:space="preserve">indiqué dans les </w:t>
            </w:r>
            <w:r>
              <w:rPr>
                <w:sz w:val="20"/>
              </w:rPr>
              <w:t xml:space="preserve">études.</w:t>
            </w:r>
          </w:p>
          <w:p w:rsidR="00432386" w:rsidRDefault="00432386">
            <w:pPr>
              <w:pStyle w:val="TableParagraph"/>
              <w:spacing w:before="4"/>
              <w:rPr>
                <w:b/>
                <w:sz w:val="20"/>
              </w:rPr>
            </w:pPr>
          </w:p>
          <w:p>
            <w:pPr>
              <w:pStyle w:val="TableParagraph"/>
              <w:numPr>
                <w:ilvl w:val="0"/>
                <w:numId w:val="141"/>
              </w:numPr>
              <w:tabs>
                <w:tab w:val="left" w:pos="827"/>
                <w:tab w:val="left" w:pos="828"/>
              </w:tabs>
              <w:spacing w:before="1" w:line="235" w:lineRule="auto"/>
              <w:ind w:end="202"/>
              <w:rPr>
                <w:b/>
                <w:sz w:val="20"/>
              </w:rPr>
            </w:pPr>
            <w:r>
              <w:rPr>
                <w:b/>
                <w:sz w:val="20"/>
              </w:rPr>
              <w:t xml:space="preserve">Chirurgie </w:t>
            </w:r>
            <w:r>
              <w:rPr>
                <w:b/>
                <w:sz w:val="20"/>
              </w:rPr>
              <w:t xml:space="preserve">de transition </w:t>
            </w:r>
            <w:r>
              <w:rPr>
                <w:b/>
                <w:sz w:val="20"/>
              </w:rPr>
              <w:t xml:space="preserve">- </w:t>
            </w:r>
            <w:r>
              <w:rPr>
                <w:b/>
                <w:sz w:val="20"/>
              </w:rPr>
              <w:t xml:space="preserve">Impact </w:t>
            </w:r>
            <w:r>
              <w:rPr>
                <w:b/>
                <w:sz w:val="20"/>
              </w:rPr>
              <w:t xml:space="preserve">sur l'</w:t>
            </w:r>
            <w:r>
              <w:rPr>
                <w:b/>
                <w:sz w:val="20"/>
              </w:rPr>
              <w:t xml:space="preserve">étendue </w:t>
            </w:r>
            <w:r>
              <w:rPr>
                <w:b/>
                <w:sz w:val="20"/>
              </w:rPr>
              <w:t xml:space="preserve">et la </w:t>
            </w:r>
            <w:r>
              <w:rPr>
                <w:b/>
                <w:sz w:val="20"/>
              </w:rPr>
              <w:t xml:space="preserve">satisfaction de </w:t>
            </w:r>
            <w:r>
              <w:rPr>
                <w:b/>
                <w:sz w:val="20"/>
              </w:rPr>
              <w:t xml:space="preserve">la </w:t>
            </w:r>
            <w:r>
              <w:rPr>
                <w:b/>
                <w:sz w:val="20"/>
              </w:rPr>
              <w:t xml:space="preserve">chirurgie</w:t>
            </w:r>
          </w:p>
          <w:p>
            <w:pPr>
              <w:pStyle w:val="TableParagraph"/>
              <w:spacing w:before="2"/>
              <w:ind w:start="827" w:end="117"/>
              <w:rPr>
                <w:sz w:val="20"/>
              </w:rPr>
            </w:pPr>
            <w:r>
              <w:rPr>
                <w:sz w:val="20"/>
              </w:rPr>
              <w:t xml:space="preserve">Ce résultat est important car certains enfants et </w:t>
            </w:r>
            <w:r>
              <w:rPr>
                <w:sz w:val="20"/>
              </w:rPr>
              <w:t xml:space="preserve">adolescents </w:t>
            </w:r>
            <w:r>
              <w:rPr>
                <w:sz w:val="20"/>
              </w:rPr>
              <w:t xml:space="preserve">souffrant de </w:t>
            </w:r>
            <w:r>
              <w:rPr>
                <w:sz w:val="20"/>
              </w:rPr>
              <w:t xml:space="preserve">dysphorie de </w:t>
            </w:r>
            <w:r>
              <w:rPr>
                <w:sz w:val="20"/>
              </w:rPr>
              <w:t xml:space="preserve">genre </w:t>
            </w:r>
            <w:r>
              <w:rPr>
                <w:sz w:val="20"/>
              </w:rPr>
              <w:t xml:space="preserve">peuvent </w:t>
            </w:r>
            <w:r>
              <w:rPr>
                <w:sz w:val="20"/>
              </w:rPr>
              <w:t xml:space="preserve">procéder </w:t>
            </w:r>
            <w:r>
              <w:rPr>
                <w:sz w:val="20"/>
              </w:rPr>
              <w:t xml:space="preserve">à une </w:t>
            </w:r>
            <w:r>
              <w:rPr>
                <w:sz w:val="20"/>
              </w:rPr>
              <w:t xml:space="preserve">chirurgie de </w:t>
            </w:r>
            <w:r>
              <w:rPr>
                <w:sz w:val="20"/>
              </w:rPr>
              <w:t xml:space="preserve">transition</w:t>
            </w:r>
            <w:r>
              <w:rPr>
                <w:sz w:val="20"/>
              </w:rPr>
              <w:t xml:space="preserve">. </w:t>
            </w:r>
            <w:r>
              <w:rPr>
                <w:sz w:val="20"/>
              </w:rPr>
              <w:t xml:space="preserve">Des </w:t>
            </w:r>
            <w:r>
              <w:rPr>
                <w:sz w:val="20"/>
              </w:rPr>
              <w:t xml:space="preserve">mesures déclarées de l'étendue de la chirurgie de transition </w:t>
            </w:r>
            <w:r>
              <w:rPr>
                <w:sz w:val="20"/>
              </w:rPr>
              <w:t xml:space="preserve">et de la </w:t>
            </w:r>
            <w:r>
              <w:rPr>
                <w:sz w:val="20"/>
              </w:rPr>
              <w:t xml:space="preserve">satisfaction à </w:t>
            </w:r>
            <w:r>
              <w:rPr>
                <w:sz w:val="20"/>
              </w:rPr>
              <w:t xml:space="preserve">l'égard de la </w:t>
            </w:r>
            <w:r>
              <w:rPr>
                <w:sz w:val="20"/>
              </w:rPr>
              <w:t xml:space="preserve">chirurgie </w:t>
            </w:r>
            <w:r>
              <w:rPr>
                <w:sz w:val="20"/>
              </w:rPr>
              <w:t xml:space="preserve">dans les </w:t>
            </w:r>
            <w:r>
              <w:rPr>
                <w:sz w:val="20"/>
              </w:rPr>
              <w:t xml:space="preserve">études </w:t>
            </w:r>
            <w:r>
              <w:rPr>
                <w:sz w:val="20"/>
              </w:rPr>
              <w:t xml:space="preserve">peuvent être </w:t>
            </w:r>
            <w:r>
              <w:rPr>
                <w:sz w:val="20"/>
              </w:rPr>
              <w:t xml:space="preserve">rapportées.</w:t>
            </w:r>
          </w:p>
          <w:p w:rsidR="00432386" w:rsidRDefault="00432386">
            <w:pPr>
              <w:pStyle w:val="TableParagraph"/>
              <w:rPr>
                <w:b/>
                <w:sz w:val="20"/>
              </w:rPr>
            </w:pPr>
          </w:p>
          <w:p>
            <w:pPr>
              <w:pStyle w:val="TableParagraph"/>
              <w:numPr>
                <w:ilvl w:val="0"/>
                <w:numId w:val="141"/>
              </w:numPr>
              <w:tabs>
                <w:tab w:val="left" w:pos="827"/>
                <w:tab w:val="left" w:pos="828"/>
              </w:tabs>
              <w:spacing w:before="1" w:line="244" w:lineRule="exact"/>
              <w:ind w:hanging="361"/>
              <w:rPr>
                <w:b/>
                <w:sz w:val="20"/>
              </w:rPr>
            </w:pPr>
            <w:r>
              <w:rPr>
                <w:b/>
                <w:sz w:val="20"/>
              </w:rPr>
              <w:t xml:space="preserve">Arrêt du </w:t>
            </w:r>
            <w:r>
              <w:rPr>
                <w:b/>
                <w:sz w:val="20"/>
              </w:rPr>
              <w:t xml:space="preserve">traitement</w:t>
            </w:r>
          </w:p>
          <w:p>
            <w:pPr>
              <w:pStyle w:val="TableParagraph"/>
              <w:ind w:start="827" w:end="117"/>
              <w:rPr>
                <w:sz w:val="20"/>
              </w:rPr>
            </w:pPr>
            <w:r>
              <w:rPr>
                <w:sz w:val="20"/>
              </w:rPr>
              <w:t xml:space="preserve">La proportion de patients qui arrêtent le traitement par les </w:t>
            </w:r>
            <w:r>
              <w:rPr>
                <w:sz w:val="20"/>
              </w:rPr>
              <w:t xml:space="preserve">analogues de la </w:t>
            </w:r>
            <w:r>
              <w:rPr>
                <w:sz w:val="20"/>
              </w:rPr>
              <w:t xml:space="preserve">GnRH </w:t>
            </w:r>
            <w:r>
              <w:rPr>
                <w:sz w:val="20"/>
              </w:rPr>
              <w:t xml:space="preserve">et les raisons de cet arrêt. Ce résultat est important pour les </w:t>
            </w:r>
            <w:r>
              <w:rPr>
                <w:sz w:val="20"/>
              </w:rPr>
              <w:t xml:space="preserve">patients </w:t>
            </w:r>
            <w:r>
              <w:rPr>
                <w:sz w:val="20"/>
              </w:rPr>
              <w:t xml:space="preserve">car </w:t>
            </w:r>
            <w:r>
              <w:rPr>
                <w:sz w:val="20"/>
              </w:rPr>
              <w:t xml:space="preserve">il </w:t>
            </w:r>
            <w:r>
              <w:rPr>
                <w:sz w:val="20"/>
              </w:rPr>
              <w:t xml:space="preserve">existe une </w:t>
            </w:r>
            <w:r>
              <w:rPr>
                <w:sz w:val="20"/>
              </w:rPr>
              <w:t xml:space="preserve">incertitude </w:t>
            </w:r>
            <w:r>
              <w:rPr>
                <w:sz w:val="20"/>
              </w:rPr>
              <w:t xml:space="preserve">quant à </w:t>
            </w:r>
            <w:r>
              <w:rPr>
                <w:sz w:val="20"/>
              </w:rPr>
              <w:t xml:space="preserve">la </w:t>
            </w:r>
            <w:r>
              <w:rPr>
                <w:sz w:val="20"/>
              </w:rPr>
              <w:t xml:space="preserve">sécurité et aux effets indésirables à </w:t>
            </w:r>
            <w:r>
              <w:rPr>
                <w:sz w:val="20"/>
              </w:rPr>
              <w:t xml:space="preserve">court </w:t>
            </w:r>
            <w:r>
              <w:rPr>
                <w:sz w:val="20"/>
              </w:rPr>
              <w:t xml:space="preserve">et à </w:t>
            </w:r>
            <w:r>
              <w:rPr>
                <w:sz w:val="20"/>
              </w:rPr>
              <w:t xml:space="preserve">long </w:t>
            </w:r>
            <w:r>
              <w:rPr>
                <w:sz w:val="20"/>
              </w:rPr>
              <w:t xml:space="preserve">terme des analogues de la GnRH chez les enfants </w:t>
            </w:r>
            <w:r>
              <w:rPr>
                <w:sz w:val="20"/>
              </w:rPr>
              <w:t xml:space="preserve">et les </w:t>
            </w:r>
            <w:r>
              <w:rPr>
                <w:sz w:val="20"/>
              </w:rPr>
              <w:t xml:space="preserve">adolescents </w:t>
            </w:r>
            <w:r>
              <w:rPr>
                <w:sz w:val="20"/>
              </w:rPr>
              <w:t xml:space="preserve">traités </w:t>
            </w:r>
            <w:r>
              <w:rPr>
                <w:sz w:val="20"/>
              </w:rPr>
              <w:t xml:space="preserve">pour une </w:t>
            </w:r>
            <w:r>
              <w:rPr>
                <w:sz w:val="20"/>
              </w:rPr>
              <w:t xml:space="preserve">dysphorie de </w:t>
            </w:r>
            <w:r>
              <w:rPr>
                <w:sz w:val="20"/>
              </w:rPr>
              <w:t xml:space="preserve">genre</w:t>
            </w:r>
            <w:r>
              <w:rPr>
                <w:sz w:val="20"/>
              </w:rPr>
              <w:t xml:space="preserve">.</w:t>
            </w:r>
          </w:p>
          <w:p w:rsidR="00432386" w:rsidRDefault="00432386">
            <w:pPr>
              <w:pStyle w:val="TableParagraph"/>
              <w:spacing w:before="9"/>
              <w:rPr>
                <w:b/>
                <w:sz w:val="19"/>
              </w:rPr>
            </w:pPr>
          </w:p>
          <w:p>
            <w:pPr>
              <w:pStyle w:val="TableParagraph"/>
              <w:ind w:start="107"/>
              <w:rPr>
                <w:b/>
                <w:sz w:val="20"/>
              </w:rPr>
            </w:pPr>
            <w:r>
              <w:rPr>
                <w:b/>
                <w:sz w:val="20"/>
                <w:u w:val="single"/>
              </w:rPr>
              <w:t xml:space="preserve">B : </w:t>
            </w:r>
            <w:r>
              <w:rPr>
                <w:b/>
                <w:sz w:val="20"/>
                <w:u w:val="single"/>
              </w:rPr>
              <w:t xml:space="preserve">Sécurité</w:t>
            </w:r>
          </w:p>
          <w:p>
            <w:pPr>
              <w:pStyle w:val="TableParagraph"/>
              <w:numPr>
                <w:ilvl w:val="0"/>
                <w:numId w:val="141"/>
              </w:numPr>
              <w:tabs>
                <w:tab w:val="left" w:pos="827"/>
                <w:tab w:val="left" w:pos="828"/>
              </w:tabs>
              <w:spacing w:before="1"/>
              <w:ind w:end="311"/>
              <w:rPr>
                <w:sz w:val="20"/>
              </w:rPr>
            </w:pPr>
            <w:r>
              <w:rPr>
                <w:sz w:val="20"/>
              </w:rPr>
              <w:t xml:space="preserve">La </w:t>
            </w:r>
            <w:r>
              <w:rPr>
                <w:sz w:val="20"/>
              </w:rPr>
              <w:t xml:space="preserve">sécurité à </w:t>
            </w:r>
            <w:r>
              <w:rPr>
                <w:sz w:val="20"/>
              </w:rPr>
              <w:t xml:space="preserve">court </w:t>
            </w:r>
            <w:r>
              <w:rPr>
                <w:sz w:val="20"/>
              </w:rPr>
              <w:t xml:space="preserve">et à </w:t>
            </w:r>
            <w:r>
              <w:rPr>
                <w:sz w:val="20"/>
              </w:rPr>
              <w:t xml:space="preserve">long terme </w:t>
            </w:r>
            <w:r>
              <w:rPr>
                <w:sz w:val="20"/>
              </w:rPr>
              <w:t xml:space="preserve">et les </w:t>
            </w:r>
            <w:r>
              <w:rPr>
                <w:sz w:val="20"/>
              </w:rPr>
              <w:t xml:space="preserve">effets </w:t>
            </w:r>
            <w:r>
              <w:rPr>
                <w:sz w:val="20"/>
              </w:rPr>
              <w:t xml:space="preserve">indésirables </w:t>
            </w:r>
            <w:r>
              <w:rPr>
                <w:sz w:val="20"/>
              </w:rPr>
              <w:t xml:space="preserve">de la </w:t>
            </w:r>
            <w:r>
              <w:rPr>
                <w:sz w:val="20"/>
              </w:rPr>
              <w:t xml:space="preserve">prise d'</w:t>
            </w:r>
            <w:r>
              <w:rPr>
                <w:sz w:val="20"/>
              </w:rPr>
              <w:t xml:space="preserve">analogues de la </w:t>
            </w:r>
            <w:r>
              <w:rPr>
                <w:sz w:val="20"/>
              </w:rPr>
              <w:t xml:space="preserve">GnRH </w:t>
            </w:r>
            <w:r>
              <w:rPr>
                <w:sz w:val="20"/>
              </w:rPr>
              <w:t xml:space="preserve">sont importants car les analogues de la GnRH ne sont pas </w:t>
            </w:r>
            <w:r>
              <w:rPr>
                <w:sz w:val="20"/>
              </w:rPr>
              <w:t xml:space="preserve">autorisés pour le traitement des adolescents et des enfants atteints de </w:t>
            </w:r>
            <w:r>
              <w:rPr>
                <w:sz w:val="20"/>
              </w:rPr>
              <w:t xml:space="preserve">dysphorie de </w:t>
            </w:r>
            <w:r>
              <w:rPr>
                <w:sz w:val="20"/>
              </w:rPr>
              <w:t xml:space="preserve">genre</w:t>
            </w:r>
            <w:r>
              <w:rPr>
                <w:sz w:val="20"/>
              </w:rPr>
              <w:t xml:space="preserve">. </w:t>
            </w:r>
            <w:r>
              <w:rPr>
                <w:sz w:val="20"/>
              </w:rPr>
              <w:t xml:space="preserve">Les </w:t>
            </w:r>
            <w:r>
              <w:rPr>
                <w:sz w:val="20"/>
              </w:rPr>
              <w:t xml:space="preserve">aspects </w:t>
            </w:r>
            <w:r>
              <w:rPr>
                <w:sz w:val="20"/>
              </w:rPr>
              <w:t xml:space="preserve">à </w:t>
            </w:r>
            <w:r>
              <w:rPr>
                <w:sz w:val="20"/>
              </w:rPr>
              <w:t xml:space="preserve">rapporter </w:t>
            </w:r>
            <w:r>
              <w:rPr>
                <w:sz w:val="20"/>
              </w:rPr>
              <w:t xml:space="preserve">doivent </w:t>
            </w:r>
            <w:r>
              <w:rPr>
                <w:sz w:val="20"/>
              </w:rPr>
              <w:t xml:space="preserve">inclure :</w:t>
            </w:r>
          </w:p>
          <w:p>
            <w:pPr>
              <w:pStyle w:val="TableParagraph"/>
              <w:numPr>
                <w:ilvl w:val="1"/>
                <w:numId w:val="141"/>
              </w:numPr>
              <w:tabs>
                <w:tab w:val="left" w:pos="1548"/>
              </w:tabs>
              <w:spacing w:before="5" w:line="230" w:lineRule="auto"/>
              <w:ind w:end="755"/>
              <w:rPr>
                <w:sz w:val="20"/>
              </w:rPr>
            </w:pPr>
            <w:r>
              <w:rPr>
                <w:sz w:val="20"/>
              </w:rPr>
              <w:t xml:space="preserve">L'</w:t>
            </w:r>
            <w:r>
              <w:rPr>
                <w:sz w:val="20"/>
              </w:rPr>
              <w:t xml:space="preserve">impact </w:t>
            </w:r>
            <w:r>
              <w:rPr>
                <w:sz w:val="20"/>
              </w:rPr>
              <w:t xml:space="preserve">de </w:t>
            </w:r>
            <w:r>
              <w:rPr>
                <w:sz w:val="20"/>
              </w:rPr>
              <w:t xml:space="preserve">la </w:t>
            </w:r>
            <w:r>
              <w:rPr>
                <w:sz w:val="20"/>
              </w:rPr>
              <w:t xml:space="preserve">consommation de </w:t>
            </w:r>
            <w:r>
              <w:rPr>
                <w:sz w:val="20"/>
              </w:rPr>
              <w:t xml:space="preserve">drogues</w:t>
            </w:r>
            <w:r>
              <w:rPr>
                <w:sz w:val="20"/>
              </w:rPr>
              <w:t xml:space="preserve">, </w:t>
            </w:r>
            <w:r>
              <w:rPr>
                <w:sz w:val="20"/>
              </w:rPr>
              <w:t xml:space="preserve">par exemple </w:t>
            </w:r>
            <w:r>
              <w:rPr>
                <w:sz w:val="20"/>
              </w:rPr>
              <w:t xml:space="preserve">sur la </w:t>
            </w:r>
            <w:r>
              <w:rPr>
                <w:sz w:val="20"/>
              </w:rPr>
              <w:t xml:space="preserve">densité os</w:t>
            </w:r>
            <w:r>
              <w:rPr>
                <w:sz w:val="20"/>
              </w:rPr>
              <w:t xml:space="preserve">seuse</w:t>
            </w:r>
            <w:r>
              <w:rPr>
                <w:sz w:val="20"/>
              </w:rPr>
              <w:t xml:space="preserve">, l'hypertension artérielle, le </w:t>
            </w:r>
            <w:r>
              <w:rPr>
                <w:sz w:val="20"/>
              </w:rPr>
              <w:t xml:space="preserve">développement/fonctionnement </w:t>
            </w:r>
            <w:r>
              <w:rPr>
                <w:sz w:val="20"/>
              </w:rPr>
              <w:t xml:space="preserve">cognitif.</w:t>
            </w:r>
          </w:p>
          <w:p>
            <w:pPr>
              <w:pStyle w:val="TableParagraph"/>
              <w:numPr>
                <w:ilvl w:val="1"/>
                <w:numId w:val="141"/>
              </w:numPr>
              <w:tabs>
                <w:tab w:val="left" w:pos="1548"/>
              </w:tabs>
              <w:spacing w:before="11" w:line="230" w:lineRule="auto"/>
              <w:ind w:end="392"/>
              <w:rPr>
                <w:sz w:val="20"/>
              </w:rPr>
            </w:pPr>
            <w:r>
              <w:rPr>
                <w:sz w:val="20"/>
              </w:rPr>
              <w:t xml:space="preserve">Les </w:t>
            </w:r>
            <w:r>
              <w:rPr>
                <w:sz w:val="20"/>
              </w:rPr>
              <w:t xml:space="preserve">conséquences </w:t>
            </w:r>
            <w:r>
              <w:rPr>
                <w:sz w:val="20"/>
              </w:rPr>
              <w:t xml:space="preserve">du </w:t>
            </w:r>
            <w:r>
              <w:rPr>
                <w:sz w:val="20"/>
              </w:rPr>
              <w:t xml:space="preserve">retrait du </w:t>
            </w:r>
            <w:r>
              <w:rPr>
                <w:sz w:val="20"/>
              </w:rPr>
              <w:t xml:space="preserve">médicament</w:t>
            </w:r>
            <w:r>
              <w:rPr>
                <w:sz w:val="20"/>
              </w:rPr>
              <w:t xml:space="preserve">, telles que </w:t>
            </w:r>
            <w:r>
              <w:rPr>
                <w:sz w:val="20"/>
              </w:rPr>
              <w:t xml:space="preserve">la </w:t>
            </w:r>
            <w:r>
              <w:rPr>
                <w:sz w:val="20"/>
              </w:rPr>
              <w:t xml:space="preserve">glissement de l'</w:t>
            </w:r>
            <w:r>
              <w:rPr>
                <w:sz w:val="20"/>
              </w:rPr>
              <w:t xml:space="preserve">épiphyse fémorale </w:t>
            </w:r>
            <w:r>
              <w:rPr>
                <w:sz w:val="20"/>
              </w:rPr>
              <w:t xml:space="preserve">supérieure</w:t>
            </w:r>
            <w:r>
              <w:rPr>
                <w:sz w:val="20"/>
              </w:rPr>
              <w:t xml:space="preserve">, la réversibilité sur le </w:t>
            </w:r>
            <w:r>
              <w:rPr>
                <w:sz w:val="20"/>
              </w:rPr>
              <w:t xml:space="preserve">système </w:t>
            </w:r>
            <w:r>
              <w:rPr>
                <w:sz w:val="20"/>
              </w:rPr>
              <w:t xml:space="preserve">reproducteur </w:t>
            </w:r>
            <w:r>
              <w:rPr>
                <w:sz w:val="20"/>
              </w:rPr>
              <w:t xml:space="preserve">et </w:t>
            </w:r>
            <w:r>
              <w:rPr>
                <w:sz w:val="20"/>
              </w:rPr>
              <w:t xml:space="preserve">toute autre conséquence </w:t>
            </w:r>
            <w:r>
              <w:rPr>
                <w:sz w:val="20"/>
              </w:rPr>
              <w:t xml:space="preserve">signalée.</w:t>
            </w:r>
          </w:p>
          <w:p w:rsidR="00432386" w:rsidRDefault="00432386">
            <w:pPr>
              <w:pStyle w:val="TableParagraph"/>
              <w:spacing w:before="2"/>
              <w:rPr>
                <w:b/>
                <w:sz w:val="20"/>
              </w:rPr>
            </w:pPr>
          </w:p>
          <w:p>
            <w:pPr>
              <w:pStyle w:val="TableParagraph"/>
              <w:ind w:start="107"/>
              <w:rPr>
                <w:b/>
                <w:sz w:val="20"/>
              </w:rPr>
            </w:pPr>
            <w:r>
              <w:rPr>
                <w:b/>
                <w:sz w:val="20"/>
                <w:u w:val="single"/>
              </w:rPr>
              <w:t xml:space="preserve">C : </w:t>
            </w:r>
            <w:r>
              <w:rPr>
                <w:b/>
                <w:sz w:val="20"/>
                <w:u w:val="single"/>
              </w:rPr>
              <w:t xml:space="preserve">Rentabilité</w:t>
            </w:r>
          </w:p>
          <w:p w:rsidR="00432386" w:rsidRDefault="00432386">
            <w:pPr>
              <w:pStyle w:val="TableParagraph"/>
              <w:spacing w:before="1"/>
              <w:rPr>
                <w:b/>
                <w:sz w:val="20"/>
              </w:rPr>
            </w:pPr>
          </w:p>
          <w:p>
            <w:pPr>
              <w:pStyle w:val="TableParagraph"/>
              <w:spacing w:before="1" w:line="211" w:lineRule="exact"/>
              <w:ind w:start="107"/>
              <w:rPr>
                <w:sz w:val="20"/>
              </w:rPr>
            </w:pPr>
            <w:r>
              <w:rPr>
                <w:sz w:val="20"/>
              </w:rPr>
              <w:t xml:space="preserve">Les </w:t>
            </w:r>
            <w:r>
              <w:rPr>
                <w:sz w:val="20"/>
              </w:rPr>
              <w:t xml:space="preserve">études </w:t>
            </w:r>
            <w:r>
              <w:rPr>
                <w:sz w:val="20"/>
              </w:rPr>
              <w:t xml:space="preserve">coût-efficacité </w:t>
            </w:r>
            <w:r>
              <w:rPr>
                <w:sz w:val="20"/>
              </w:rPr>
              <w:t xml:space="preserve">doivent </w:t>
            </w:r>
            <w:r>
              <w:rPr>
                <w:sz w:val="20"/>
              </w:rPr>
              <w:t xml:space="preserve">être </w:t>
            </w:r>
            <w:r>
              <w:rPr>
                <w:sz w:val="20"/>
              </w:rPr>
              <w:t xml:space="preserve">rapportées.</w:t>
            </w:r>
          </w:p>
        </w:tc>
      </w:tr>
      <w:tr w:rsidR="00432386">
        <w:trPr>
          <w:trHeight w:val="566"/>
        </w:trPr>
        <w:tc>
          <w:tcPr>
            <w:tcW w:w="9352" w:type="dxa"/>
            <w:gridSpan w:val="2"/>
          </w:tcPr>
          <w:p>
            <w:pPr>
              <w:pStyle w:val="TableParagraph"/>
              <w:spacing w:before="167"/>
              <w:ind w:start="107"/>
              <w:rPr>
                <w:b/>
                <w:sz w:val="20"/>
              </w:rPr>
            </w:pPr>
            <w:r>
              <w:rPr>
                <w:b/>
                <w:sz w:val="20"/>
              </w:rPr>
              <w:t xml:space="preserve">Critères d'</w:t>
            </w:r>
            <w:r>
              <w:rPr>
                <w:b/>
                <w:sz w:val="20"/>
              </w:rPr>
              <w:t xml:space="preserve">inclusion</w:t>
            </w:r>
          </w:p>
        </w:tc>
      </w:tr>
      <w:tr w:rsidR="00432386">
        <w:trPr>
          <w:trHeight w:val="921"/>
        </w:trPr>
        <w:tc>
          <w:tcPr>
            <w:tcW w:w="2626" w:type="dxa"/>
          </w:tcPr>
          <w:p w:rsidR="00432386" w:rsidRDefault="00432386">
            <w:pPr>
              <w:pStyle w:val="TableParagraph"/>
              <w:rPr>
                <w:b/>
                <w:sz w:val="30"/>
              </w:rPr>
            </w:pPr>
          </w:p>
          <w:p>
            <w:pPr>
              <w:pStyle w:val="TableParagraph"/>
              <w:ind w:start="107"/>
              <w:rPr>
                <w:b/>
                <w:sz w:val="20"/>
              </w:rPr>
            </w:pPr>
            <w:r>
              <w:rPr>
                <w:b/>
                <w:sz w:val="20"/>
              </w:rPr>
              <w:t xml:space="preserve">Plan de l'</w:t>
            </w:r>
            <w:r>
              <w:rPr>
                <w:b/>
                <w:sz w:val="20"/>
              </w:rPr>
              <w:t xml:space="preserve">étude</w:t>
            </w:r>
          </w:p>
        </w:tc>
        <w:tc>
          <w:tcPr>
            <w:tcW w:w="6726" w:type="dxa"/>
          </w:tcPr>
          <w:p>
            <w:pPr>
              <w:pStyle w:val="TableParagraph"/>
              <w:ind w:start="107" w:end="117"/>
              <w:rPr>
                <w:sz w:val="20"/>
              </w:rPr>
            </w:pPr>
            <w:r>
              <w:rPr>
                <w:sz w:val="20"/>
              </w:rPr>
              <w:t xml:space="preserve">Examens </w:t>
            </w:r>
            <w:r>
              <w:rPr>
                <w:sz w:val="20"/>
              </w:rPr>
              <w:t xml:space="preserve">systématiques</w:t>
            </w:r>
            <w:r>
              <w:rPr>
                <w:sz w:val="20"/>
              </w:rPr>
              <w:t xml:space="preserve">, </w:t>
            </w:r>
            <w:r>
              <w:rPr>
                <w:sz w:val="20"/>
              </w:rPr>
              <w:t xml:space="preserve">essais </w:t>
            </w:r>
            <w:r>
              <w:rPr>
                <w:sz w:val="20"/>
              </w:rPr>
              <w:t xml:space="preserve">contrôlés </w:t>
            </w:r>
            <w:r>
              <w:rPr>
                <w:sz w:val="20"/>
              </w:rPr>
              <w:t xml:space="preserve">randomisés</w:t>
            </w:r>
            <w:r>
              <w:rPr>
                <w:sz w:val="20"/>
              </w:rPr>
              <w:t xml:space="preserve">, </w:t>
            </w:r>
            <w:r>
              <w:rPr>
                <w:sz w:val="20"/>
              </w:rPr>
              <w:t xml:space="preserve">essais </w:t>
            </w:r>
            <w:r>
              <w:rPr>
                <w:sz w:val="20"/>
              </w:rPr>
              <w:t xml:space="preserve">cliniques </w:t>
            </w:r>
            <w:r>
              <w:rPr>
                <w:sz w:val="20"/>
              </w:rPr>
              <w:t xml:space="preserve">contrôlés</w:t>
            </w:r>
            <w:r>
              <w:rPr>
                <w:sz w:val="20"/>
              </w:rPr>
              <w:t xml:space="preserve">, </w:t>
            </w:r>
            <w:r>
              <w:rPr>
                <w:sz w:val="20"/>
              </w:rPr>
              <w:t xml:space="preserve">études de </w:t>
            </w:r>
            <w:r>
              <w:rPr>
                <w:sz w:val="20"/>
              </w:rPr>
              <w:t xml:space="preserve">cohorte</w:t>
            </w:r>
            <w:r>
              <w:rPr>
                <w:sz w:val="20"/>
              </w:rPr>
              <w:t xml:space="preserve">.</w:t>
            </w:r>
          </w:p>
          <w:p>
            <w:pPr>
              <w:pStyle w:val="TableParagraph"/>
              <w:spacing w:line="230" w:lineRule="atLeast"/>
              <w:ind w:start="107" w:end="287"/>
              <w:rPr>
                <w:sz w:val="20"/>
              </w:rPr>
            </w:pPr>
            <w:r>
              <w:rPr>
                <w:sz w:val="20"/>
              </w:rPr>
              <w:t xml:space="preserve">Si </w:t>
            </w:r>
            <w:r>
              <w:rPr>
                <w:sz w:val="20"/>
              </w:rPr>
              <w:t xml:space="preserve">aucune </w:t>
            </w:r>
            <w:r>
              <w:rPr>
                <w:sz w:val="20"/>
              </w:rPr>
              <w:t xml:space="preserve">preuve </w:t>
            </w:r>
            <w:r>
              <w:rPr>
                <w:sz w:val="20"/>
              </w:rPr>
              <w:t xml:space="preserve">de </w:t>
            </w:r>
            <w:r>
              <w:rPr>
                <w:sz w:val="20"/>
              </w:rPr>
              <w:t xml:space="preserve">qualité </w:t>
            </w:r>
            <w:r>
              <w:rPr>
                <w:sz w:val="20"/>
              </w:rPr>
              <w:t xml:space="preserve">supérieure </w:t>
            </w:r>
            <w:r>
              <w:rPr>
                <w:sz w:val="20"/>
              </w:rPr>
              <w:t xml:space="preserve">n'</w:t>
            </w:r>
            <w:r>
              <w:rPr>
                <w:sz w:val="20"/>
              </w:rPr>
              <w:t xml:space="preserve">est </w:t>
            </w:r>
            <w:r>
              <w:rPr>
                <w:sz w:val="20"/>
              </w:rPr>
              <w:t xml:space="preserve">trouvée, des </w:t>
            </w:r>
            <w:r>
              <w:rPr>
                <w:sz w:val="20"/>
              </w:rPr>
              <w:t xml:space="preserve">séries de </w:t>
            </w:r>
            <w:r>
              <w:rPr>
                <w:sz w:val="20"/>
              </w:rPr>
              <w:t xml:space="preserve">cas </w:t>
            </w:r>
            <w:r>
              <w:rPr>
                <w:sz w:val="20"/>
              </w:rPr>
              <w:t xml:space="preserve">peuvent </w:t>
            </w:r>
            <w:r>
              <w:rPr>
                <w:sz w:val="20"/>
              </w:rPr>
              <w:t xml:space="preserve">être </w:t>
            </w:r>
            <w:r>
              <w:rPr>
                <w:sz w:val="20"/>
              </w:rPr>
              <w:t xml:space="preserve">envisagées.</w:t>
            </w:r>
          </w:p>
        </w:tc>
      </w:tr>
    </w:tbl>
    <w:p w:rsidR="00432386" w:rsidRDefault="00432386">
      <w:pPr>
        <w:spacing w:line="230" w:lineRule="atLeast"/>
        <w:rPr>
          <w:sz w:val="20"/>
        </w:rPr>
        <w:sectPr w:rsidR="00432386">
          <w:type w:val="continuous"/>
          <w:pgSz w:w="11910" w:h="16840"/>
          <w:pgMar w:top="1260" w:right="980" w:bottom="13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26"/>
        <w:gridCol w:w="6726"/>
      </w:tblGrid>
      <w:tr w:rsidR="00432386">
        <w:trPr>
          <w:trHeight w:val="566"/>
        </w:trPr>
        <w:tc>
          <w:tcPr>
            <w:tcW w:w="2626" w:type="dxa"/>
          </w:tcPr>
          <w:p>
            <w:pPr>
              <w:pStyle w:val="TableParagraph"/>
              <w:spacing w:before="167"/>
              <w:ind w:start="107"/>
              <w:rPr>
                <w:b/>
                <w:sz w:val="20"/>
              </w:rPr>
            </w:pPr>
            <w:r>
              <w:rPr>
                <w:b/>
                <w:sz w:val="20"/>
              </w:rPr>
              <w:lastRenderedPageBreak/>
              <w:t xml:space="preserve">Langue</w:t>
            </w:r>
          </w:p>
        </w:tc>
        <w:tc>
          <w:tcPr>
            <w:tcW w:w="6726" w:type="dxa"/>
          </w:tcPr>
          <w:p>
            <w:pPr>
              <w:pStyle w:val="TableParagraph"/>
              <w:spacing w:before="167"/>
              <w:ind w:start="107"/>
              <w:rPr>
                <w:sz w:val="20"/>
              </w:rPr>
            </w:pPr>
            <w:r>
              <w:rPr>
                <w:sz w:val="20"/>
              </w:rPr>
              <w:t xml:space="preserve">Anglais </w:t>
            </w:r>
            <w:r>
              <w:rPr>
                <w:sz w:val="20"/>
              </w:rPr>
              <w:t xml:space="preserve">seulement</w:t>
            </w:r>
          </w:p>
        </w:tc>
      </w:tr>
      <w:tr w:rsidR="00432386">
        <w:trPr>
          <w:trHeight w:val="568"/>
        </w:trPr>
        <w:tc>
          <w:tcPr>
            <w:tcW w:w="2626" w:type="dxa"/>
          </w:tcPr>
          <w:p>
            <w:pPr>
              <w:pStyle w:val="TableParagraph"/>
              <w:spacing w:before="168"/>
              <w:ind w:start="107"/>
              <w:rPr>
                <w:b/>
                <w:sz w:val="20"/>
              </w:rPr>
            </w:pPr>
            <w:r>
              <w:rPr>
                <w:b/>
                <w:sz w:val="20"/>
              </w:rPr>
              <w:t xml:space="preserve">Patients</w:t>
            </w:r>
          </w:p>
        </w:tc>
        <w:tc>
          <w:tcPr>
            <w:tcW w:w="6726" w:type="dxa"/>
          </w:tcPr>
          <w:p>
            <w:pPr>
              <w:pStyle w:val="TableParagraph"/>
              <w:spacing w:before="168"/>
              <w:ind w:start="107"/>
              <w:rPr>
                <w:sz w:val="20"/>
              </w:rPr>
            </w:pPr>
            <w:r>
              <w:rPr>
                <w:sz w:val="20"/>
              </w:rPr>
              <w:t xml:space="preserve">Études </w:t>
            </w:r>
            <w:r>
              <w:rPr>
                <w:sz w:val="20"/>
              </w:rPr>
              <w:t xml:space="preserve">humaines </w:t>
            </w:r>
            <w:r>
              <w:rPr>
                <w:sz w:val="20"/>
              </w:rPr>
              <w:t xml:space="preserve">uniquement</w:t>
            </w:r>
          </w:p>
        </w:tc>
      </w:tr>
      <w:tr w:rsidR="00432386">
        <w:trPr>
          <w:trHeight w:val="566"/>
        </w:trPr>
        <w:tc>
          <w:tcPr>
            <w:tcW w:w="2626" w:type="dxa"/>
          </w:tcPr>
          <w:p>
            <w:pPr>
              <w:pStyle w:val="TableParagraph"/>
              <w:spacing w:before="167"/>
              <w:ind w:start="107"/>
              <w:rPr>
                <w:b/>
                <w:sz w:val="20"/>
              </w:rPr>
            </w:pPr>
            <w:r>
              <w:rPr>
                <w:b/>
                <w:sz w:val="20"/>
              </w:rPr>
              <w:t xml:space="preserve">Âge</w:t>
            </w:r>
          </w:p>
        </w:tc>
        <w:tc>
          <w:tcPr>
            <w:tcW w:w="6726" w:type="dxa"/>
          </w:tcPr>
          <w:p>
            <w:pPr>
              <w:pStyle w:val="TableParagraph"/>
              <w:spacing w:before="167"/>
              <w:ind w:start="107"/>
              <w:rPr>
                <w:sz w:val="20"/>
              </w:rPr>
            </w:pPr>
            <w:r>
              <w:rPr>
                <w:sz w:val="20"/>
              </w:rPr>
              <w:t xml:space="preserve">18 </w:t>
            </w:r>
            <w:r>
              <w:rPr>
                <w:sz w:val="20"/>
              </w:rPr>
              <w:t xml:space="preserve">ans </w:t>
            </w:r>
            <w:r>
              <w:rPr>
                <w:sz w:val="20"/>
              </w:rPr>
              <w:t xml:space="preserve">ou </w:t>
            </w:r>
            <w:r>
              <w:rPr>
                <w:sz w:val="20"/>
              </w:rPr>
              <w:t xml:space="preserve">moins</w:t>
            </w:r>
          </w:p>
        </w:tc>
      </w:tr>
      <w:tr w:rsidR="00432386">
        <w:trPr>
          <w:trHeight w:val="565"/>
        </w:trPr>
        <w:tc>
          <w:tcPr>
            <w:tcW w:w="2626" w:type="dxa"/>
          </w:tcPr>
          <w:p>
            <w:pPr>
              <w:pStyle w:val="TableParagraph"/>
              <w:spacing w:before="167"/>
              <w:ind w:start="107"/>
              <w:rPr>
                <w:b/>
                <w:sz w:val="20"/>
              </w:rPr>
            </w:pPr>
            <w:r>
              <w:rPr>
                <w:b/>
                <w:sz w:val="20"/>
              </w:rPr>
              <w:t xml:space="preserve">Limites de </w:t>
            </w:r>
            <w:r>
              <w:rPr>
                <w:b/>
                <w:sz w:val="20"/>
              </w:rPr>
              <w:t xml:space="preserve">dates</w:t>
            </w:r>
          </w:p>
        </w:tc>
        <w:tc>
          <w:tcPr>
            <w:tcW w:w="6726" w:type="dxa"/>
          </w:tcPr>
          <w:p>
            <w:pPr>
              <w:pStyle w:val="TableParagraph"/>
              <w:spacing w:before="167"/>
              <w:ind w:start="107"/>
              <w:rPr>
                <w:sz w:val="20"/>
              </w:rPr>
            </w:pPr>
            <w:r>
              <w:rPr>
                <w:sz w:val="20"/>
              </w:rPr>
              <w:t xml:space="preserve">2000-2020</w:t>
            </w:r>
          </w:p>
        </w:tc>
      </w:tr>
      <w:tr w:rsidR="00432386">
        <w:trPr>
          <w:trHeight w:val="568"/>
        </w:trPr>
        <w:tc>
          <w:tcPr>
            <w:tcW w:w="9352" w:type="dxa"/>
            <w:gridSpan w:val="2"/>
          </w:tcPr>
          <w:p>
            <w:pPr>
              <w:pStyle w:val="TableParagraph"/>
              <w:spacing w:before="170"/>
              <w:ind w:start="107"/>
              <w:rPr>
                <w:b/>
                <w:sz w:val="20"/>
              </w:rPr>
            </w:pPr>
            <w:r>
              <w:rPr>
                <w:b/>
                <w:sz w:val="20"/>
              </w:rPr>
              <w:t xml:space="preserve">Critères d'</w:t>
            </w:r>
            <w:r>
              <w:rPr>
                <w:b/>
                <w:sz w:val="20"/>
              </w:rPr>
              <w:t xml:space="preserve">exclusion</w:t>
            </w:r>
          </w:p>
        </w:tc>
      </w:tr>
      <w:tr w:rsidR="00432386">
        <w:trPr>
          <w:trHeight w:val="566"/>
        </w:trPr>
        <w:tc>
          <w:tcPr>
            <w:tcW w:w="2626" w:type="dxa"/>
          </w:tcPr>
          <w:p>
            <w:pPr>
              <w:pStyle w:val="TableParagraph"/>
              <w:spacing w:before="167"/>
              <w:ind w:start="107"/>
              <w:rPr>
                <w:b/>
                <w:sz w:val="20"/>
              </w:rPr>
            </w:pPr>
            <w:r>
              <w:rPr>
                <w:b/>
                <w:sz w:val="20"/>
              </w:rPr>
              <w:t xml:space="preserve">Type de </w:t>
            </w:r>
            <w:r>
              <w:rPr>
                <w:b/>
                <w:sz w:val="20"/>
              </w:rPr>
              <w:t xml:space="preserve">publication</w:t>
            </w:r>
          </w:p>
        </w:tc>
        <w:tc>
          <w:tcPr>
            <w:tcW w:w="6726" w:type="dxa"/>
          </w:tcPr>
          <w:p>
            <w:pPr>
              <w:pStyle w:val="TableParagraph"/>
              <w:spacing w:before="52"/>
              <w:ind w:start="107" w:end="117"/>
              <w:rPr>
                <w:sz w:val="20"/>
              </w:rPr>
            </w:pPr>
            <w:r>
              <w:rPr>
                <w:sz w:val="20"/>
              </w:rPr>
              <w:t xml:space="preserve">Résumés de conférence, revues non systématiques, revues narratives, </w:t>
            </w:r>
            <w:r>
              <w:rPr>
                <w:sz w:val="20"/>
              </w:rPr>
              <w:t xml:space="preserve">commentaires, </w:t>
            </w:r>
            <w:r>
              <w:rPr>
                <w:sz w:val="20"/>
              </w:rPr>
              <w:t xml:space="preserve">lettres, </w:t>
            </w:r>
            <w:r>
              <w:rPr>
                <w:sz w:val="20"/>
              </w:rPr>
              <w:t xml:space="preserve">éditoriaux, </w:t>
            </w:r>
            <w:r>
              <w:rPr>
                <w:sz w:val="20"/>
              </w:rPr>
              <w:t xml:space="preserve">directives </w:t>
            </w:r>
            <w:r>
              <w:rPr>
                <w:sz w:val="20"/>
              </w:rPr>
              <w:t xml:space="preserve">et </w:t>
            </w:r>
            <w:r>
              <w:rPr>
                <w:sz w:val="20"/>
              </w:rPr>
              <w:t xml:space="preserve">imprimés de </w:t>
            </w:r>
            <w:r>
              <w:rPr>
                <w:sz w:val="20"/>
              </w:rPr>
              <w:t xml:space="preserve">pré-publication.</w:t>
            </w:r>
          </w:p>
        </w:tc>
      </w:tr>
      <w:tr w:rsidR="00432386">
        <w:trPr>
          <w:trHeight w:val="568"/>
        </w:trPr>
        <w:tc>
          <w:tcPr>
            <w:tcW w:w="2626" w:type="dxa"/>
          </w:tcPr>
          <w:p>
            <w:pPr>
              <w:pStyle w:val="TableParagraph"/>
              <w:spacing w:before="167"/>
              <w:ind w:start="107"/>
              <w:rPr>
                <w:b/>
                <w:sz w:val="20"/>
              </w:rPr>
            </w:pPr>
            <w:r>
              <w:rPr>
                <w:b/>
                <w:sz w:val="20"/>
              </w:rPr>
              <w:t xml:space="preserve">Plan de l'</w:t>
            </w:r>
            <w:r>
              <w:rPr>
                <w:b/>
                <w:sz w:val="20"/>
              </w:rPr>
              <w:t xml:space="preserve">étude</w:t>
            </w:r>
          </w:p>
        </w:tc>
        <w:tc>
          <w:tcPr>
            <w:tcW w:w="6726" w:type="dxa"/>
          </w:tcPr>
          <w:p>
            <w:pPr>
              <w:pStyle w:val="TableParagraph"/>
              <w:spacing w:before="167"/>
              <w:ind w:start="107"/>
              <w:rPr>
                <w:sz w:val="20"/>
              </w:rPr>
            </w:pPr>
            <w:r>
              <w:rPr>
                <w:sz w:val="20"/>
              </w:rPr>
              <w:t xml:space="preserve">Rapports de </w:t>
            </w:r>
            <w:r>
              <w:rPr>
                <w:sz w:val="20"/>
              </w:rPr>
              <w:t xml:space="preserve">cas</w:t>
            </w:r>
            <w:r>
              <w:rPr>
                <w:sz w:val="20"/>
              </w:rPr>
              <w:t xml:space="preserve">, </w:t>
            </w:r>
            <w:r>
              <w:rPr>
                <w:sz w:val="20"/>
              </w:rPr>
              <w:t xml:space="preserve">études sur l'</w:t>
            </w:r>
            <w:r>
              <w:rPr>
                <w:sz w:val="20"/>
              </w:rPr>
              <w:t xml:space="preserve">utilisation des </w:t>
            </w:r>
            <w:r>
              <w:rPr>
                <w:sz w:val="20"/>
              </w:rPr>
              <w:t xml:space="preserve">ressources</w:t>
            </w:r>
          </w:p>
        </w:tc>
      </w:tr>
    </w:tbl>
    <w:p w:rsidR="00432386" w:rsidRDefault="00432386">
      <w:pPr>
        <w:pStyle w:val="Corpsdetexte"/>
        <w:spacing w:before="0"/>
        <w:ind w:start="0"/>
        <w:rPr>
          <w:b/>
          <w:sz w:val="20"/>
        </w:rPr>
      </w:pPr>
    </w:p>
    <w:p w:rsidR="00432386" w:rsidRDefault="00432386">
      <w:pPr>
        <w:pStyle w:val="Corpsdetexte"/>
        <w:spacing w:before="10"/>
        <w:ind w:start="0"/>
        <w:rPr>
          <w:b/>
          <w:sz w:val="21"/>
        </w:rPr>
      </w:pPr>
    </w:p>
    <w:p>
      <w:pPr>
        <w:pStyle w:val="Titre1"/>
      </w:pPr>
      <w:bookmarkStart w:name="_bookmark14" w:id="15"/>
      <w:bookmarkEnd w:id="15"/>
      <w:r>
        <w:rPr>
          <w:color w:val="365F91"/>
        </w:rPr>
        <w:t xml:space="preserve">Annexe </w:t>
      </w:r>
      <w:r>
        <w:rPr>
          <w:color w:val="365F91"/>
        </w:rPr>
        <w:t xml:space="preserve">B </w:t>
      </w:r>
      <w:r>
        <w:rPr>
          <w:color w:val="365F91"/>
        </w:rPr>
        <w:t xml:space="preserve">Stratégie de </w:t>
      </w:r>
      <w:r>
        <w:rPr>
          <w:color w:val="365F91"/>
        </w:rPr>
        <w:t xml:space="preserve">recherche</w:t>
      </w:r>
    </w:p>
    <w:p w:rsidR="00432386" w:rsidRDefault="00432386">
      <w:pPr>
        <w:pStyle w:val="Corpsdetexte"/>
        <w:spacing w:before="9"/>
        <w:ind w:start="0"/>
        <w:rPr>
          <w:b/>
          <w:sz w:val="20"/>
        </w:rPr>
      </w:pPr>
    </w:p>
    <w:p>
      <w:pPr>
        <w:pStyle w:val="Corpsdetexte"/>
        <w:spacing w:before="1" w:line="276" w:lineRule="auto"/>
        <w:ind w:end="453"/>
        <w:jc w:val="both"/>
      </w:pPr>
      <w:r>
        <w:t xml:space="preserve">Medline, Embase, la Cochrane Library, HTA et APA PsycInfo ont été recherchés le 23 juillet </w:t>
      </w:r>
      <w:r>
        <w:t xml:space="preserve">2020, en limitant la recherche aux articles publiés en langue anglaise au cours des 20 dernières années. Les </w:t>
      </w:r>
      <w:r>
        <w:t xml:space="preserve">résumés de </w:t>
      </w:r>
      <w:r>
        <w:t xml:space="preserve">conférence </w:t>
      </w:r>
      <w:r>
        <w:t xml:space="preserve">et les lettres </w:t>
      </w:r>
      <w:r>
        <w:t xml:space="preserve">ont été exclus.</w:t>
      </w:r>
    </w:p>
    <w:p w:rsidR="00432386" w:rsidRDefault="00432386">
      <w:pPr>
        <w:pStyle w:val="Corpsdetexte"/>
        <w:spacing w:before="3"/>
        <w:ind w:start="0"/>
        <w:rPr>
          <w:sz w:val="25"/>
        </w:rPr>
      </w:pPr>
    </w:p>
    <w:p>
      <w:pPr>
        <w:pStyle w:val="Titre2"/>
      </w:pPr>
      <w:r>
        <w:t xml:space="preserve">Base de données : </w:t>
      </w:r>
      <w:r>
        <w:t xml:space="preserve">Medline</w:t>
      </w:r>
    </w:p>
    <w:p>
      <w:pPr>
        <w:pStyle w:val="Corpsdetexte"/>
        <w:spacing w:before="38"/>
      </w:pPr>
      <w:r>
        <w:t xml:space="preserve">Plate-forme : </w:t>
      </w:r>
      <w:r>
        <w:t xml:space="preserve">Ovid</w:t>
      </w:r>
    </w:p>
    <w:p>
      <w:pPr>
        <w:pStyle w:val="Corpsdetexte"/>
        <w:spacing w:before="40" w:line="276" w:lineRule="auto"/>
        <w:ind w:end="4383"/>
      </w:pPr>
      <w:r>
        <w:t xml:space="preserve">Version : Ovid MEDLINE(R) &lt;1946 au 21 juillet 2020&gt; </w:t>
      </w:r>
      <w:r>
        <w:t xml:space="preserve">Date de </w:t>
      </w:r>
      <w:r>
        <w:rPr>
          <w:spacing w:val="-59"/>
        </w:rPr>
        <w:t xml:space="preserve">recherche </w:t>
      </w:r>
      <w:r>
        <w:t xml:space="preserve">: </w:t>
      </w:r>
      <w:r>
        <w:t xml:space="preserve">23/7/2020</w:t>
      </w:r>
    </w:p>
    <w:p>
      <w:pPr>
        <w:pStyle w:val="Corpsdetexte"/>
        <w:spacing w:before="0" w:line="276" w:lineRule="auto"/>
        <w:ind w:end="6327"/>
      </w:pPr>
      <w:r>
        <w:t xml:space="preserve">Nombre de résultats récupérés : 144 </w:t>
      </w:r>
      <w:r>
        <w:t xml:space="preserve">Stratégie de </w:t>
      </w:r>
      <w:r>
        <w:t xml:space="preserve">recherche </w:t>
      </w:r>
      <w:r>
        <w:t xml:space="preserve">:</w:t>
      </w:r>
    </w:p>
    <w:p w:rsidR="00432386" w:rsidRDefault="00432386">
      <w:pPr>
        <w:pStyle w:val="Corpsdetexte"/>
        <w:spacing w:before="3"/>
        <w:ind w:start="0"/>
        <w:rPr>
          <w:sz w:val="25"/>
        </w:rPr>
      </w:pPr>
    </w:p>
    <w:p>
      <w:pPr>
        <w:pStyle w:val="Paragraphedeliste"/>
        <w:numPr>
          <w:ilvl w:val="0"/>
          <w:numId w:val="140"/>
        </w:numPr>
        <w:tabs>
          <w:tab w:val="left" w:pos="589"/>
          <w:tab w:val="left" w:pos="590"/>
        </w:tabs>
        <w:spacing w:before="0"/>
      </w:pPr>
      <w:r>
        <w:t xml:space="preserve">Dysphorie de genre/ </w:t>
      </w:r>
      <w:r>
        <w:t xml:space="preserve">(485)</w:t>
      </w:r>
    </w:p>
    <w:p>
      <w:pPr>
        <w:pStyle w:val="Paragraphedeliste"/>
        <w:numPr>
          <w:ilvl w:val="0"/>
          <w:numId w:val="140"/>
        </w:numPr>
        <w:tabs>
          <w:tab w:val="left" w:pos="589"/>
          <w:tab w:val="left" w:pos="590"/>
        </w:tabs>
        <w:spacing w:before="38"/>
      </w:pPr>
      <w:r>
        <w:t xml:space="preserve">Identité de genre/ </w:t>
      </w:r>
      <w:r>
        <w:t xml:space="preserve">(18452)</w:t>
      </w:r>
    </w:p>
    <w:p>
      <w:pPr>
        <w:pStyle w:val="Paragraphedeliste"/>
        <w:numPr>
          <w:ilvl w:val="0"/>
          <w:numId w:val="140"/>
        </w:numPr>
        <w:tabs>
          <w:tab w:val="left" w:pos="589"/>
          <w:tab w:val="left" w:pos="590"/>
        </w:tabs>
      </w:pPr>
      <w:r>
        <w:t xml:space="preserve">"</w:t>
      </w:r>
      <w:r>
        <w:t xml:space="preserve">Troubles </w:t>
      </w:r>
      <w:r>
        <w:t xml:space="preserve">sexuels </w:t>
      </w:r>
      <w:r>
        <w:t xml:space="preserve">et de </w:t>
      </w:r>
      <w:r>
        <w:t xml:space="preserve">genre</w:t>
      </w:r>
      <w:r>
        <w:t xml:space="preserve">"/ </w:t>
      </w:r>
      <w:r>
        <w:t xml:space="preserve">(75)</w:t>
      </w:r>
    </w:p>
    <w:p>
      <w:pPr>
        <w:pStyle w:val="Paragraphedeliste"/>
        <w:numPr>
          <w:ilvl w:val="0"/>
          <w:numId w:val="140"/>
        </w:numPr>
        <w:tabs>
          <w:tab w:val="left" w:pos="589"/>
          <w:tab w:val="left" w:pos="590"/>
        </w:tabs>
      </w:pPr>
      <w:r>
        <w:t xml:space="preserve">Transsexualisme/ </w:t>
      </w:r>
      <w:r>
        <w:t xml:space="preserve">(3758)</w:t>
      </w:r>
    </w:p>
    <w:p>
      <w:pPr>
        <w:pStyle w:val="Paragraphedeliste"/>
        <w:numPr>
          <w:ilvl w:val="0"/>
          <w:numId w:val="140"/>
        </w:numPr>
        <w:tabs>
          <w:tab w:val="left" w:pos="589"/>
          <w:tab w:val="left" w:pos="590"/>
        </w:tabs>
        <w:spacing w:before="40"/>
      </w:pPr>
      <w:r>
        <w:t xml:space="preserve">Personnes transgenres/ </w:t>
      </w:r>
      <w:r>
        <w:t xml:space="preserve">(3143</w:t>
      </w:r>
      <w:r>
        <w:t xml:space="preserve">)</w:t>
      </w:r>
    </w:p>
    <w:p>
      <w:pPr>
        <w:pStyle w:val="Paragraphedeliste"/>
        <w:numPr>
          <w:ilvl w:val="0"/>
          <w:numId w:val="140"/>
        </w:numPr>
        <w:tabs>
          <w:tab w:val="left" w:pos="589"/>
          <w:tab w:val="left" w:pos="590"/>
        </w:tabs>
        <w:spacing w:before="38"/>
      </w:pPr>
      <w:r>
        <w:t xml:space="preserve">Services de </w:t>
      </w:r>
      <w:r>
        <w:t xml:space="preserve">santé </w:t>
      </w:r>
      <w:r>
        <w:t xml:space="preserve">pour les </w:t>
      </w:r>
      <w:r>
        <w:t xml:space="preserve">personnes transgenres/ </w:t>
      </w:r>
      <w:r>
        <w:t xml:space="preserve">(136)</w:t>
      </w:r>
    </w:p>
    <w:p>
      <w:pPr>
        <w:pStyle w:val="Paragraphedeliste"/>
        <w:numPr>
          <w:ilvl w:val="0"/>
          <w:numId w:val="140"/>
        </w:numPr>
        <w:tabs>
          <w:tab w:val="left" w:pos="589"/>
          <w:tab w:val="left" w:pos="590"/>
        </w:tabs>
      </w:pPr>
      <w:r>
        <w:t xml:space="preserve">exp </w:t>
      </w:r>
      <w:r>
        <w:t xml:space="preserve">Procédures de </w:t>
      </w:r>
      <w:r>
        <w:t xml:space="preserve">changement de </w:t>
      </w:r>
      <w:r>
        <w:t xml:space="preserve">sexe/ </w:t>
      </w:r>
      <w:r>
        <w:t xml:space="preserve">(836)</w:t>
      </w:r>
    </w:p>
    <w:p>
      <w:pPr>
        <w:pStyle w:val="Paragraphedeliste"/>
        <w:numPr>
          <w:ilvl w:val="0"/>
          <w:numId w:val="140"/>
        </w:numPr>
        <w:tabs>
          <w:tab w:val="left" w:pos="685"/>
          <w:tab w:val="left" w:pos="686"/>
        </w:tabs>
        <w:spacing w:line="278" w:lineRule="auto"/>
        <w:ind w:start="160" w:end="465" w:firstLine="0"/>
      </w:pPr>
      <w:r>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queer*)).tw. </w:t>
      </w:r>
      <w:r>
        <w:t xml:space="preserve">(7435)</w:t>
      </w:r>
    </w:p>
    <w:p>
      <w:pPr>
        <w:pStyle w:val="Paragraphedeliste"/>
        <w:numPr>
          <w:ilvl w:val="0"/>
          <w:numId w:val="140"/>
        </w:numPr>
        <w:tabs>
          <w:tab w:val="left" w:pos="580"/>
          <w:tab w:val="left" w:pos="581"/>
        </w:tabs>
        <w:spacing w:before="0" w:line="276" w:lineRule="auto"/>
        <w:ind w:start="160" w:end="455"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(12678)</w:t>
      </w:r>
    </w:p>
    <w:p>
      <w:pPr>
        <w:pStyle w:val="Paragraphedeliste"/>
        <w:numPr>
          <w:ilvl w:val="0"/>
          <w:numId w:val="140"/>
        </w:numPr>
        <w:tabs>
          <w:tab w:val="left" w:pos="723"/>
          <w:tab w:val="left" w:pos="724"/>
        </w:tabs>
        <w:spacing w:before="0" w:line="276" w:lineRule="auto"/>
        <w:ind w:start="160" w:end="456" w:firstLine="0"/>
      </w:pPr>
      <w:r>
        <w:t xml:space="preserve">(trans ou crossgender* ou cross-gender* ou crossex* ou cross-sex* ou genderqueer*).tw. </w:t>
      </w:r>
      <w:r>
        <w:t xml:space="preserve">(102343)</w:t>
      </w:r>
    </w:p>
    <w:p>
      <w:pPr>
        <w:pStyle w:val="Paragraphedeliste"/>
        <w:numPr>
          <w:ilvl w:val="0"/>
          <w:numId w:val="140"/>
        </w:numPr>
        <w:tabs>
          <w:tab w:val="left" w:pos="712"/>
          <w:tab w:val="left" w:pos="713"/>
        </w:tabs>
        <w:spacing w:before="0"/>
        <w:ind w:start="712" w:hanging="553"/>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transition*)).tw. </w:t>
      </w:r>
      <w:r>
        <w:t xml:space="preserve">(6974)</w:t>
      </w:r>
    </w:p>
    <w:p>
      <w:pPr>
        <w:pStyle w:val="Paragraphedeliste"/>
        <w:numPr>
          <w:ilvl w:val="0"/>
          <w:numId w:val="140"/>
        </w:numPr>
        <w:tabs>
          <w:tab w:val="left" w:pos="712"/>
          <w:tab w:val="left" w:pos="713"/>
        </w:tabs>
        <w:spacing w:before="35" w:line="276" w:lineRule="auto"/>
        <w:ind w:start="160" w:end="2878" w:firstLine="0"/>
      </w:pPr>
      <w:r>
        <w:t xml:space="preserve">(homme-à-femme ou m2f ou femme-à-mâle ou f2m).tw. (114841) </w:t>
      </w:r>
      <w:r>
        <w:t xml:space="preserve">13ou/1-12 </w:t>
      </w:r>
      <w:r>
        <w:t xml:space="preserve">(252702)</w:t>
      </w:r>
    </w:p>
    <w:p>
      <w:pPr>
        <w:pStyle w:val="Paragraphedeliste"/>
        <w:numPr>
          <w:ilvl w:val="0"/>
          <w:numId w:val="139"/>
        </w:numPr>
        <w:tabs>
          <w:tab w:val="left" w:pos="712"/>
          <w:tab w:val="left" w:pos="713"/>
        </w:tabs>
        <w:spacing w:before="0" w:line="252" w:lineRule="exact"/>
        <w:ind w:hanging="553"/>
      </w:pPr>
      <w:r>
        <w:t xml:space="preserve">exp </w:t>
      </w:r>
      <w:r>
        <w:t xml:space="preserve">Infant/ </w:t>
      </w:r>
      <w:r>
        <w:t xml:space="preserve">ou </w:t>
      </w:r>
      <w:r>
        <w:t xml:space="preserve">Santé infantile/ </w:t>
      </w:r>
      <w:r>
        <w:t xml:space="preserve">ou </w:t>
      </w:r>
      <w:r>
        <w:t xml:space="preserve">Bien-être infantile/ </w:t>
      </w:r>
      <w:r>
        <w:t xml:space="preserve">(1137479)</w:t>
      </w:r>
    </w:p>
    <w:p>
      <w:pPr>
        <w:pStyle w:val="Paragraphedeliste"/>
        <w:numPr>
          <w:ilvl w:val="0"/>
          <w:numId w:val="139"/>
        </w:numPr>
        <w:tabs>
          <w:tab w:val="left" w:pos="705"/>
          <w:tab w:val="left" w:pos="706"/>
        </w:tabs>
        <w:spacing w:before="38" w:line="278" w:lineRule="auto"/>
        <w:ind w:start="160"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bambin*).ti,ab,in,jn. </w:t>
      </w:r>
      <w:r>
        <w:t xml:space="preserve">(852400)</w:t>
      </w:r>
    </w:p>
    <w:p>
      <w:pPr>
        <w:pStyle w:val="Paragraphedeliste"/>
        <w:numPr>
          <w:ilvl w:val="0"/>
          <w:numId w:val="139"/>
        </w:numPr>
        <w:tabs>
          <w:tab w:val="left" w:pos="712"/>
          <w:tab w:val="left" w:pos="713"/>
        </w:tabs>
        <w:spacing w:before="0" w:line="249" w:lineRule="exact"/>
        <w:ind w:hanging="553"/>
      </w:pPr>
      <w:r>
        <w:t xml:space="preserve">exp </w:t>
      </w:r>
      <w:r>
        <w:t xml:space="preserve">Enfant/ </w:t>
      </w:r>
      <w:r>
        <w:t xml:space="preserve">ou </w:t>
      </w:r>
      <w:r>
        <w:t xml:space="preserve">exp </w:t>
      </w:r>
      <w:r>
        <w:t xml:space="preserve">Comportement de l'enfant/ </w:t>
      </w:r>
      <w:r>
        <w:t xml:space="preserve">ou </w:t>
      </w:r>
      <w:r>
        <w:t xml:space="preserve">Santé de l'enfant/ </w:t>
      </w:r>
      <w:r>
        <w:t xml:space="preserve">ou </w:t>
      </w:r>
      <w:r>
        <w:t xml:space="preserve">Protection de l'enfant/ </w:t>
      </w:r>
      <w:r>
        <w:t xml:space="preserve">(1913257)</w:t>
      </w:r>
    </w:p>
    <w:p w:rsidR="00432386" w:rsidRDefault="00432386">
      <w:pPr>
        <w:spacing w:line="249" w:lineRule="exact"/>
        <w:sectPr w:rsidR="00432386">
          <w:type w:val="continuous"/>
          <w:pgSz w:w="11910" w:h="16840"/>
          <w:pgMar w:top="1260" w:right="980" w:bottom="1380" w:left="1280" w:header="0" w:footer="1183" w:gutter="0"/>
          <w:cols w:space="720"/>
        </w:sectPr>
      </w:pPr>
    </w:p>
    <w:p>
      <w:pPr>
        <w:pStyle w:val="Corpsdetexte"/>
        <w:tabs>
          <w:tab w:val="left" w:pos="712"/>
        </w:tabs>
        <w:spacing w:before="78"/>
      </w:pPr>
      <w:r>
        <w:lastRenderedPageBreak/>
        <w:t xml:space="preserve">17Minors/ </w:t>
      </w:r>
      <w:r>
        <w:t xml:space="preserve">(2574)</w:t>
      </w:r>
    </w:p>
    <w:p>
      <w:pPr>
        <w:pStyle w:val="Paragraphedeliste"/>
        <w:numPr>
          <w:ilvl w:val="0"/>
          <w:numId w:val="138"/>
        </w:numPr>
        <w:tabs>
          <w:tab w:val="left" w:pos="712"/>
          <w:tab w:val="left" w:pos="713"/>
        </w:tabs>
        <w:spacing w:before="38"/>
        <w:ind w:hanging="553"/>
      </w:pPr>
      <w:r>
        <w:t xml:space="preserve">(enfant* </w:t>
      </w:r>
      <w:r>
        <w:t xml:space="preserve">ou </w:t>
      </w:r>
      <w:r>
        <w:t xml:space="preserve">mineur </w:t>
      </w:r>
      <w:r>
        <w:t xml:space="preserve">ou </w:t>
      </w:r>
      <w:r>
        <w:t xml:space="preserve">mineurs </w:t>
      </w:r>
      <w:r>
        <w:t xml:space="preserve">ou </w:t>
      </w:r>
      <w:r>
        <w:t xml:space="preserve">garçon* ou </w:t>
      </w:r>
      <w:r>
        <w:t xml:space="preserve">fille* </w:t>
      </w:r>
      <w:r>
        <w:t xml:space="preserve">ou </w:t>
      </w:r>
      <w:r>
        <w:t xml:space="preserve">enfant </w:t>
      </w:r>
      <w:r>
        <w:t xml:space="preserve">ou </w:t>
      </w:r>
      <w:r>
        <w:t xml:space="preserve">enfants </w:t>
      </w:r>
      <w:r>
        <w:t xml:space="preserve">ou </w:t>
      </w:r>
      <w:r>
        <w:t xml:space="preserve">jeunes*).ti,ab,in,jn. </w:t>
      </w:r>
      <w:r>
        <w:t xml:space="preserve">(2361686)</w:t>
      </w:r>
    </w:p>
    <w:p>
      <w:pPr>
        <w:pStyle w:val="Paragraphedeliste"/>
        <w:numPr>
          <w:ilvl w:val="0"/>
          <w:numId w:val="138"/>
        </w:numPr>
        <w:tabs>
          <w:tab w:val="left" w:pos="712"/>
          <w:tab w:val="left" w:pos="713"/>
        </w:tabs>
        <w:ind w:hanging="553"/>
      </w:pPr>
      <w:r>
        <w:t xml:space="preserve">exp </w:t>
      </w:r>
      <w:r>
        <w:t xml:space="preserve">pédiatrie/ </w:t>
      </w:r>
      <w:r>
        <w:t xml:space="preserve">(58118)</w:t>
      </w:r>
    </w:p>
    <w:p>
      <w:pPr>
        <w:pStyle w:val="Paragraphedeliste"/>
        <w:numPr>
          <w:ilvl w:val="0"/>
          <w:numId w:val="138"/>
        </w:numPr>
        <w:tabs>
          <w:tab w:val="left" w:pos="712"/>
          <w:tab w:val="left" w:pos="713"/>
        </w:tabs>
        <w:spacing w:before="38"/>
        <w:ind w:hanging="553"/>
      </w:pPr>
      <w:r>
        <w:t xml:space="preserve">(pédiatrique* </w:t>
      </w:r>
      <w:r>
        <w:t xml:space="preserve">ou </w:t>
      </w:r>
      <w:r>
        <w:t xml:space="preserve">pédiatrique* </w:t>
      </w:r>
      <w:r>
        <w:t xml:space="preserve">ou </w:t>
      </w:r>
      <w:r>
        <w:t xml:space="preserve">peadiatrique*).ti,ab,in,jn. </w:t>
      </w:r>
      <w:r>
        <w:t xml:space="preserve">(836269)</w:t>
      </w:r>
    </w:p>
    <w:p>
      <w:pPr>
        <w:pStyle w:val="Paragraphedeliste"/>
        <w:numPr>
          <w:ilvl w:val="0"/>
          <w:numId w:val="138"/>
        </w:numPr>
        <w:tabs>
          <w:tab w:val="left" w:pos="712"/>
          <w:tab w:val="left" w:pos="713"/>
        </w:tabs>
        <w:spacing w:before="40" w:line="276" w:lineRule="auto"/>
        <w:ind w:start="160" w:end="2160" w:firstLine="0"/>
      </w:pPr>
      <w:r>
        <w:t xml:space="preserve">Adolescent/ ou Comportement de l'adolescent/ ou Santé de l'adolescent/ (2024207) </w:t>
      </w:r>
      <w:r>
        <w:t xml:space="preserve">22Puberté/ </w:t>
      </w:r>
      <w:r>
        <w:t xml:space="preserve">(13278)</w:t>
      </w:r>
    </w:p>
    <w:p>
      <w:pPr>
        <w:pStyle w:val="Corpsdetexte"/>
        <w:spacing w:before="0" w:line="276" w:lineRule="auto"/>
        <w:ind w:end="456"/>
        <w:jc w:val="both"/>
      </w:pPr>
      <w:r>
        <w:t xml:space="preserve">23 (adolescen* ou pubescen* ou prépubescen* ou pré-pubescen* ou pubert* ou prépubert* </w:t>
      </w:r>
      <w:r>
        <w:t xml:space="preserve">ou pré-pubert* ou teen* ou preteen* ou pre-teen* ou juvenil* ou youth* ou under*age*).ti,ab,in,jn. </w:t>
      </w:r>
      <w:r>
        <w:t xml:space="preserve">(424246)</w:t>
      </w:r>
    </w:p>
    <w:p>
      <w:pPr>
        <w:pStyle w:val="Corpsdetexte"/>
        <w:spacing w:before="0"/>
        <w:jc w:val="both"/>
      </w:pPr>
      <w:r>
        <w:t xml:space="preserve">24 </w:t>
      </w:r>
      <w:r>
        <w:t xml:space="preserve">écoles/ </w:t>
      </w:r>
      <w:r>
        <w:t xml:space="preserve">(38104)</w:t>
      </w:r>
    </w:p>
    <w:p>
      <w:pPr>
        <w:pStyle w:val="Paragraphedeliste"/>
        <w:numPr>
          <w:ilvl w:val="0"/>
          <w:numId w:val="137"/>
        </w:numPr>
        <w:tabs>
          <w:tab w:val="left" w:pos="713"/>
        </w:tabs>
        <w:ind w:hanging="553"/>
        <w:jc w:val="both"/>
      </w:pPr>
      <w:r>
        <w:t xml:space="preserve">Centres de </w:t>
      </w:r>
      <w:r>
        <w:t xml:space="preserve">garde d'</w:t>
      </w:r>
      <w:r>
        <w:t xml:space="preserve">enfants/ </w:t>
      </w:r>
      <w:r>
        <w:t xml:space="preserve">ou </w:t>
      </w:r>
      <w:r>
        <w:t xml:space="preserve">crèches/ </w:t>
      </w:r>
      <w:r>
        <w:t xml:space="preserve">ou </w:t>
      </w:r>
      <w:r>
        <w:t xml:space="preserve">écoles, </w:t>
      </w:r>
      <w:r>
        <w:t xml:space="preserve">crèches/ </w:t>
      </w:r>
      <w:r>
        <w:t xml:space="preserve">(7199)</w:t>
      </w:r>
    </w:p>
    <w:p>
      <w:pPr>
        <w:pStyle w:val="Paragraphedeliste"/>
        <w:numPr>
          <w:ilvl w:val="0"/>
          <w:numId w:val="137"/>
        </w:numPr>
        <w:tabs>
          <w:tab w:val="left" w:pos="715"/>
        </w:tabs>
        <w:spacing w:line="276" w:lineRule="auto"/>
        <w:ind w:start="160" w:end="453" w:firstLine="0"/>
        <w:jc w:val="both"/>
      </w:pPr>
      <w:r>
        <w:t xml:space="preserve">(école maternelle* ou préscolaire* ou jardin d'enfants* ou garderie ou crèche* ou école* ou </w:t>
      </w:r>
      <w:r>
        <w:t xml:space="preserve">élève* ou </w:t>
      </w:r>
      <w:r>
        <w:t xml:space="preserve">étudiant*).ti,ab,jn. </w:t>
      </w:r>
      <w:r>
        <w:t xml:space="preserve">(468992)</w:t>
      </w:r>
    </w:p>
    <w:p>
      <w:pPr>
        <w:pStyle w:val="Paragraphedeliste"/>
        <w:numPr>
          <w:ilvl w:val="0"/>
          <w:numId w:val="137"/>
        </w:numPr>
        <w:tabs>
          <w:tab w:val="left" w:pos="708"/>
        </w:tabs>
        <w:spacing w:before="2" w:line="276" w:lineRule="auto"/>
        <w:ind w:start="160" w:end="458" w:firstLine="0"/>
        <w:jc w:val="both"/>
      </w:pP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"dix-sept" ou "dix-huit" ou "dix-neuf") adj2 (année ou années ou âge ou âges ou </w:t>
      </w:r>
      <w:r>
        <w:t xml:space="preserve">âgés)).ti,ab. </w:t>
      </w:r>
      <w:r>
        <w:t xml:space="preserve">(89353)</w:t>
      </w:r>
    </w:p>
    <w:p>
      <w:pPr>
        <w:pStyle w:val="Corpsdetexte"/>
        <w:tabs>
          <w:tab w:val="left" w:pos="747"/>
        </w:tabs>
        <w:spacing w:before="0" w:line="276" w:lineRule="auto"/>
        <w:ind w:end="469"/>
      </w:pPr>
      <w:r>
        <w:t xml:space="preserve">28</w:t>
      </w:r>
      <w:r>
        <w:tab/>
        <w:t xml:space="preserve">(("8" </w:t>
      </w:r>
      <w:r>
        <w:t xml:space="preserve">ou </w:t>
      </w:r>
      <w:r>
        <w:t xml:space="preserve">"9" </w:t>
      </w:r>
      <w:r>
        <w:t xml:space="preserve">ou </w:t>
      </w:r>
      <w:r>
        <w:t xml:space="preserve">"10" </w:t>
      </w:r>
      <w:r>
        <w:t xml:space="preserve">ou </w:t>
      </w:r>
      <w:r>
        <w:t xml:space="preserve">"11" </w:t>
      </w:r>
      <w:r>
        <w:t xml:space="preserve">ou </w:t>
      </w:r>
      <w:r>
        <w:t xml:space="preserve">"12" </w:t>
      </w:r>
      <w:r>
        <w:t xml:space="preserve">ou </w:t>
      </w:r>
      <w:r>
        <w:t xml:space="preserve">"13" </w:t>
      </w:r>
      <w:r>
        <w:t xml:space="preserve">ou </w:t>
      </w:r>
      <w:r>
        <w:t xml:space="preserve">"14" </w:t>
      </w:r>
      <w:r>
        <w:t xml:space="preserve">ou </w:t>
      </w:r>
      <w:r>
        <w:t xml:space="preserve">"15" </w:t>
      </w:r>
      <w:r>
        <w:t xml:space="preserve">ou </w:t>
      </w:r>
      <w:r>
        <w:t xml:space="preserve">"16" </w:t>
      </w:r>
      <w:r>
        <w:t xml:space="preserve">ou </w:t>
      </w:r>
      <w:r>
        <w:t xml:space="preserve">"17" </w:t>
      </w:r>
      <w:r>
        <w:t xml:space="preserve">ou </w:t>
      </w:r>
      <w:r>
        <w:t xml:space="preserve">"18" </w:t>
      </w:r>
      <w:r>
        <w:t xml:space="preserve">ou </w:t>
      </w:r>
      <w:r>
        <w:t xml:space="preserve">"19") </w:t>
      </w:r>
      <w:r>
        <w:t xml:space="preserve">adj2 </w:t>
      </w:r>
      <w:r>
        <w:t xml:space="preserve">(année </w:t>
      </w:r>
      <w:r>
        <w:t xml:space="preserve">ou </w:t>
      </w:r>
      <w:r>
        <w:t xml:space="preserve">années </w:t>
      </w:r>
      <w:r>
        <w:t xml:space="preserve">ou âge ou </w:t>
      </w:r>
      <w:r>
        <w:t xml:space="preserve">âges </w:t>
      </w:r>
      <w:r>
        <w:t xml:space="preserve">ou </w:t>
      </w:r>
      <w:r>
        <w:t xml:space="preserve">âgés)).ti,ab. </w:t>
      </w:r>
      <w:r>
        <w:t xml:space="preserve">(887838)</w:t>
      </w:r>
    </w:p>
    <w:p>
      <w:pPr>
        <w:pStyle w:val="Corpsdetexte"/>
        <w:tabs>
          <w:tab w:val="left" w:pos="712"/>
        </w:tabs>
        <w:spacing w:before="0"/>
      </w:pPr>
      <w:r>
        <w:t xml:space="preserve">29or/14-28 </w:t>
      </w:r>
      <w:r>
        <w:t xml:space="preserve">(5534171)</w:t>
      </w:r>
    </w:p>
    <w:p>
      <w:pPr>
        <w:pStyle w:val="Corpsdetexte"/>
        <w:tabs>
          <w:tab w:val="left" w:pos="712"/>
        </w:tabs>
      </w:pPr>
      <w:r>
        <w:tab/>
        <w:t xml:space="preserve">3013 </w:t>
      </w:r>
      <w:r>
        <w:t xml:space="preserve">et </w:t>
      </w:r>
      <w:r>
        <w:t xml:space="preserve">29 </w:t>
      </w:r>
      <w:r>
        <w:t xml:space="preserve">(79263)</w:t>
      </w:r>
    </w:p>
    <w:p>
      <w:pPr>
        <w:pStyle w:val="Corpsdetexte"/>
        <w:tabs>
          <w:tab w:val="left" w:pos="681"/>
          <w:tab w:val="left" w:pos="712"/>
        </w:tabs>
        <w:spacing w:before="38" w:line="276" w:lineRule="auto"/>
        <w:ind w:end="456"/>
      </w:pPr>
      <w:r>
        <w:t xml:space="preserve">31</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(7) </w:t>
      </w:r>
      <w:r>
        <w:t xml:space="preserve">32</w:t>
      </w:r>
      <w:r>
        <w:tab/>
      </w:r>
      <w:r>
        <w:tab/>
        <w:t xml:space="preserve">30 </w:t>
      </w:r>
      <w:r>
        <w:t xml:space="preserve">ou </w:t>
      </w:r>
      <w:r>
        <w:t xml:space="preserve">31 </w:t>
      </w:r>
      <w:r>
        <w:t xml:space="preserve">(79263)</w:t>
      </w:r>
    </w:p>
    <w:p>
      <w:pPr>
        <w:pStyle w:val="Paragraphedeliste"/>
        <w:numPr>
          <w:ilvl w:val="0"/>
          <w:numId w:val="136"/>
        </w:numPr>
        <w:tabs>
          <w:tab w:val="left" w:pos="712"/>
          <w:tab w:val="left" w:pos="713"/>
        </w:tabs>
        <w:spacing w:before="1"/>
        <w:ind w:hanging="553"/>
      </w:pPr>
      <w:r>
        <w:t xml:space="preserve">Hormone de </w:t>
      </w:r>
      <w:r>
        <w:t xml:space="preserve">libération de la </w:t>
      </w:r>
      <w:r>
        <w:t xml:space="preserve">gonadotrophine/ </w:t>
      </w:r>
      <w:r>
        <w:t xml:space="preserve">(27588)</w:t>
      </w:r>
    </w:p>
    <w:p>
      <w:pPr>
        <w:pStyle w:val="Paragraphedeliste"/>
        <w:numPr>
          <w:ilvl w:val="0"/>
          <w:numId w:val="136"/>
        </w:numPr>
        <w:tabs>
          <w:tab w:val="left" w:pos="712"/>
          <w:tab w:val="left" w:pos="713"/>
        </w:tabs>
        <w:spacing w:before="38"/>
        <w:ind w:hanging="553"/>
      </w:pPr>
      <w:r>
        <w:t xml:space="preserve">(pubert* </w:t>
      </w:r>
      <w:r>
        <w:t xml:space="preserve">adj3 </w:t>
      </w:r>
      <w:r>
        <w:t xml:space="preserve">bloc*).ti,ab. </w:t>
      </w:r>
      <w:r>
        <w:t xml:space="preserve">(78)</w:t>
      </w:r>
    </w:p>
    <w:p>
      <w:pPr>
        <w:pStyle w:val="Paragraphedeliste"/>
        <w:numPr>
          <w:ilvl w:val="0"/>
          <w:numId w:val="136"/>
        </w:numPr>
        <w:tabs>
          <w:tab w:val="left" w:pos="712"/>
          <w:tab w:val="left" w:pos="713"/>
        </w:tabs>
        <w:ind w:hanging="553"/>
      </w:pPr>
      <w:r>
        <w:t xml:space="preserve">((gonadotrophine </w:t>
      </w:r>
      <w:r>
        <w:t xml:space="preserve">ou </w:t>
      </w:r>
      <w:r>
        <w:t xml:space="preserve">gonadotrophine) </w:t>
      </w:r>
      <w:r>
        <w:t xml:space="preserve">et </w:t>
      </w:r>
      <w:r>
        <w:t xml:space="preserve">libération).ti,ab. </w:t>
      </w:r>
      <w:r>
        <w:t xml:space="preserve">(17299)</w:t>
      </w:r>
    </w:p>
    <w:p>
      <w:pPr>
        <w:pStyle w:val="Paragraphedeliste"/>
        <w:numPr>
          <w:ilvl w:val="0"/>
          <w:numId w:val="136"/>
        </w:numPr>
        <w:tabs>
          <w:tab w:val="left" w:pos="712"/>
          <w:tab w:val="left" w:pos="713"/>
        </w:tabs>
        <w:spacing w:line="276" w:lineRule="auto"/>
        <w:ind w:start="160" w:end="5655" w:firstLine="0"/>
      </w:pPr>
      <w:r>
        <w:t xml:space="preserve">(GnRH adj2 analogue*).ti,ab. (2541) </w:t>
      </w:r>
      <w:r>
        <w:t xml:space="preserve">37GnRH*</w:t>
      </w:r>
      <w:r>
        <w:tab/>
        <w:t xml:space="preserve">.ti,ab. </w:t>
      </w:r>
      <w:r>
        <w:t xml:space="preserve">(20991)</w:t>
      </w:r>
    </w:p>
    <w:p>
      <w:pPr>
        <w:pStyle w:val="Paragraphedeliste"/>
        <w:numPr>
          <w:ilvl w:val="0"/>
          <w:numId w:val="135"/>
        </w:numPr>
        <w:tabs>
          <w:tab w:val="left" w:pos="712"/>
          <w:tab w:val="left" w:pos="713"/>
        </w:tabs>
        <w:spacing w:before="2"/>
        <w:ind w:hanging="553"/>
      </w:pPr>
      <w:r>
        <w:t xml:space="preserve">"</w:t>
      </w:r>
      <w:r>
        <w:t xml:space="preserve">Agoniste de la GnRH*".ti,ab. </w:t>
      </w:r>
      <w:r>
        <w:t xml:space="preserve">(4040)</w:t>
      </w:r>
    </w:p>
    <w:p>
      <w:pPr>
        <w:pStyle w:val="Paragraphedeliste"/>
        <w:numPr>
          <w:ilvl w:val="0"/>
          <w:numId w:val="135"/>
        </w:numPr>
        <w:tabs>
          <w:tab w:val="left" w:pos="712"/>
          <w:tab w:val="left" w:pos="713"/>
        </w:tabs>
        <w:spacing w:before="38"/>
        <w:ind w:hanging="553"/>
      </w:pPr>
      <w:r>
        <w:t xml:space="preserve">Pamoate de triptoréline/ </w:t>
      </w:r>
      <w:r>
        <w:t xml:space="preserve">(1906)</w:t>
      </w:r>
    </w:p>
    <w:p>
      <w:pPr>
        <w:pStyle w:val="Paragraphedeliste"/>
        <w:numPr>
          <w:ilvl w:val="0"/>
          <w:numId w:val="135"/>
        </w:numPr>
        <w:tabs>
          <w:tab w:val="left" w:pos="712"/>
          <w:tab w:val="left" w:pos="713"/>
        </w:tabs>
        <w:ind w:hanging="553"/>
      </w:pPr>
      <w:r>
        <w:t xml:space="preserve">triptoréline.ti,ab. </w:t>
      </w:r>
      <w:r>
        <w:t xml:space="preserve">(677)</w:t>
      </w:r>
    </w:p>
    <w:p>
      <w:pPr>
        <w:pStyle w:val="Paragraphedeliste"/>
        <w:numPr>
          <w:ilvl w:val="0"/>
          <w:numId w:val="135"/>
        </w:numPr>
        <w:tabs>
          <w:tab w:val="left" w:pos="712"/>
          <w:tab w:val="left" w:pos="713"/>
        </w:tabs>
        <w:ind w:hanging="553"/>
      </w:pPr>
      <w:r>
        <w:t xml:space="preserve">arvekap.ti,ab. </w:t>
      </w:r>
      <w:r>
        <w:t xml:space="preserve">(1)</w:t>
      </w:r>
    </w:p>
    <w:p>
      <w:pPr>
        <w:pStyle w:val="Corpsdetexte"/>
        <w:tabs>
          <w:tab w:val="left" w:pos="712"/>
        </w:tabs>
        <w:spacing w:before="38"/>
      </w:pPr>
      <w:r>
        <w:t xml:space="preserve">42</w:t>
      </w:r>
      <w:r>
        <w:tab/>
        <w:t xml:space="preserve">("AY </w:t>
      </w:r>
      <w:r>
        <w:t xml:space="preserve">25650" </w:t>
      </w:r>
      <w:r>
        <w:t xml:space="preserve">ou </w:t>
      </w:r>
      <w:r>
        <w:t xml:space="preserve">AY25650).ti,ab. </w:t>
      </w:r>
      <w:r>
        <w:t xml:space="preserve">(1)</w:t>
      </w:r>
    </w:p>
    <w:p>
      <w:pPr>
        <w:pStyle w:val="Corpsdetexte"/>
        <w:tabs>
          <w:tab w:val="left" w:pos="712"/>
        </w:tabs>
        <w:spacing w:before="40"/>
      </w:pPr>
      <w:r>
        <w:t xml:space="preserve">43</w:t>
      </w:r>
      <w:r>
        <w:tab/>
        <w:t xml:space="preserve">("BIM </w:t>
      </w:r>
      <w:r>
        <w:t xml:space="preserve">21003" </w:t>
      </w:r>
      <w:r>
        <w:t xml:space="preserve">ou </w:t>
      </w:r>
      <w:r>
        <w:t xml:space="preserve">BIM21003).ti,ab. </w:t>
      </w:r>
      <w:r>
        <w:t xml:space="preserve">(0)</w:t>
      </w:r>
    </w:p>
    <w:p>
      <w:pPr>
        <w:pStyle w:val="Corpsdetexte"/>
        <w:tabs>
          <w:tab w:val="left" w:pos="712"/>
        </w:tabs>
      </w:pPr>
      <w:r>
        <w:t xml:space="preserve">44</w:t>
      </w:r>
      <w:r>
        <w:tab/>
        <w:t xml:space="preserve">("BN </w:t>
      </w:r>
      <w:r>
        <w:t xml:space="preserve">52014" </w:t>
      </w:r>
      <w:r>
        <w:t xml:space="preserve">ou </w:t>
      </w:r>
      <w:r>
        <w:t xml:space="preserve">BN52014).ti,ab. </w:t>
      </w:r>
      <w:r>
        <w:t xml:space="preserve">(0)</w:t>
      </w:r>
    </w:p>
    <w:p>
      <w:pPr>
        <w:pStyle w:val="Corpsdetexte"/>
        <w:tabs>
          <w:tab w:val="left" w:pos="712"/>
        </w:tabs>
        <w:spacing w:before="38"/>
      </w:pPr>
      <w:r>
        <w:t xml:space="preserve">45</w:t>
      </w:r>
      <w:r>
        <w:tab/>
        <w:t xml:space="preserve">("CL </w:t>
      </w:r>
      <w:r>
        <w:t xml:space="preserve">118532" </w:t>
      </w:r>
      <w:r>
        <w:t xml:space="preserve">ou </w:t>
      </w:r>
      <w:r>
        <w:t xml:space="preserve">CL118532).ti,ab. </w:t>
      </w:r>
      <w:r>
        <w:t xml:space="preserve">(0)</w:t>
      </w:r>
    </w:p>
    <w:p>
      <w:pPr>
        <w:pStyle w:val="Paragraphedeliste"/>
        <w:numPr>
          <w:ilvl w:val="0"/>
          <w:numId w:val="134"/>
        </w:numPr>
        <w:tabs>
          <w:tab w:val="left" w:pos="712"/>
          <w:tab w:val="left" w:pos="713"/>
        </w:tabs>
        <w:ind w:hanging="553"/>
      </w:pPr>
      <w:r>
        <w:t xml:space="preserve">Debio.ti,ab. </w:t>
      </w:r>
      <w:r>
        <w:t xml:space="preserve">(83)</w:t>
      </w:r>
    </w:p>
    <w:p>
      <w:pPr>
        <w:pStyle w:val="Paragraphedeliste"/>
        <w:numPr>
          <w:ilvl w:val="0"/>
          <w:numId w:val="134"/>
        </w:numPr>
        <w:tabs>
          <w:tab w:val="left" w:pos="712"/>
          <w:tab w:val="left" w:pos="713"/>
        </w:tabs>
        <w:spacing w:before="40"/>
        <w:ind w:hanging="553"/>
      </w:pPr>
      <w:r>
        <w:t xml:space="preserve">diphereline.ti,ab. </w:t>
      </w:r>
      <w:r>
        <w:t xml:space="preserve">(17)</w:t>
      </w:r>
    </w:p>
    <w:p>
      <w:pPr>
        <w:pStyle w:val="Paragraphedeliste"/>
        <w:numPr>
          <w:ilvl w:val="0"/>
          <w:numId w:val="134"/>
        </w:numPr>
        <w:tabs>
          <w:tab w:val="left" w:pos="712"/>
          <w:tab w:val="left" w:pos="713"/>
        </w:tabs>
        <w:ind w:hanging="553"/>
      </w:pPr>
      <w:r>
        <w:t xml:space="preserve">moapar.ti,ab. </w:t>
      </w:r>
      <w:r>
        <w:t xml:space="preserve">(0)</w:t>
      </w:r>
    </w:p>
    <w:p>
      <w:pPr>
        <w:pStyle w:val="Paragraphedeliste"/>
        <w:numPr>
          <w:ilvl w:val="0"/>
          <w:numId w:val="134"/>
        </w:numPr>
        <w:tabs>
          <w:tab w:val="left" w:pos="712"/>
          <w:tab w:val="left" w:pos="713"/>
        </w:tabs>
        <w:spacing w:before="38"/>
        <w:ind w:hanging="553"/>
      </w:pPr>
      <w:r>
        <w:t xml:space="preserve">pamorelin.ti,ab. </w:t>
      </w:r>
      <w:r>
        <w:t xml:space="preserve">(0)</w:t>
      </w:r>
    </w:p>
    <w:p>
      <w:pPr>
        <w:pStyle w:val="Paragraphedeliste"/>
        <w:numPr>
          <w:ilvl w:val="0"/>
          <w:numId w:val="134"/>
        </w:numPr>
        <w:tabs>
          <w:tab w:val="left" w:pos="712"/>
          <w:tab w:val="left" w:pos="713"/>
        </w:tabs>
        <w:ind w:hanging="553"/>
      </w:pPr>
      <w:r>
        <w:t xml:space="preserve">trelstar.ti,ab. </w:t>
      </w:r>
      <w:r>
        <w:t xml:space="preserve">(3)</w:t>
      </w:r>
    </w:p>
    <w:p>
      <w:pPr>
        <w:pStyle w:val="Paragraphedeliste"/>
        <w:numPr>
          <w:ilvl w:val="0"/>
          <w:numId w:val="134"/>
        </w:numPr>
        <w:tabs>
          <w:tab w:val="left" w:pos="712"/>
          <w:tab w:val="left" w:pos="713"/>
        </w:tabs>
        <w:ind w:hanging="553"/>
      </w:pPr>
      <w:r>
        <w:t xml:space="preserve">triptodur.ti,ab. </w:t>
      </w:r>
      <w:r>
        <w:t xml:space="preserve">(1)</w:t>
      </w:r>
    </w:p>
    <w:p>
      <w:pPr>
        <w:pStyle w:val="Corpsdetexte"/>
        <w:tabs>
          <w:tab w:val="left" w:pos="712"/>
        </w:tabs>
        <w:spacing w:before="41"/>
      </w:pPr>
      <w:r>
        <w:t xml:space="preserve">52</w:t>
      </w:r>
      <w:r>
        <w:tab/>
        <w:t xml:space="preserve">("WY </w:t>
      </w:r>
      <w:r>
        <w:t xml:space="preserve">42422" </w:t>
      </w:r>
      <w:r>
        <w:t xml:space="preserve">ou </w:t>
      </w:r>
      <w:r>
        <w:t xml:space="preserve">WY42422).ti,ab. </w:t>
      </w:r>
      <w:r>
        <w:t xml:space="preserve">(0)</w:t>
      </w:r>
    </w:p>
    <w:p>
      <w:pPr>
        <w:pStyle w:val="Corpsdetexte"/>
        <w:tabs>
          <w:tab w:val="left" w:pos="712"/>
        </w:tabs>
      </w:pPr>
      <w:r>
        <w:t xml:space="preserve">53</w:t>
      </w:r>
      <w:r>
        <w:tab/>
        <w:t xml:space="preserve">("WY </w:t>
      </w:r>
      <w:r>
        <w:t xml:space="preserve">42462" </w:t>
      </w:r>
      <w:r>
        <w:t xml:space="preserve">ou </w:t>
      </w:r>
      <w:r>
        <w:t xml:space="preserve">WY42462).ti,ab. </w:t>
      </w:r>
      <w:r>
        <w:t xml:space="preserve">(0)</w:t>
      </w:r>
    </w:p>
    <w:p>
      <w:pPr>
        <w:pStyle w:val="Paragraphedeliste"/>
        <w:numPr>
          <w:ilvl w:val="0"/>
          <w:numId w:val="133"/>
        </w:numPr>
        <w:tabs>
          <w:tab w:val="left" w:pos="712"/>
          <w:tab w:val="left" w:pos="713"/>
        </w:tabs>
        <w:spacing w:before="38"/>
        <w:ind w:hanging="553"/>
      </w:pPr>
      <w:r>
        <w:t xml:space="preserve">gonapeptyl.ti,ab. </w:t>
      </w:r>
      <w:r>
        <w:t xml:space="preserve">(0)</w:t>
      </w:r>
    </w:p>
    <w:p>
      <w:pPr>
        <w:pStyle w:val="Paragraphedeliste"/>
        <w:numPr>
          <w:ilvl w:val="0"/>
          <w:numId w:val="133"/>
        </w:numPr>
        <w:tabs>
          <w:tab w:val="left" w:pos="712"/>
          <w:tab w:val="left" w:pos="713"/>
        </w:tabs>
        <w:ind w:hanging="553"/>
      </w:pPr>
      <w:r>
        <w:t xml:space="preserve">décapeptyl.ti,ab. </w:t>
      </w:r>
      <w:r>
        <w:t xml:space="preserve">(210)</w:t>
      </w:r>
    </w:p>
    <w:p>
      <w:pPr>
        <w:pStyle w:val="Paragraphedeliste"/>
        <w:numPr>
          <w:ilvl w:val="0"/>
          <w:numId w:val="133"/>
        </w:numPr>
        <w:tabs>
          <w:tab w:val="left" w:pos="712"/>
          <w:tab w:val="left" w:pos="713"/>
        </w:tabs>
        <w:spacing w:before="40"/>
        <w:ind w:hanging="553"/>
      </w:pPr>
      <w:r>
        <w:t xml:space="preserve">salvacyl.ti,ab. </w:t>
      </w:r>
      <w:r>
        <w:t xml:space="preserve">(0)</w:t>
      </w:r>
    </w:p>
    <w:p>
      <w:pPr>
        <w:pStyle w:val="Paragraphedeliste"/>
        <w:numPr>
          <w:ilvl w:val="0"/>
          <w:numId w:val="133"/>
        </w:numPr>
        <w:tabs>
          <w:tab w:val="left" w:pos="712"/>
          <w:tab w:val="left" w:pos="713"/>
        </w:tabs>
        <w:ind w:hanging="553"/>
      </w:pPr>
      <w:r>
        <w:t xml:space="preserve">Buserelin/ </w:t>
      </w:r>
      <w:r>
        <w:t xml:space="preserve">(2119)</w:t>
      </w:r>
    </w:p>
    <w:p>
      <w:pPr>
        <w:pStyle w:val="Paragraphedeliste"/>
        <w:numPr>
          <w:ilvl w:val="0"/>
          <w:numId w:val="133"/>
        </w:numPr>
        <w:tabs>
          <w:tab w:val="left" w:pos="712"/>
          <w:tab w:val="left" w:pos="713"/>
        </w:tabs>
        <w:spacing w:before="38"/>
        <w:ind w:hanging="553"/>
      </w:pPr>
      <w:r>
        <w:t xml:space="preserve">buséréline.ti,ab. </w:t>
      </w:r>
      <w:r>
        <w:t xml:space="preserve">(1304)</w:t>
      </w:r>
    </w:p>
    <w:p w:rsidR="00432386" w:rsidRDefault="00432386">
      <w:pPr>
        <w:sectPr w:rsidR="00432386">
          <w:pgSz w:w="11910" w:h="16840"/>
          <w:pgMar w:top="1180" w:right="980" w:bottom="1460" w:left="1280" w:header="0" w:footer="1183" w:gutter="0"/>
          <w:cols w:space="720"/>
        </w:sectPr>
      </w:pPr>
    </w:p>
    <w:p>
      <w:pPr>
        <w:pStyle w:val="Paragraphedeliste"/>
        <w:numPr>
          <w:ilvl w:val="0"/>
          <w:numId w:val="133"/>
        </w:numPr>
        <w:tabs>
          <w:tab w:val="left" w:pos="712"/>
          <w:tab w:val="left" w:pos="713"/>
        </w:tabs>
        <w:spacing w:before="78"/>
        <w:ind w:hanging="553"/>
      </w:pPr>
      <w:r>
        <w:lastRenderedPageBreak/>
        <w:t xml:space="preserve">bigoniste.ti,ab. </w:t>
      </w:r>
      <w:r>
        <w:t xml:space="preserve">(0)</w:t>
      </w:r>
    </w:p>
    <w:p>
      <w:pPr>
        <w:pStyle w:val="Corpsdetexte"/>
        <w:tabs>
          <w:tab w:val="left" w:pos="712"/>
        </w:tabs>
        <w:spacing w:before="38"/>
      </w:pPr>
      <w:r>
        <w:t xml:space="preserve">60</w:t>
      </w:r>
      <w:r>
        <w:tab/>
        <w:t xml:space="preserve">("hoe </w:t>
      </w:r>
      <w:r>
        <w:t xml:space="preserve">766" </w:t>
      </w:r>
      <w:r>
        <w:t xml:space="preserve">ou </w:t>
      </w:r>
      <w:r>
        <w:t xml:space="preserve">hoe-766 </w:t>
      </w:r>
      <w:r>
        <w:t xml:space="preserve">ou </w:t>
      </w:r>
      <w:r>
        <w:t xml:space="preserve">hoe766).ti,ab. </w:t>
      </w:r>
      <w:r>
        <w:t xml:space="preserve">(69)</w:t>
      </w:r>
    </w:p>
    <w:p>
      <w:pPr>
        <w:pStyle w:val="Paragraphedeliste"/>
        <w:numPr>
          <w:ilvl w:val="0"/>
          <w:numId w:val="132"/>
        </w:numPr>
        <w:tabs>
          <w:tab w:val="left" w:pos="712"/>
          <w:tab w:val="left" w:pos="713"/>
        </w:tabs>
        <w:ind w:hanging="553"/>
      </w:pPr>
      <w:r>
        <w:t xml:space="preserve">profact.ti,ab. </w:t>
      </w:r>
      <w:r>
        <w:t xml:space="preserve">(2)</w:t>
      </w:r>
    </w:p>
    <w:p>
      <w:pPr>
        <w:pStyle w:val="Paragraphedeliste"/>
        <w:numPr>
          <w:ilvl w:val="0"/>
          <w:numId w:val="132"/>
        </w:numPr>
        <w:tabs>
          <w:tab w:val="left" w:pos="712"/>
          <w:tab w:val="left" w:pos="713"/>
        </w:tabs>
        <w:spacing w:before="38"/>
        <w:ind w:hanging="553"/>
      </w:pPr>
      <w:r>
        <w:t xml:space="preserve">réceptacle.ti,ab. </w:t>
      </w:r>
      <w:r>
        <w:t xml:space="preserve">(30)</w:t>
      </w:r>
    </w:p>
    <w:p>
      <w:pPr>
        <w:pStyle w:val="Paragraphedeliste"/>
        <w:numPr>
          <w:ilvl w:val="0"/>
          <w:numId w:val="132"/>
        </w:numPr>
        <w:tabs>
          <w:tab w:val="left" w:pos="712"/>
          <w:tab w:val="left" w:pos="713"/>
        </w:tabs>
        <w:spacing w:before="40"/>
        <w:ind w:hanging="553"/>
      </w:pPr>
      <w:r>
        <w:t xml:space="preserve">suprecur.ti,ab. </w:t>
      </w:r>
      <w:r>
        <w:t xml:space="preserve">(4)</w:t>
      </w:r>
    </w:p>
    <w:p>
      <w:pPr>
        <w:pStyle w:val="Paragraphedeliste"/>
        <w:numPr>
          <w:ilvl w:val="0"/>
          <w:numId w:val="132"/>
        </w:numPr>
        <w:tabs>
          <w:tab w:val="left" w:pos="712"/>
          <w:tab w:val="left" w:pos="713"/>
        </w:tabs>
        <w:ind w:hanging="553"/>
      </w:pPr>
      <w:r>
        <w:t xml:space="preserve">suprefact.ti,ab. </w:t>
      </w:r>
      <w:r>
        <w:t xml:space="preserve">(22)</w:t>
      </w:r>
    </w:p>
    <w:p>
      <w:pPr>
        <w:pStyle w:val="Paragraphedeliste"/>
        <w:numPr>
          <w:ilvl w:val="0"/>
          <w:numId w:val="132"/>
        </w:numPr>
        <w:tabs>
          <w:tab w:val="left" w:pos="712"/>
          <w:tab w:val="left" w:pos="713"/>
        </w:tabs>
        <w:ind w:hanging="553"/>
      </w:pPr>
      <w:r>
        <w:t xml:space="preserve">tiloryth.ti,ab. </w:t>
      </w:r>
      <w:r>
        <w:t xml:space="preserve">(0)</w:t>
      </w:r>
    </w:p>
    <w:p>
      <w:pPr>
        <w:pStyle w:val="Paragraphedeliste"/>
        <w:numPr>
          <w:ilvl w:val="0"/>
          <w:numId w:val="132"/>
        </w:numPr>
        <w:tabs>
          <w:tab w:val="left" w:pos="712"/>
          <w:tab w:val="left" w:pos="713"/>
        </w:tabs>
        <w:spacing w:before="38"/>
        <w:ind w:hanging="553"/>
      </w:pPr>
      <w:r>
        <w:t xml:space="preserve">histrelin.ti,ab. </w:t>
      </w:r>
      <w:r>
        <w:t xml:space="preserve">(55)</w:t>
      </w:r>
    </w:p>
    <w:p>
      <w:pPr>
        <w:pStyle w:val="Paragraphedeliste"/>
        <w:numPr>
          <w:ilvl w:val="0"/>
          <w:numId w:val="132"/>
        </w:numPr>
        <w:tabs>
          <w:tab w:val="left" w:pos="712"/>
          <w:tab w:val="left" w:pos="713"/>
        </w:tabs>
        <w:spacing w:line="276" w:lineRule="auto"/>
        <w:ind w:start="160" w:end="5621" w:firstLine="0"/>
      </w:pPr>
      <w:r>
        <w:t xml:space="preserve">"Implant de LHRH-hydrogel".ti,ab. (1) </w:t>
      </w:r>
      <w:r>
        <w:t xml:space="preserve">68</w:t>
      </w:r>
      <w:r>
        <w:tab/>
        <w:t xml:space="preserve">("RL 0903" ou RL0903).ti,ab. (1) </w:t>
      </w:r>
      <w:r>
        <w:t xml:space="preserve">69</w:t>
      </w:r>
      <w:r>
        <w:tab/>
        <w:t xml:space="preserve">("SPD </w:t>
      </w:r>
      <w:r>
        <w:t xml:space="preserve">424" </w:t>
      </w:r>
      <w:r>
        <w:t xml:space="preserve">ou </w:t>
      </w:r>
      <w:r>
        <w:t xml:space="preserve">SPD424).ti,ab. </w:t>
      </w:r>
      <w:r>
        <w:t xml:space="preserve">(1)</w:t>
      </w:r>
    </w:p>
    <w:p>
      <w:pPr>
        <w:pStyle w:val="Paragraphedeliste"/>
        <w:numPr>
          <w:ilvl w:val="0"/>
          <w:numId w:val="131"/>
        </w:numPr>
        <w:tabs>
          <w:tab w:val="left" w:pos="712"/>
          <w:tab w:val="left" w:pos="713"/>
        </w:tabs>
        <w:spacing w:before="1"/>
        <w:ind w:hanging="553"/>
      </w:pPr>
      <w:r>
        <w:t xml:space="preserve">goséréline.ti,ab. </w:t>
      </w:r>
      <w:r>
        <w:t xml:space="preserve">(875)</w:t>
      </w:r>
    </w:p>
    <w:p>
      <w:pPr>
        <w:pStyle w:val="Paragraphedeliste"/>
        <w:numPr>
          <w:ilvl w:val="0"/>
          <w:numId w:val="131"/>
        </w:numPr>
        <w:tabs>
          <w:tab w:val="left" w:pos="712"/>
          <w:tab w:val="left" w:pos="713"/>
        </w:tabs>
        <w:spacing w:before="38"/>
        <w:ind w:hanging="553"/>
      </w:pPr>
      <w:r>
        <w:t xml:space="preserve">Goséréline/ </w:t>
      </w:r>
      <w:r>
        <w:t xml:space="preserve">(1612)</w:t>
      </w:r>
    </w:p>
    <w:p>
      <w:pPr>
        <w:pStyle w:val="Corpsdetexte"/>
        <w:tabs>
          <w:tab w:val="left" w:pos="712"/>
        </w:tabs>
        <w:spacing w:before="39"/>
      </w:pPr>
      <w:r>
        <w:t xml:space="preserve">72</w:t>
      </w:r>
      <w:r>
        <w:tab/>
        <w:t xml:space="preserve">("ici </w:t>
      </w:r>
      <w:r>
        <w:t xml:space="preserve">118630" </w:t>
      </w:r>
      <w:r>
        <w:t xml:space="preserve">ou </w:t>
      </w:r>
      <w:r>
        <w:t xml:space="preserve">ici118630).ti,ab. </w:t>
      </w:r>
      <w:r>
        <w:t xml:space="preserve">(51)</w:t>
      </w:r>
    </w:p>
    <w:p>
      <w:pPr>
        <w:pStyle w:val="Corpsdetexte"/>
        <w:tabs>
          <w:tab w:val="left" w:pos="712"/>
        </w:tabs>
        <w:spacing w:before="38"/>
      </w:pPr>
      <w:r>
        <w:t xml:space="preserve">73</w:t>
      </w:r>
      <w:r>
        <w:tab/>
        <w:t xml:space="preserve">("ZD-9393" </w:t>
      </w:r>
      <w:r>
        <w:t xml:space="preserve">ou </w:t>
      </w:r>
      <w:r>
        <w:t xml:space="preserve">ZD9393).ti,ab. </w:t>
      </w:r>
      <w:r>
        <w:t xml:space="preserve">(0)</w:t>
      </w:r>
    </w:p>
    <w:p>
      <w:pPr>
        <w:pStyle w:val="Paragraphedeliste"/>
        <w:numPr>
          <w:ilvl w:val="0"/>
          <w:numId w:val="130"/>
        </w:numPr>
        <w:tabs>
          <w:tab w:val="left" w:pos="712"/>
          <w:tab w:val="left" w:pos="713"/>
        </w:tabs>
        <w:spacing w:before="38"/>
        <w:ind w:hanging="553"/>
      </w:pPr>
      <w:r>
        <w:t xml:space="preserve">zoladex.ti,ab. </w:t>
      </w:r>
      <w:r>
        <w:t xml:space="preserve">(379)</w:t>
      </w:r>
    </w:p>
    <w:p>
      <w:pPr>
        <w:pStyle w:val="Paragraphedeliste"/>
        <w:numPr>
          <w:ilvl w:val="0"/>
          <w:numId w:val="130"/>
        </w:numPr>
        <w:tabs>
          <w:tab w:val="left" w:pos="712"/>
          <w:tab w:val="left" w:pos="713"/>
        </w:tabs>
        <w:ind w:hanging="553"/>
      </w:pPr>
      <w:r>
        <w:t xml:space="preserve">leuprorelin.ti,ab. </w:t>
      </w:r>
      <w:r>
        <w:t xml:space="preserve">(413)</w:t>
      </w:r>
    </w:p>
    <w:p>
      <w:pPr>
        <w:pStyle w:val="Paragraphedeliste"/>
        <w:numPr>
          <w:ilvl w:val="0"/>
          <w:numId w:val="130"/>
        </w:numPr>
        <w:tabs>
          <w:tab w:val="left" w:pos="712"/>
          <w:tab w:val="left" w:pos="713"/>
        </w:tabs>
        <w:spacing w:before="38"/>
        <w:ind w:hanging="553"/>
      </w:pPr>
      <w:r>
        <w:t xml:space="preserve">carcinil.ti,ab. </w:t>
      </w:r>
      <w:r>
        <w:t xml:space="preserve">(0)</w:t>
      </w:r>
    </w:p>
    <w:p>
      <w:pPr>
        <w:pStyle w:val="Paragraphedeliste"/>
        <w:numPr>
          <w:ilvl w:val="0"/>
          <w:numId w:val="130"/>
        </w:numPr>
        <w:tabs>
          <w:tab w:val="left" w:pos="712"/>
          <w:tab w:val="left" w:pos="713"/>
        </w:tabs>
        <w:spacing w:before="39"/>
        <w:ind w:hanging="553"/>
      </w:pPr>
      <w:r>
        <w:t xml:space="preserve">enanton*.ti,ab. </w:t>
      </w:r>
      <w:r>
        <w:t xml:space="preserve">(23)</w:t>
      </w:r>
    </w:p>
    <w:p>
      <w:pPr>
        <w:pStyle w:val="Paragraphedeliste"/>
        <w:numPr>
          <w:ilvl w:val="0"/>
          <w:numId w:val="130"/>
        </w:numPr>
        <w:tabs>
          <w:tab w:val="left" w:pos="712"/>
          <w:tab w:val="left" w:pos="713"/>
        </w:tabs>
        <w:spacing w:before="38"/>
        <w:ind w:hanging="553"/>
      </w:pPr>
      <w:r>
        <w:t xml:space="preserve">ginecrin.ti,ab. </w:t>
      </w:r>
      <w:r>
        <w:t xml:space="preserve">(0)</w:t>
      </w:r>
    </w:p>
    <w:p>
      <w:pPr>
        <w:pStyle w:val="Paragraphedeliste"/>
        <w:numPr>
          <w:ilvl w:val="0"/>
          <w:numId w:val="130"/>
        </w:numPr>
        <w:tabs>
          <w:tab w:val="left" w:pos="712"/>
          <w:tab w:val="left" w:pos="713"/>
        </w:tabs>
        <w:ind w:hanging="553"/>
      </w:pPr>
      <w:r>
        <w:t xml:space="preserve">leuplin.ti,ab. </w:t>
      </w:r>
      <w:r>
        <w:t xml:space="preserve">(13)</w:t>
      </w:r>
    </w:p>
    <w:p>
      <w:pPr>
        <w:pStyle w:val="Paragraphedeliste"/>
        <w:numPr>
          <w:ilvl w:val="0"/>
          <w:numId w:val="130"/>
        </w:numPr>
        <w:tabs>
          <w:tab w:val="left" w:pos="712"/>
          <w:tab w:val="left" w:pos="713"/>
        </w:tabs>
        <w:spacing w:before="38"/>
        <w:ind w:hanging="553"/>
      </w:pPr>
      <w:r>
        <w:t xml:space="preserve">Leuprolide/ </w:t>
      </w:r>
      <w:r>
        <w:t xml:space="preserve">(2900)</w:t>
      </w:r>
    </w:p>
    <w:p>
      <w:pPr>
        <w:pStyle w:val="Paragraphedeliste"/>
        <w:numPr>
          <w:ilvl w:val="0"/>
          <w:numId w:val="130"/>
        </w:numPr>
        <w:tabs>
          <w:tab w:val="left" w:pos="712"/>
          <w:tab w:val="left" w:pos="713"/>
        </w:tabs>
        <w:spacing w:before="40"/>
        <w:ind w:hanging="553"/>
      </w:pPr>
      <w:r>
        <w:t xml:space="preserve">leuprolide.ti,ab. </w:t>
      </w:r>
      <w:r>
        <w:t xml:space="preserve">(1743)</w:t>
      </w:r>
    </w:p>
    <w:p>
      <w:pPr>
        <w:pStyle w:val="Paragraphedeliste"/>
        <w:numPr>
          <w:ilvl w:val="0"/>
          <w:numId w:val="130"/>
        </w:numPr>
        <w:tabs>
          <w:tab w:val="left" w:pos="712"/>
          <w:tab w:val="left" w:pos="713"/>
        </w:tabs>
        <w:ind w:hanging="553"/>
      </w:pPr>
      <w:r>
        <w:t xml:space="preserve">lucrin.ti,ab. </w:t>
      </w:r>
      <w:r>
        <w:t xml:space="preserve">(11)</w:t>
      </w:r>
    </w:p>
    <w:p>
      <w:pPr>
        <w:pStyle w:val="Paragraphedeliste"/>
        <w:numPr>
          <w:ilvl w:val="0"/>
          <w:numId w:val="130"/>
        </w:numPr>
        <w:tabs>
          <w:tab w:val="left" w:pos="712"/>
          <w:tab w:val="left" w:pos="713"/>
        </w:tabs>
        <w:ind w:hanging="553"/>
      </w:pPr>
      <w:r>
        <w:t xml:space="preserve">lupron.ti,ab. </w:t>
      </w:r>
      <w:r>
        <w:t xml:space="preserve">(162)</w:t>
      </w:r>
    </w:p>
    <w:p>
      <w:pPr>
        <w:pStyle w:val="Paragraphedeliste"/>
        <w:numPr>
          <w:ilvl w:val="0"/>
          <w:numId w:val="130"/>
        </w:numPr>
        <w:tabs>
          <w:tab w:val="left" w:pos="712"/>
          <w:tab w:val="left" w:pos="713"/>
        </w:tabs>
        <w:spacing w:before="38"/>
        <w:ind w:hanging="553"/>
      </w:pPr>
      <w:r>
        <w:t xml:space="preserve">provren.ti,ab. </w:t>
      </w:r>
      <w:r>
        <w:t xml:space="preserve">(0)</w:t>
      </w:r>
    </w:p>
    <w:p>
      <w:pPr>
        <w:pStyle w:val="Paragraphedeliste"/>
        <w:numPr>
          <w:ilvl w:val="0"/>
          <w:numId w:val="130"/>
        </w:numPr>
        <w:tabs>
          <w:tab w:val="left" w:pos="712"/>
          <w:tab w:val="left" w:pos="713"/>
        </w:tabs>
        <w:ind w:hanging="553"/>
      </w:pPr>
      <w:r>
        <w:t xml:space="preserve">procrine.ti,ab. </w:t>
      </w:r>
      <w:r>
        <w:t xml:space="preserve">(3)</w:t>
      </w:r>
    </w:p>
    <w:p>
      <w:pPr>
        <w:pStyle w:val="Corpsdetexte"/>
        <w:tabs>
          <w:tab w:val="left" w:pos="712"/>
        </w:tabs>
        <w:spacing w:before="40"/>
      </w:pPr>
      <w:r>
        <w:t xml:space="preserve">86</w:t>
      </w:r>
      <w:r>
        <w:tab/>
        <w:t xml:space="preserve">("tap </w:t>
      </w:r>
      <w:r>
        <w:t xml:space="preserve">144" </w:t>
      </w:r>
      <w:r>
        <w:t xml:space="preserve">ou </w:t>
      </w:r>
      <w:r>
        <w:t xml:space="preserve">tap144).ti,ab. </w:t>
      </w:r>
      <w:r>
        <w:t xml:space="preserve">(40)</w:t>
      </w:r>
    </w:p>
    <w:p>
      <w:pPr>
        <w:pStyle w:val="Corpsdetexte"/>
        <w:tabs>
          <w:tab w:val="left" w:pos="712"/>
        </w:tabs>
        <w:spacing w:before="38"/>
      </w:pPr>
      <w:r>
        <w:t xml:space="preserve">87</w:t>
      </w:r>
      <w:r>
        <w:tab/>
        <w:t xml:space="preserve">(a-43818 </w:t>
      </w:r>
      <w:r>
        <w:t xml:space="preserve">ou </w:t>
      </w:r>
      <w:r>
        <w:t xml:space="preserve">a43818).ti,ab. </w:t>
      </w:r>
      <w:r>
        <w:t xml:space="preserve">(3)</w:t>
      </w:r>
    </w:p>
    <w:p>
      <w:pPr>
        <w:pStyle w:val="Paragraphedeliste"/>
        <w:numPr>
          <w:ilvl w:val="0"/>
          <w:numId w:val="129"/>
        </w:numPr>
        <w:tabs>
          <w:tab w:val="left" w:pos="712"/>
          <w:tab w:val="left" w:pos="713"/>
        </w:tabs>
        <w:ind w:hanging="553"/>
      </w:pPr>
      <w:r>
        <w:t xml:space="preserve">Trenantone.ti,ab. </w:t>
      </w:r>
      <w:r>
        <w:t xml:space="preserve">(1)</w:t>
      </w:r>
    </w:p>
    <w:p>
      <w:pPr>
        <w:pStyle w:val="Paragraphedeliste"/>
        <w:numPr>
          <w:ilvl w:val="0"/>
          <w:numId w:val="129"/>
        </w:numPr>
        <w:tabs>
          <w:tab w:val="left" w:pos="712"/>
          <w:tab w:val="left" w:pos="713"/>
        </w:tabs>
        <w:spacing w:before="38"/>
        <w:ind w:hanging="553"/>
      </w:pPr>
      <w:r>
        <w:t xml:space="preserve">staladex.ti,ab. </w:t>
      </w:r>
      <w:r>
        <w:t xml:space="preserve">(0)</w:t>
      </w:r>
    </w:p>
    <w:p>
      <w:pPr>
        <w:pStyle w:val="Paragraphedeliste"/>
        <w:numPr>
          <w:ilvl w:val="0"/>
          <w:numId w:val="129"/>
        </w:numPr>
        <w:tabs>
          <w:tab w:val="left" w:pos="712"/>
          <w:tab w:val="left" w:pos="713"/>
        </w:tabs>
        <w:ind w:hanging="553"/>
      </w:pPr>
      <w:r>
        <w:t xml:space="preserve">prostap.ti,ab. </w:t>
      </w:r>
      <w:r>
        <w:t xml:space="preserve">(6)</w:t>
      </w:r>
    </w:p>
    <w:p>
      <w:pPr>
        <w:pStyle w:val="Paragraphedeliste"/>
        <w:numPr>
          <w:ilvl w:val="0"/>
          <w:numId w:val="129"/>
        </w:numPr>
        <w:tabs>
          <w:tab w:val="left" w:pos="712"/>
          <w:tab w:val="left" w:pos="713"/>
        </w:tabs>
        <w:spacing w:before="40"/>
        <w:ind w:hanging="553"/>
      </w:pPr>
      <w:r>
        <w:t xml:space="preserve">Nafarelin/ </w:t>
      </w:r>
      <w:r>
        <w:t xml:space="preserve">(327)</w:t>
      </w:r>
    </w:p>
    <w:p>
      <w:pPr>
        <w:pStyle w:val="Paragraphedeliste"/>
        <w:numPr>
          <w:ilvl w:val="0"/>
          <w:numId w:val="129"/>
        </w:numPr>
        <w:tabs>
          <w:tab w:val="left" w:pos="712"/>
          <w:tab w:val="left" w:pos="713"/>
        </w:tabs>
        <w:ind w:hanging="553"/>
      </w:pPr>
      <w:r>
        <w:t xml:space="preserve">nafarelin.ti,ab. </w:t>
      </w:r>
      <w:r>
        <w:t xml:space="preserve">(251)</w:t>
      </w:r>
    </w:p>
    <w:p>
      <w:pPr>
        <w:pStyle w:val="Corpsdetexte"/>
        <w:tabs>
          <w:tab w:val="left" w:pos="712"/>
        </w:tabs>
        <w:spacing w:before="38"/>
      </w:pPr>
      <w:r>
        <w:t xml:space="preserve">93</w:t>
      </w:r>
      <w:r>
        <w:tab/>
        <w:t xml:space="preserve">("76932-56-4" </w:t>
      </w:r>
      <w:r>
        <w:t xml:space="preserve">ou </w:t>
      </w:r>
      <w:r>
        <w:t xml:space="preserve">"76932564").ti,ab. </w:t>
      </w:r>
      <w:r>
        <w:t xml:space="preserve">(0)</w:t>
      </w:r>
    </w:p>
    <w:p>
      <w:pPr>
        <w:pStyle w:val="Corpsdetexte"/>
        <w:tabs>
          <w:tab w:val="left" w:pos="712"/>
        </w:tabs>
      </w:pPr>
      <w:r>
        <w:t xml:space="preserve">94</w:t>
      </w:r>
      <w:r>
        <w:tab/>
        <w:t xml:space="preserve">("76932-60-0" </w:t>
      </w:r>
      <w:r>
        <w:t xml:space="preserve">ou </w:t>
      </w:r>
      <w:r>
        <w:t xml:space="preserve">"76932600").ti,ab. </w:t>
      </w:r>
      <w:r>
        <w:t xml:space="preserve">(0)</w:t>
      </w:r>
    </w:p>
    <w:p>
      <w:pPr>
        <w:pStyle w:val="Corpsdetexte"/>
        <w:tabs>
          <w:tab w:val="left" w:pos="712"/>
        </w:tabs>
        <w:spacing w:before="40"/>
      </w:pPr>
      <w:r>
        <w:t xml:space="preserve">95</w:t>
      </w:r>
      <w:r>
        <w:tab/>
        <w:t xml:space="preserve">("86220-42-0" </w:t>
      </w:r>
      <w:r>
        <w:t xml:space="preserve">ou </w:t>
      </w:r>
      <w:r>
        <w:t xml:space="preserve">"86220420").ti,ab. </w:t>
      </w:r>
      <w:r>
        <w:t xml:space="preserve">(0)</w:t>
      </w:r>
    </w:p>
    <w:p>
      <w:pPr>
        <w:pStyle w:val="Corpsdetexte"/>
        <w:tabs>
          <w:tab w:val="left" w:pos="712"/>
        </w:tabs>
      </w:pPr>
      <w:r>
        <w:t xml:space="preserve">96</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128"/>
        </w:numPr>
        <w:tabs>
          <w:tab w:val="left" w:pos="712"/>
          <w:tab w:val="left" w:pos="713"/>
        </w:tabs>
        <w:spacing w:before="38"/>
        <w:ind w:hanging="553"/>
      </w:pPr>
      <w:r>
        <w:t xml:space="preserve">synarel.ti,ab. </w:t>
      </w:r>
      <w:r>
        <w:t xml:space="preserve">(12)</w:t>
      </w:r>
    </w:p>
    <w:p>
      <w:pPr>
        <w:pStyle w:val="Paragraphedeliste"/>
        <w:numPr>
          <w:ilvl w:val="0"/>
          <w:numId w:val="128"/>
        </w:numPr>
        <w:tabs>
          <w:tab w:val="left" w:pos="712"/>
          <w:tab w:val="left" w:pos="713"/>
        </w:tabs>
        <w:ind w:hanging="553"/>
      </w:pPr>
      <w:r>
        <w:t xml:space="preserve">deslorelin.ti,ab. </w:t>
      </w:r>
      <w:r>
        <w:t xml:space="preserve">(263)</w:t>
      </w:r>
    </w:p>
    <w:p>
      <w:pPr>
        <w:pStyle w:val="Paragraphedeliste"/>
        <w:numPr>
          <w:ilvl w:val="0"/>
          <w:numId w:val="128"/>
        </w:numPr>
        <w:tabs>
          <w:tab w:val="left" w:pos="712"/>
          <w:tab w:val="left" w:pos="713"/>
        </w:tabs>
        <w:spacing w:before="38"/>
        <w:ind w:hanging="553"/>
      </w:pPr>
      <w:r>
        <w:t xml:space="preserve">gonadorelin.ti,ab. </w:t>
      </w:r>
      <w:r>
        <w:t xml:space="preserve">(201)</w:t>
      </w:r>
    </w:p>
    <w:p>
      <w:pPr>
        <w:pStyle w:val="Corpsdetexte"/>
        <w:tabs>
          <w:tab w:val="left" w:pos="834"/>
        </w:tabs>
        <w:spacing w:before="40"/>
      </w:pPr>
      <w:r>
        <w:t xml:space="preserve">100</w:t>
      </w:r>
      <w:r>
        <w:tab/>
        <w:t xml:space="preserve">("33515-09-2" </w:t>
      </w:r>
      <w:r>
        <w:t xml:space="preserve">ou </w:t>
      </w:r>
      <w:r>
        <w:t xml:space="preserve">"33515092").ti,ab. </w:t>
      </w:r>
      <w:r>
        <w:t xml:space="preserve">(0)</w:t>
      </w:r>
    </w:p>
    <w:p>
      <w:pPr>
        <w:pStyle w:val="Corpsdetexte"/>
        <w:tabs>
          <w:tab w:val="left" w:pos="834"/>
        </w:tabs>
        <w:spacing w:before="38"/>
      </w:pPr>
      <w:r>
        <w:t xml:space="preserve">101</w:t>
      </w:r>
      <w:r>
        <w:tab/>
        <w:t xml:space="preserve">("51952-41-1" </w:t>
      </w:r>
      <w:r>
        <w:t xml:space="preserve">ou </w:t>
      </w:r>
      <w:r>
        <w:t xml:space="preserve">"51952411").ti,ab. </w:t>
      </w:r>
      <w:r>
        <w:t xml:space="preserve">(0)</w:t>
      </w:r>
    </w:p>
    <w:p>
      <w:pPr>
        <w:pStyle w:val="Corpsdetexte"/>
        <w:tabs>
          <w:tab w:val="left" w:pos="834"/>
        </w:tabs>
      </w:pPr>
      <w:r>
        <w:t xml:space="preserve">102</w:t>
      </w:r>
      <w:r>
        <w:tab/>
        <w:t xml:space="preserve">("52699-48-6" </w:t>
      </w:r>
      <w:r>
        <w:t xml:space="preserve">ou </w:t>
      </w:r>
      <w:r>
        <w:t xml:space="preserve">"52699486").ti,ab. </w:t>
      </w:r>
      <w:r>
        <w:t xml:space="preserve">(0)</w:t>
      </w:r>
    </w:p>
    <w:p>
      <w:pPr>
        <w:pStyle w:val="Paragraphedeliste"/>
        <w:numPr>
          <w:ilvl w:val="0"/>
          <w:numId w:val="127"/>
        </w:numPr>
        <w:tabs>
          <w:tab w:val="left" w:pos="834"/>
          <w:tab w:val="left" w:pos="835"/>
        </w:tabs>
      </w:pPr>
      <w:r>
        <w:t xml:space="preserve">cetrorelix.ti,ab. </w:t>
      </w:r>
      <w:r>
        <w:t xml:space="preserve">(463)</w:t>
      </w:r>
    </w:p>
    <w:p>
      <w:pPr>
        <w:pStyle w:val="Paragraphedeliste"/>
        <w:numPr>
          <w:ilvl w:val="0"/>
          <w:numId w:val="127"/>
        </w:numPr>
        <w:tabs>
          <w:tab w:val="left" w:pos="834"/>
          <w:tab w:val="left" w:pos="835"/>
        </w:tabs>
        <w:spacing w:before="40"/>
      </w:pPr>
      <w:r>
        <w:t xml:space="preserve">cetrotide.ti,ab. </w:t>
      </w:r>
      <w:r>
        <w:t xml:space="preserve">(41)</w:t>
      </w:r>
    </w:p>
    <w:p>
      <w:pPr>
        <w:pStyle w:val="Corpsdetexte"/>
        <w:tabs>
          <w:tab w:val="left" w:pos="834"/>
        </w:tabs>
        <w:spacing w:before="38"/>
      </w:pPr>
      <w:r>
        <w:t xml:space="preserve">105</w:t>
      </w:r>
      <w:r>
        <w:tab/>
        <w:t xml:space="preserve">("NS </w:t>
      </w:r>
      <w:r>
        <w:t xml:space="preserve">75A" </w:t>
      </w:r>
      <w:r>
        <w:t xml:space="preserve">ou </w:t>
      </w:r>
      <w:r>
        <w:t xml:space="preserve">NS75A).ti,ab. </w:t>
      </w:r>
      <w:r>
        <w:t xml:space="preserve">(0)</w:t>
      </w:r>
    </w:p>
    <w:p>
      <w:pPr>
        <w:pStyle w:val="Corpsdetexte"/>
        <w:tabs>
          <w:tab w:val="left" w:pos="834"/>
        </w:tabs>
      </w:pPr>
      <w:r>
        <w:t xml:space="preserve">106</w:t>
      </w:r>
      <w:r>
        <w:tab/>
        <w:t xml:space="preserve">("NS </w:t>
      </w:r>
      <w:r>
        <w:t xml:space="preserve">75B</w:t>
      </w:r>
      <w:r>
        <w:t xml:space="preserve">" </w:t>
      </w:r>
      <w:r>
        <w:t xml:space="preserve">ou </w:t>
      </w:r>
      <w:r>
        <w:t xml:space="preserve">NS75B).ti,ab. </w:t>
      </w:r>
      <w:r>
        <w:t xml:space="preserve">(0)</w:t>
      </w:r>
    </w:p>
    <w:p w:rsidR="00432386" w:rsidRDefault="00432386">
      <w:pPr>
        <w:sectPr w:rsidR="00432386">
          <w:pgSz w:w="11910" w:h="16840"/>
          <w:pgMar w:top="1180" w:right="980" w:bottom="1460" w:left="1280" w:header="0" w:footer="1183" w:gutter="0"/>
          <w:cols w:space="720"/>
        </w:sectPr>
      </w:pPr>
    </w:p>
    <w:tbl>
      <w:tblPr>
        <w:tblStyle w:val="TableNormal"/>
        <w:tblW w:w="0" w:type="auto"/>
        <w:tblInd w:w="117" w:type="dxa"/>
        <w:tblLayout w:type="fixed"/>
        <w:tblLook w:val="01e0"/>
      </w:tblPr>
      <w:tblGrid>
        <w:gridCol w:w="583"/>
        <w:gridCol w:w="8534"/>
      </w:tblGrid>
      <w:tr w:rsidR="00432386">
        <w:trPr>
          <w:trHeight w:val="268"/>
        </w:trPr>
        <w:tc>
          <w:tcPr>
            <w:tcW w:w="583" w:type="dxa"/>
          </w:tcPr>
          <w:p>
            <w:pPr>
              <w:pStyle w:val="TableParagraph"/>
              <w:spacing w:line="247" w:lineRule="exact"/>
              <w:ind w:start="50"/>
            </w:pPr>
            <w:r>
              <w:lastRenderedPageBreak/>
              <w:t xml:space="preserve">107</w:t>
            </w:r>
          </w:p>
        </w:tc>
        <w:tc>
          <w:tcPr>
            <w:tcW w:w="8534" w:type="dxa"/>
          </w:tcPr>
          <w:p>
            <w:pPr>
              <w:pStyle w:val="TableParagraph"/>
              <w:spacing w:line="247" w:lineRule="exact"/>
              <w:ind w:start="141"/>
            </w:pPr>
            <w:r>
              <w:t xml:space="preserve">("SB </w:t>
            </w:r>
            <w:r>
              <w:t xml:space="preserve">075" </w:t>
            </w:r>
            <w:r>
              <w:t xml:space="preserve">ou </w:t>
            </w:r>
            <w:r>
              <w:t xml:space="preserve">SB075).ti,ab. </w:t>
            </w:r>
            <w:r>
              <w:t xml:space="preserve">(0)</w:t>
            </w:r>
          </w:p>
        </w:tc>
      </w:tr>
      <w:tr w:rsidR="00432386">
        <w:trPr>
          <w:trHeight w:val="290"/>
        </w:trPr>
        <w:tc>
          <w:tcPr>
            <w:tcW w:w="583" w:type="dxa"/>
          </w:tcPr>
          <w:p>
            <w:pPr>
              <w:pStyle w:val="TableParagraph"/>
              <w:spacing w:before="15"/>
              <w:ind w:start="50"/>
            </w:pPr>
            <w:r>
              <w:t xml:space="preserve">108</w:t>
            </w:r>
          </w:p>
        </w:tc>
        <w:tc>
          <w:tcPr>
            <w:tcW w:w="8534" w:type="dxa"/>
          </w:tcPr>
          <w:p>
            <w:pPr>
              <w:pStyle w:val="TableParagraph"/>
              <w:spacing w:before="15"/>
              <w:ind w:start="141"/>
            </w:pPr>
            <w:r>
              <w:t xml:space="preserve">("SB </w:t>
            </w:r>
            <w:r>
              <w:t xml:space="preserve">75" </w:t>
            </w:r>
            <w:r>
              <w:t xml:space="preserve">ou </w:t>
            </w:r>
            <w:r>
              <w:t xml:space="preserve">SB75).ti,ab. </w:t>
            </w:r>
            <w:r>
              <w:t xml:space="preserve">(63)</w:t>
            </w:r>
          </w:p>
        </w:tc>
      </w:tr>
      <w:tr w:rsidR="00432386">
        <w:trPr>
          <w:trHeight w:val="290"/>
        </w:trPr>
        <w:tc>
          <w:tcPr>
            <w:tcW w:w="583" w:type="dxa"/>
          </w:tcPr>
          <w:p>
            <w:pPr>
              <w:pStyle w:val="TableParagraph"/>
              <w:spacing w:before="15"/>
              <w:ind w:start="50"/>
            </w:pPr>
            <w:r>
              <w:t xml:space="preserve">109</w:t>
            </w:r>
          </w:p>
        </w:tc>
        <w:tc>
          <w:tcPr>
            <w:tcW w:w="8534" w:type="dxa"/>
          </w:tcPr>
          <w:p>
            <w:pPr>
              <w:pStyle w:val="TableParagraph"/>
              <w:spacing w:before="15"/>
              <w:ind w:start="141"/>
            </w:pPr>
            <w:r>
              <w:t xml:space="preserve">gonadoliberin.ti,ab. </w:t>
            </w:r>
            <w:r>
              <w:t xml:space="preserve">(143)</w:t>
            </w:r>
          </w:p>
        </w:tc>
      </w:tr>
      <w:tr w:rsidR="00432386">
        <w:trPr>
          <w:trHeight w:val="291"/>
        </w:trPr>
        <w:tc>
          <w:tcPr>
            <w:tcW w:w="583" w:type="dxa"/>
          </w:tcPr>
          <w:p>
            <w:pPr>
              <w:pStyle w:val="TableParagraph"/>
              <w:spacing w:before="15"/>
              <w:ind w:start="50"/>
            </w:pPr>
            <w:r>
              <w:t xml:space="preserve">110</w:t>
            </w:r>
          </w:p>
        </w:tc>
        <w:tc>
          <w:tcPr>
            <w:tcW w:w="8534" w:type="dxa"/>
          </w:tcPr>
          <w:p>
            <w:pPr>
              <w:pStyle w:val="TableParagraph"/>
              <w:spacing w:before="15"/>
              <w:ind w:start="141"/>
            </w:pPr>
            <w:r>
              <w:t xml:space="preserve">kryptocur.ti,ab. </w:t>
            </w:r>
            <w:r>
              <w:t xml:space="preserve">(6)</w:t>
            </w:r>
          </w:p>
        </w:tc>
      </w:tr>
      <w:tr w:rsidR="00432386">
        <w:trPr>
          <w:trHeight w:val="291"/>
        </w:trPr>
        <w:tc>
          <w:tcPr>
            <w:tcW w:w="583" w:type="dxa"/>
          </w:tcPr>
          <w:p>
            <w:pPr>
              <w:pStyle w:val="TableParagraph"/>
              <w:spacing w:before="16"/>
              <w:ind w:start="50"/>
            </w:pPr>
            <w:r>
              <w:t xml:space="preserve">111</w:t>
            </w:r>
          </w:p>
        </w:tc>
        <w:tc>
          <w:tcPr>
            <w:tcW w:w="8534" w:type="dxa"/>
          </w:tcPr>
          <w:p>
            <w:pPr>
              <w:pStyle w:val="TableParagraph"/>
              <w:spacing w:before="16"/>
              <w:ind w:start="141"/>
            </w:pPr>
            <w:r>
              <w:t xml:space="preserve">cetrorelix.ti,ab. </w:t>
            </w:r>
            <w:r>
              <w:t xml:space="preserve">(463)</w:t>
            </w:r>
          </w:p>
        </w:tc>
      </w:tr>
      <w:tr w:rsidR="00432386">
        <w:trPr>
          <w:trHeight w:val="290"/>
        </w:trPr>
        <w:tc>
          <w:tcPr>
            <w:tcW w:w="583" w:type="dxa"/>
          </w:tcPr>
          <w:p>
            <w:pPr>
              <w:pStyle w:val="TableParagraph"/>
              <w:spacing w:before="15"/>
              <w:ind w:start="50"/>
            </w:pPr>
            <w:r>
              <w:t xml:space="preserve">112</w:t>
            </w:r>
          </w:p>
        </w:tc>
        <w:tc>
          <w:tcPr>
            <w:tcW w:w="8534" w:type="dxa"/>
          </w:tcPr>
          <w:p>
            <w:pPr>
              <w:pStyle w:val="TableParagraph"/>
              <w:spacing w:before="15"/>
              <w:ind w:start="141"/>
            </w:pPr>
            <w:r>
              <w:t xml:space="preserve">cetrotide.ti,ab. </w:t>
            </w:r>
            <w:r>
              <w:t xml:space="preserve">(41)</w:t>
            </w:r>
          </w:p>
        </w:tc>
      </w:tr>
      <w:tr w:rsidR="00432386">
        <w:trPr>
          <w:trHeight w:val="290"/>
        </w:trPr>
        <w:tc>
          <w:tcPr>
            <w:tcW w:w="583" w:type="dxa"/>
          </w:tcPr>
          <w:p>
            <w:pPr>
              <w:pStyle w:val="TableParagraph"/>
              <w:spacing w:before="15"/>
              <w:ind w:start="50"/>
            </w:pPr>
            <w:r>
              <w:t xml:space="preserve">113</w:t>
            </w:r>
          </w:p>
        </w:tc>
        <w:tc>
          <w:tcPr>
            <w:tcW w:w="8534" w:type="dxa"/>
          </w:tcPr>
          <w:p>
            <w:pPr>
              <w:pStyle w:val="TableParagraph"/>
              <w:spacing w:before="15"/>
              <w:ind w:start="141"/>
            </w:pPr>
            <w:r>
              <w:t xml:space="preserve">antagoniste.ti,ab. </w:t>
            </w:r>
            <w:r>
              <w:t xml:space="preserve">(17)</w:t>
            </w:r>
          </w:p>
        </w:tc>
      </w:tr>
      <w:tr w:rsidR="00432386">
        <w:trPr>
          <w:trHeight w:val="290"/>
        </w:trPr>
        <w:tc>
          <w:tcPr>
            <w:tcW w:w="583" w:type="dxa"/>
          </w:tcPr>
          <w:p>
            <w:pPr>
              <w:pStyle w:val="TableParagraph"/>
              <w:spacing w:before="15"/>
              <w:ind w:start="50"/>
            </w:pPr>
            <w:r>
              <w:t xml:space="preserve">114</w:t>
            </w:r>
          </w:p>
        </w:tc>
        <w:tc>
          <w:tcPr>
            <w:tcW w:w="8534" w:type="dxa"/>
          </w:tcPr>
          <w:p>
            <w:pPr>
              <w:pStyle w:val="TableParagraph"/>
              <w:spacing w:before="15"/>
              <w:ind w:start="141"/>
            </w:pPr>
            <w:r>
              <w:t xml:space="preserve">ganirelix.ti,ab. </w:t>
            </w:r>
            <w:r>
              <w:t xml:space="preserve">(138)</w:t>
            </w:r>
          </w:p>
        </w:tc>
      </w:tr>
      <w:tr w:rsidR="00432386">
        <w:trPr>
          <w:trHeight w:val="291"/>
        </w:trPr>
        <w:tc>
          <w:tcPr>
            <w:tcW w:w="583" w:type="dxa"/>
          </w:tcPr>
          <w:p>
            <w:pPr>
              <w:pStyle w:val="TableParagraph"/>
              <w:spacing w:before="15"/>
              <w:ind w:start="50"/>
            </w:pPr>
            <w:r>
              <w:t xml:space="preserve">115</w:t>
            </w:r>
          </w:p>
        </w:tc>
        <w:tc>
          <w:tcPr>
            <w:tcW w:w="8534" w:type="dxa"/>
          </w:tcPr>
          <w:p>
            <w:pPr>
              <w:pStyle w:val="TableParagraph"/>
              <w:spacing w:before="15"/>
              <w:ind w:start="141"/>
            </w:pPr>
            <w:r>
              <w:t xml:space="preserve">("ORG </w:t>
            </w:r>
            <w:r>
              <w:t xml:space="preserve">37462" </w:t>
            </w:r>
            <w:r>
              <w:t xml:space="preserve">ou </w:t>
            </w:r>
            <w:r>
              <w:t xml:space="preserve">ORG37462).ti,ab. </w:t>
            </w:r>
            <w:r>
              <w:t xml:space="preserve">(3)</w:t>
            </w:r>
          </w:p>
        </w:tc>
      </w:tr>
      <w:tr w:rsidR="00432386">
        <w:trPr>
          <w:trHeight w:val="291"/>
        </w:trPr>
        <w:tc>
          <w:tcPr>
            <w:tcW w:w="583" w:type="dxa"/>
          </w:tcPr>
          <w:p>
            <w:pPr>
              <w:pStyle w:val="TableParagraph"/>
              <w:spacing w:before="16"/>
              <w:ind w:start="50"/>
            </w:pPr>
            <w:r>
              <w:t xml:space="preserve">116</w:t>
            </w:r>
          </w:p>
        </w:tc>
        <w:tc>
          <w:tcPr>
            <w:tcW w:w="8534" w:type="dxa"/>
          </w:tcPr>
          <w:p>
            <w:pPr>
              <w:pStyle w:val="TableParagraph"/>
              <w:spacing w:before="16"/>
              <w:ind w:start="141"/>
            </w:pPr>
            <w:r>
              <w:t xml:space="preserve">orgalutran.ti,ab. </w:t>
            </w:r>
            <w:r>
              <w:t xml:space="preserve">(20)</w:t>
            </w:r>
          </w:p>
        </w:tc>
      </w:tr>
      <w:tr w:rsidR="00432386">
        <w:trPr>
          <w:trHeight w:val="290"/>
        </w:trPr>
        <w:tc>
          <w:tcPr>
            <w:tcW w:w="583" w:type="dxa"/>
          </w:tcPr>
          <w:p>
            <w:pPr>
              <w:pStyle w:val="TableParagraph"/>
              <w:spacing w:before="15"/>
              <w:ind w:start="50"/>
            </w:pPr>
            <w:r>
              <w:t xml:space="preserve">117</w:t>
            </w:r>
          </w:p>
        </w:tc>
        <w:tc>
          <w:tcPr>
            <w:tcW w:w="8534" w:type="dxa"/>
          </w:tcPr>
          <w:p>
            <w:pPr>
              <w:pStyle w:val="TableParagraph"/>
              <w:spacing w:before="15"/>
              <w:ind w:start="141"/>
            </w:pPr>
            <w:r>
              <w:t xml:space="preserve">("RS </w:t>
            </w:r>
            <w:r>
              <w:t xml:space="preserve">26306" </w:t>
            </w:r>
            <w:r>
              <w:t xml:space="preserve">ou </w:t>
            </w:r>
            <w:r>
              <w:t xml:space="preserve">RS26306).ti,ab. </w:t>
            </w:r>
            <w:r>
              <w:t xml:space="preserve">(5)</w:t>
            </w:r>
          </w:p>
        </w:tc>
      </w:tr>
      <w:tr w:rsidR="00432386">
        <w:trPr>
          <w:trHeight w:val="290"/>
        </w:trPr>
        <w:tc>
          <w:tcPr>
            <w:tcW w:w="583" w:type="dxa"/>
          </w:tcPr>
          <w:p>
            <w:pPr>
              <w:pStyle w:val="TableParagraph"/>
              <w:spacing w:before="15"/>
              <w:ind w:start="50"/>
            </w:pPr>
            <w:r>
              <w:t xml:space="preserve">118</w:t>
            </w:r>
          </w:p>
        </w:tc>
        <w:tc>
          <w:tcPr>
            <w:tcW w:w="8534" w:type="dxa"/>
          </w:tcPr>
          <w:p>
            <w:pPr>
              <w:pStyle w:val="TableParagraph"/>
              <w:spacing w:before="15"/>
              <w:ind w:start="141"/>
            </w:pPr>
            <w:r>
              <w:t xml:space="preserve">("AY </w:t>
            </w:r>
            <w:r>
              <w:t xml:space="preserve">24031" </w:t>
            </w:r>
            <w:r>
              <w:t xml:space="preserve">ou </w:t>
            </w:r>
            <w:r>
              <w:t xml:space="preserve">AY24031).ti,ab. </w:t>
            </w:r>
            <w:r>
              <w:t xml:space="preserve">(0)</w:t>
            </w:r>
          </w:p>
        </w:tc>
      </w:tr>
      <w:tr w:rsidR="00432386">
        <w:trPr>
          <w:trHeight w:val="291"/>
        </w:trPr>
        <w:tc>
          <w:tcPr>
            <w:tcW w:w="583" w:type="dxa"/>
          </w:tcPr>
          <w:p>
            <w:pPr>
              <w:pStyle w:val="TableParagraph"/>
              <w:spacing w:before="15"/>
              <w:ind w:start="50"/>
            </w:pPr>
            <w:r>
              <w:t xml:space="preserve">119</w:t>
            </w:r>
          </w:p>
        </w:tc>
        <w:tc>
          <w:tcPr>
            <w:tcW w:w="8534" w:type="dxa"/>
          </w:tcPr>
          <w:p>
            <w:pPr>
              <w:pStyle w:val="TableParagraph"/>
              <w:spacing w:before="15"/>
              <w:ind w:start="141"/>
            </w:pPr>
            <w:r>
              <w:t xml:space="preserve">factrel.ti,ab. </w:t>
            </w:r>
            <w:r>
              <w:t xml:space="preserve">(11)</w:t>
            </w:r>
          </w:p>
        </w:tc>
      </w:tr>
      <w:tr w:rsidR="00432386">
        <w:trPr>
          <w:trHeight w:val="291"/>
        </w:trPr>
        <w:tc>
          <w:tcPr>
            <w:tcW w:w="583" w:type="dxa"/>
          </w:tcPr>
          <w:p>
            <w:pPr>
              <w:pStyle w:val="TableParagraph"/>
              <w:spacing w:before="16"/>
              <w:ind w:start="50"/>
            </w:pPr>
            <w:r>
              <w:t xml:space="preserve">120</w:t>
            </w:r>
          </w:p>
        </w:tc>
        <w:tc>
          <w:tcPr>
            <w:tcW w:w="8534" w:type="dxa"/>
          </w:tcPr>
          <w:p>
            <w:pPr>
              <w:pStyle w:val="TableParagraph"/>
              <w:spacing w:before="16"/>
              <w:ind w:start="141"/>
            </w:pPr>
            <w:r>
              <w:t xml:space="preserve">fertagyl.ti,ab. </w:t>
            </w:r>
            <w:r>
              <w:t xml:space="preserve">(11)</w:t>
            </w:r>
          </w:p>
        </w:tc>
      </w:tr>
      <w:tr w:rsidR="00432386">
        <w:trPr>
          <w:trHeight w:val="290"/>
        </w:trPr>
        <w:tc>
          <w:tcPr>
            <w:tcW w:w="583" w:type="dxa"/>
          </w:tcPr>
          <w:p>
            <w:pPr>
              <w:pStyle w:val="TableParagraph"/>
              <w:spacing w:before="15"/>
              <w:ind w:start="50"/>
            </w:pPr>
            <w:r>
              <w:t xml:space="preserve">121</w:t>
            </w:r>
          </w:p>
        </w:tc>
        <w:tc>
          <w:tcPr>
            <w:tcW w:w="8534" w:type="dxa"/>
          </w:tcPr>
          <w:p>
            <w:pPr>
              <w:pStyle w:val="TableParagraph"/>
              <w:spacing w:before="15"/>
              <w:ind w:start="141"/>
            </w:pPr>
            <w:r>
              <w:t xml:space="preserve">lutrelef.ti,ab. </w:t>
            </w:r>
            <w:r>
              <w:t xml:space="preserve">(5)</w:t>
            </w:r>
          </w:p>
        </w:tc>
      </w:tr>
      <w:tr w:rsidR="00432386">
        <w:trPr>
          <w:trHeight w:val="290"/>
        </w:trPr>
        <w:tc>
          <w:tcPr>
            <w:tcW w:w="583" w:type="dxa"/>
          </w:tcPr>
          <w:p>
            <w:pPr>
              <w:pStyle w:val="TableParagraph"/>
              <w:spacing w:before="15"/>
              <w:ind w:start="50"/>
            </w:pPr>
            <w:r>
              <w:t xml:space="preserve">122</w:t>
            </w:r>
          </w:p>
        </w:tc>
        <w:tc>
          <w:tcPr>
            <w:tcW w:w="8534" w:type="dxa"/>
          </w:tcPr>
          <w:p>
            <w:pPr>
              <w:pStyle w:val="TableParagraph"/>
              <w:spacing w:before="15"/>
              <w:ind w:start="141"/>
            </w:pPr>
            <w:r>
              <w:t xml:space="preserve">lutrepulse.ti,ab. </w:t>
            </w:r>
            <w:r>
              <w:t xml:space="preserve">(3)</w:t>
            </w:r>
          </w:p>
        </w:tc>
      </w:tr>
      <w:tr w:rsidR="00432386">
        <w:trPr>
          <w:trHeight w:val="290"/>
        </w:trPr>
        <w:tc>
          <w:tcPr>
            <w:tcW w:w="583" w:type="dxa"/>
          </w:tcPr>
          <w:p>
            <w:pPr>
              <w:pStyle w:val="TableParagraph"/>
              <w:spacing w:before="15"/>
              <w:ind w:start="50"/>
            </w:pPr>
            <w:r>
              <w:t xml:space="preserve">123</w:t>
            </w:r>
          </w:p>
        </w:tc>
        <w:tc>
          <w:tcPr>
            <w:tcW w:w="8534" w:type="dxa"/>
          </w:tcPr>
          <w:p>
            <w:pPr>
              <w:pStyle w:val="TableParagraph"/>
              <w:spacing w:before="15"/>
              <w:ind w:start="141"/>
            </w:pPr>
            <w:r>
              <w:t xml:space="preserve">relefact.ti,ab. </w:t>
            </w:r>
            <w:r>
              <w:t xml:space="preserve">(10)</w:t>
            </w:r>
          </w:p>
        </w:tc>
      </w:tr>
      <w:tr w:rsidR="00432386">
        <w:trPr>
          <w:trHeight w:val="291"/>
        </w:trPr>
        <w:tc>
          <w:tcPr>
            <w:tcW w:w="583" w:type="dxa"/>
          </w:tcPr>
          <w:p>
            <w:pPr>
              <w:pStyle w:val="TableParagraph"/>
              <w:spacing w:before="15"/>
              <w:ind w:start="50"/>
            </w:pPr>
            <w:r>
              <w:t xml:space="preserve">124</w:t>
            </w:r>
          </w:p>
        </w:tc>
        <w:tc>
          <w:tcPr>
            <w:tcW w:w="8534" w:type="dxa"/>
          </w:tcPr>
          <w:p>
            <w:pPr>
              <w:pStyle w:val="TableParagraph"/>
              <w:spacing w:before="15"/>
              <w:ind w:start="141"/>
            </w:pPr>
            <w:r>
              <w:t xml:space="preserve">fertiral.ti,ab. </w:t>
            </w:r>
            <w:r>
              <w:t xml:space="preserve">(0)</w:t>
            </w:r>
          </w:p>
        </w:tc>
      </w:tr>
      <w:tr w:rsidR="00432386">
        <w:trPr>
          <w:trHeight w:val="291"/>
        </w:trPr>
        <w:tc>
          <w:tcPr>
            <w:tcW w:w="583" w:type="dxa"/>
          </w:tcPr>
          <w:p>
            <w:pPr>
              <w:pStyle w:val="TableParagraph"/>
              <w:spacing w:before="16"/>
              <w:ind w:start="50"/>
            </w:pPr>
            <w:r>
              <w:t xml:space="preserve">125</w:t>
            </w:r>
          </w:p>
        </w:tc>
        <w:tc>
          <w:tcPr>
            <w:tcW w:w="8534" w:type="dxa"/>
          </w:tcPr>
          <w:p>
            <w:pPr>
              <w:pStyle w:val="TableParagraph"/>
              <w:spacing w:before="16"/>
              <w:ind w:start="141"/>
            </w:pPr>
            <w:r>
              <w:t xml:space="preserve">(hoe471 </w:t>
            </w:r>
            <w:r>
              <w:t xml:space="preserve">ou </w:t>
            </w:r>
            <w:r>
              <w:t xml:space="preserve">"hoe </w:t>
            </w:r>
            <w:r>
              <w:t xml:space="preserve">471").ti,ab. </w:t>
            </w:r>
            <w:r>
              <w:t xml:space="preserve">(6)</w:t>
            </w:r>
          </w:p>
        </w:tc>
      </w:tr>
      <w:tr w:rsidR="00432386">
        <w:trPr>
          <w:trHeight w:val="290"/>
        </w:trPr>
        <w:tc>
          <w:tcPr>
            <w:tcW w:w="583" w:type="dxa"/>
          </w:tcPr>
          <w:p>
            <w:pPr>
              <w:pStyle w:val="TableParagraph"/>
              <w:spacing w:before="15"/>
              <w:ind w:start="50"/>
            </w:pPr>
            <w:r>
              <w:t xml:space="preserve">126</w:t>
            </w:r>
          </w:p>
        </w:tc>
        <w:tc>
          <w:tcPr>
            <w:tcW w:w="8534" w:type="dxa"/>
          </w:tcPr>
          <w:p>
            <w:pPr>
              <w:pStyle w:val="TableParagraph"/>
              <w:spacing w:before="15"/>
              <w:ind w:start="141"/>
            </w:pPr>
            <w:r>
              <w:t xml:space="preserve">relisorm.ti,ab. </w:t>
            </w:r>
            <w:r>
              <w:t xml:space="preserve">(4)</w:t>
            </w:r>
          </w:p>
        </w:tc>
      </w:tr>
      <w:tr w:rsidR="00432386">
        <w:trPr>
          <w:trHeight w:val="290"/>
        </w:trPr>
        <w:tc>
          <w:tcPr>
            <w:tcW w:w="583" w:type="dxa"/>
          </w:tcPr>
          <w:p>
            <w:pPr>
              <w:pStyle w:val="TableParagraph"/>
              <w:spacing w:before="15"/>
              <w:ind w:start="50"/>
            </w:pPr>
            <w:r>
              <w:t xml:space="preserve">127</w:t>
            </w:r>
          </w:p>
        </w:tc>
        <w:tc>
          <w:tcPr>
            <w:tcW w:w="8534" w:type="dxa"/>
          </w:tcPr>
          <w:p>
            <w:pPr>
              <w:pStyle w:val="TableParagraph"/>
              <w:spacing w:before="15"/>
              <w:ind w:start="141"/>
            </w:pPr>
            <w:r>
              <w:t xml:space="preserve">cystorelin.ti,ab. </w:t>
            </w:r>
            <w:r>
              <w:t xml:space="preserve">(18)</w:t>
            </w:r>
          </w:p>
        </w:tc>
      </w:tr>
      <w:tr w:rsidR="00432386">
        <w:trPr>
          <w:trHeight w:val="291"/>
        </w:trPr>
        <w:tc>
          <w:tcPr>
            <w:tcW w:w="583" w:type="dxa"/>
          </w:tcPr>
          <w:p>
            <w:pPr>
              <w:pStyle w:val="TableParagraph"/>
              <w:spacing w:before="15"/>
              <w:ind w:start="50"/>
            </w:pPr>
            <w:r>
              <w:t xml:space="preserve">128</w:t>
            </w:r>
          </w:p>
        </w:tc>
        <w:tc>
          <w:tcPr>
            <w:tcW w:w="8534" w:type="dxa"/>
          </w:tcPr>
          <w:p>
            <w:pPr>
              <w:pStyle w:val="TableParagraph"/>
              <w:spacing w:before="15"/>
              <w:ind w:start="141"/>
            </w:pPr>
            <w:r>
              <w:t xml:space="preserve">dirigestran.ti,ab. </w:t>
            </w:r>
            <w:r>
              <w:t xml:space="preserve">(5)</w:t>
            </w:r>
          </w:p>
        </w:tc>
      </w:tr>
      <w:tr w:rsidR="00432386">
        <w:trPr>
          <w:trHeight w:val="291"/>
        </w:trPr>
        <w:tc>
          <w:tcPr>
            <w:tcW w:w="583" w:type="dxa"/>
          </w:tcPr>
          <w:p>
            <w:pPr>
              <w:pStyle w:val="TableParagraph"/>
              <w:spacing w:before="16"/>
              <w:ind w:start="50"/>
            </w:pPr>
            <w:r>
              <w:t xml:space="preserve">129</w:t>
            </w:r>
          </w:p>
        </w:tc>
        <w:tc>
          <w:tcPr>
            <w:tcW w:w="8534" w:type="dxa"/>
          </w:tcPr>
          <w:p>
            <w:pPr>
              <w:pStyle w:val="TableParagraph"/>
              <w:spacing w:before="16"/>
              <w:ind w:start="141"/>
            </w:pPr>
            <w:r>
              <w:t xml:space="preserve">ou/33-128 </w:t>
            </w:r>
            <w:r>
              <w:t xml:space="preserve">(42216)</w:t>
            </w:r>
          </w:p>
        </w:tc>
      </w:tr>
      <w:tr w:rsidR="00432386">
        <w:trPr>
          <w:trHeight w:val="290"/>
        </w:trPr>
        <w:tc>
          <w:tcPr>
            <w:tcW w:w="583" w:type="dxa"/>
          </w:tcPr>
          <w:p>
            <w:pPr>
              <w:pStyle w:val="TableParagraph"/>
              <w:spacing w:before="15"/>
              <w:ind w:start="50"/>
            </w:pPr>
            <w:r>
              <w:t xml:space="preserve">130</w:t>
            </w:r>
          </w:p>
        </w:tc>
        <w:tc>
          <w:tcPr>
            <w:tcW w:w="8534" w:type="dxa"/>
          </w:tcPr>
          <w:p>
            <w:pPr>
              <w:pStyle w:val="TableParagraph"/>
              <w:spacing w:before="15"/>
              <w:ind w:start="141"/>
            </w:pPr>
            <w:r>
              <w:t xml:space="preserve">32 </w:t>
            </w:r>
            <w:r>
              <w:t xml:space="preserve">et </w:t>
            </w:r>
            <w:r>
              <w:t xml:space="preserve">129 </w:t>
            </w:r>
            <w:r>
              <w:t xml:space="preserve">(416)</w:t>
            </w:r>
          </w:p>
        </w:tc>
      </w:tr>
      <w:tr w:rsidR="00432386">
        <w:trPr>
          <w:trHeight w:val="290"/>
        </w:trPr>
        <w:tc>
          <w:tcPr>
            <w:tcW w:w="583" w:type="dxa"/>
          </w:tcPr>
          <w:p>
            <w:pPr>
              <w:pStyle w:val="TableParagraph"/>
              <w:spacing w:before="15"/>
              <w:ind w:start="50"/>
            </w:pPr>
            <w:r>
              <w:t xml:space="preserve">131</w:t>
            </w:r>
          </w:p>
        </w:tc>
        <w:tc>
          <w:tcPr>
            <w:tcW w:w="8534" w:type="dxa"/>
          </w:tcPr>
          <w:p>
            <w:pPr>
              <w:pStyle w:val="TableParagraph"/>
              <w:spacing w:before="15"/>
              <w:ind w:start="141"/>
            </w:pPr>
            <w:r>
              <w:t xml:space="preserve">limite </w:t>
            </w:r>
            <w:r>
              <w:t xml:space="preserve">130 </w:t>
            </w:r>
            <w:r>
              <w:t xml:space="preserve">à la </w:t>
            </w:r>
            <w:r>
              <w:t xml:space="preserve">langue </w:t>
            </w:r>
            <w:r>
              <w:t xml:space="preserve">anglaise </w:t>
            </w:r>
            <w:r>
              <w:t xml:space="preserve">(393)</w:t>
            </w:r>
          </w:p>
        </w:tc>
      </w:tr>
      <w:tr w:rsidR="00432386">
        <w:trPr>
          <w:trHeight w:val="290"/>
        </w:trPr>
        <w:tc>
          <w:tcPr>
            <w:tcW w:w="583" w:type="dxa"/>
          </w:tcPr>
          <w:p>
            <w:pPr>
              <w:pStyle w:val="TableParagraph"/>
              <w:spacing w:before="15"/>
              <w:ind w:start="50"/>
            </w:pPr>
            <w:r>
              <w:t xml:space="preserve">132</w:t>
            </w:r>
          </w:p>
        </w:tc>
        <w:tc>
          <w:tcPr>
            <w:tcW w:w="8534" w:type="dxa"/>
          </w:tcPr>
          <w:p>
            <w:pPr>
              <w:pStyle w:val="TableParagraph"/>
              <w:spacing w:before="15"/>
              <w:ind w:start="161"/>
            </w:pPr>
            <w:r>
              <w:t xml:space="preserve">limiter </w:t>
            </w:r>
            <w:r>
              <w:t xml:space="preserve">131 </w:t>
            </w:r>
            <w:r>
              <w:t xml:space="preserve">à (lettre </w:t>
            </w:r>
            <w:r>
              <w:t xml:space="preserve">ou </w:t>
            </w:r>
            <w:r>
              <w:t xml:space="preserve">article </w:t>
            </w:r>
            <w:r>
              <w:t xml:space="preserve">historique </w:t>
            </w:r>
            <w:r>
              <w:t xml:space="preserve">ou </w:t>
            </w:r>
            <w:r>
              <w:t xml:space="preserve">commentaire </w:t>
            </w:r>
            <w:r>
              <w:t xml:space="preserve">ou </w:t>
            </w:r>
            <w:r>
              <w:t xml:space="preserve">éditorial </w:t>
            </w:r>
            <w:r>
              <w:t xml:space="preserve">ou </w:t>
            </w:r>
            <w:r>
              <w:t xml:space="preserve">nouvelles </w:t>
            </w:r>
            <w:r>
              <w:t xml:space="preserve">ou </w:t>
            </w:r>
            <w:r>
              <w:t xml:space="preserve">rapports de </w:t>
            </w:r>
            <w:r>
              <w:t xml:space="preserve">cas</w:t>
            </w:r>
            <w:r>
              <w:t xml:space="preserve">)</w:t>
            </w:r>
          </w:p>
        </w:tc>
      </w:tr>
      <w:tr w:rsidR="00432386">
        <w:trPr>
          <w:trHeight w:val="291"/>
        </w:trPr>
        <w:tc>
          <w:tcPr>
            <w:tcW w:w="583" w:type="dxa"/>
          </w:tcPr>
          <w:p>
            <w:pPr>
              <w:pStyle w:val="TableParagraph"/>
              <w:spacing w:before="15"/>
              <w:ind w:start="50"/>
            </w:pPr>
            <w:r>
              <w:t xml:space="preserve">(36)</w:t>
            </w:r>
          </w:p>
        </w:tc>
        <w:tc>
          <w:tcPr>
            <w:tcW w:w="8534" w:type="dxa"/>
          </w:tcPr>
          <w:p w:rsidR="00432386" w:rsidRDefault="00432386">
            <w:pPr>
              <w:pStyle w:val="TableParagraph"/>
              <w:rPr>
                <w:rFonts w:ascii="Times New Roman"/>
                <w:sz w:val="20"/>
              </w:rPr>
            </w:pPr>
          </w:p>
        </w:tc>
      </w:tr>
      <w:tr w:rsidR="00432386">
        <w:trPr>
          <w:trHeight w:val="291"/>
        </w:trPr>
        <w:tc>
          <w:tcPr>
            <w:tcW w:w="583" w:type="dxa"/>
          </w:tcPr>
          <w:p>
            <w:pPr>
              <w:pStyle w:val="TableParagraph"/>
              <w:spacing w:before="16"/>
              <w:ind w:start="50"/>
            </w:pPr>
            <w:r>
              <w:t xml:space="preserve">133</w:t>
            </w:r>
          </w:p>
        </w:tc>
        <w:tc>
          <w:tcPr>
            <w:tcW w:w="8534" w:type="dxa"/>
          </w:tcPr>
          <w:p>
            <w:pPr>
              <w:pStyle w:val="TableParagraph"/>
              <w:spacing w:before="16"/>
              <w:ind w:start="141"/>
            </w:pPr>
            <w:r>
              <w:t xml:space="preserve">131 </w:t>
            </w:r>
            <w:r>
              <w:t xml:space="preserve">et non 132 </w:t>
            </w:r>
            <w:r>
              <w:t xml:space="preserve">(357)</w:t>
            </w:r>
          </w:p>
        </w:tc>
      </w:tr>
      <w:tr w:rsidR="00432386">
        <w:trPr>
          <w:trHeight w:val="290"/>
        </w:trPr>
        <w:tc>
          <w:tcPr>
            <w:tcW w:w="583" w:type="dxa"/>
          </w:tcPr>
          <w:p>
            <w:pPr>
              <w:pStyle w:val="TableParagraph"/>
              <w:spacing w:before="15"/>
              <w:ind w:start="50"/>
            </w:pPr>
            <w:r>
              <w:t xml:space="preserve">134</w:t>
            </w:r>
          </w:p>
        </w:tc>
        <w:tc>
          <w:tcPr>
            <w:tcW w:w="8534" w:type="dxa"/>
          </w:tcPr>
          <w:p>
            <w:pPr>
              <w:pStyle w:val="TableParagraph"/>
              <w:spacing w:before="15"/>
              <w:ind w:start="141"/>
            </w:pPr>
            <w:r>
              <w:t xml:space="preserve">animaux/ </w:t>
            </w:r>
            <w:r>
              <w:t xml:space="preserve">pas </w:t>
            </w:r>
            <w:r>
              <w:t xml:space="preserve">humains/ </w:t>
            </w:r>
            <w:r>
              <w:t xml:space="preserve">(4686361)</w:t>
            </w:r>
          </w:p>
        </w:tc>
      </w:tr>
      <w:tr w:rsidR="00432386">
        <w:trPr>
          <w:trHeight w:val="290"/>
        </w:trPr>
        <w:tc>
          <w:tcPr>
            <w:tcW w:w="583" w:type="dxa"/>
          </w:tcPr>
          <w:p>
            <w:pPr>
              <w:pStyle w:val="TableParagraph"/>
              <w:spacing w:before="15"/>
              <w:ind w:start="50"/>
            </w:pPr>
            <w:r>
              <w:t xml:space="preserve">135</w:t>
            </w:r>
          </w:p>
        </w:tc>
        <w:tc>
          <w:tcPr>
            <w:tcW w:w="8534" w:type="dxa"/>
          </w:tcPr>
          <w:p>
            <w:pPr>
              <w:pStyle w:val="TableParagraph"/>
              <w:spacing w:before="15"/>
              <w:ind w:start="141"/>
            </w:pPr>
            <w:r>
              <w:t xml:space="preserve">133 </w:t>
            </w:r>
            <w:r>
              <w:t xml:space="preserve">et non 134 </w:t>
            </w:r>
            <w:r>
              <w:t xml:space="preserve">(181)</w:t>
            </w:r>
          </w:p>
        </w:tc>
      </w:tr>
      <w:tr w:rsidR="00432386">
        <w:trPr>
          <w:trHeight w:val="268"/>
        </w:trPr>
        <w:tc>
          <w:tcPr>
            <w:tcW w:w="583" w:type="dxa"/>
          </w:tcPr>
          <w:p>
            <w:pPr>
              <w:pStyle w:val="TableParagraph"/>
              <w:spacing w:before="15" w:line="233" w:lineRule="exact"/>
              <w:ind w:start="50"/>
            </w:pPr>
            <w:r>
              <w:t xml:space="preserve">136</w:t>
            </w:r>
          </w:p>
        </w:tc>
        <w:tc>
          <w:tcPr>
            <w:tcW w:w="8534" w:type="dxa"/>
          </w:tcPr>
          <w:p>
            <w:pPr>
              <w:pStyle w:val="TableParagraph"/>
              <w:spacing w:before="15" w:line="233" w:lineRule="exact"/>
              <w:ind w:start="141"/>
            </w:pPr>
            <w:r>
              <w:t xml:space="preserve">limiter </w:t>
            </w:r>
            <w:r>
              <w:t xml:space="preserve">135 </w:t>
            </w:r>
            <w:r>
              <w:t xml:space="preserve">à </w:t>
            </w:r>
            <w:r>
              <w:t xml:space="preserve">yr="2000 </w:t>
            </w:r>
            <w:r>
              <w:t xml:space="preserve">-Current" </w:t>
            </w:r>
            <w:r>
              <w:t xml:space="preserve">(144)</w:t>
            </w:r>
          </w:p>
        </w:tc>
      </w:tr>
    </w:tbl>
    <w:p w:rsidR="00432386" w:rsidRDefault="00432386">
      <w:pPr>
        <w:pStyle w:val="Corpsdetexte"/>
        <w:spacing w:before="4"/>
        <w:ind w:start="0"/>
      </w:pPr>
    </w:p>
    <w:p>
      <w:pPr>
        <w:pStyle w:val="Titre2"/>
        <w:spacing w:before="94"/>
      </w:pPr>
      <w:r>
        <w:t xml:space="preserve">Base de données : </w:t>
      </w:r>
      <w:r>
        <w:t xml:space="preserve">Medline </w:t>
      </w:r>
      <w:r>
        <w:t xml:space="preserve">en cours de traitement</w:t>
      </w:r>
    </w:p>
    <w:p>
      <w:pPr>
        <w:pStyle w:val="Corpsdetexte"/>
        <w:spacing w:before="38"/>
      </w:pPr>
      <w:r>
        <w:t xml:space="preserve">Plate-forme : </w:t>
      </w:r>
      <w:r>
        <w:t xml:space="preserve">Ovid</w:t>
      </w:r>
    </w:p>
    <w:p>
      <w:pPr>
        <w:pStyle w:val="Corpsdetexte"/>
        <w:spacing w:line="276" w:lineRule="auto"/>
      </w:pPr>
      <w:r>
        <w:t xml:space="preserve">Version : </w:t>
      </w:r>
      <w:r>
        <w:t xml:space="preserve">Ovid </w:t>
      </w:r>
      <w:r>
        <w:t xml:space="preserve">MEDLINE(R) </w:t>
      </w:r>
      <w:r>
        <w:t xml:space="preserve">In-Process </w:t>
      </w:r>
      <w:r>
        <w:t xml:space="preserve">&amp; </w:t>
      </w:r>
      <w:r>
        <w:t xml:space="preserve">Other Non-Indexed </w:t>
      </w:r>
      <w:r>
        <w:t xml:space="preserve">Citations </w:t>
      </w:r>
      <w:r>
        <w:t xml:space="preserve">&lt;1946 </w:t>
      </w:r>
      <w:r>
        <w:t xml:space="preserve">to </w:t>
      </w:r>
      <w:r>
        <w:rPr>
          <w:spacing w:val="36"/>
        </w:rPr>
        <w:t xml:space="preserve">July </w:t>
      </w:r>
      <w:r>
        <w:rPr>
          <w:spacing w:val="39"/>
        </w:rPr>
        <w:t xml:space="preserve">21</w:t>
      </w:r>
      <w:r>
        <w:t xml:space="preserve">, </w:t>
      </w:r>
      <w:r>
        <w:t xml:space="preserve">2020&gt; (</w:t>
      </w:r>
      <w:r>
        <w:t xml:space="preserve">en anglais seulement)</w:t>
      </w:r>
    </w:p>
    <w:p>
      <w:pPr>
        <w:pStyle w:val="Corpsdetexte"/>
        <w:spacing w:before="1" w:line="276" w:lineRule="auto"/>
        <w:ind w:end="6572"/>
      </w:pPr>
      <w:r>
        <w:t xml:space="preserve">Date de la recherche : 23/7/2020 </w:t>
      </w:r>
      <w:r>
        <w:t xml:space="preserve">Nombre </w:t>
      </w:r>
      <w:r>
        <w:t xml:space="preserve">de </w:t>
      </w:r>
      <w:r>
        <w:t xml:space="preserve">résultats </w:t>
      </w:r>
      <w:r>
        <w:t xml:space="preserve">trouvés :</w:t>
      </w:r>
    </w:p>
    <w:p>
      <w:pPr>
        <w:pStyle w:val="Corpsdetexte"/>
        <w:spacing w:before="0" w:line="252" w:lineRule="exact"/>
      </w:pPr>
      <w:r>
        <w:t xml:space="preserve">Stratégie de </w:t>
      </w:r>
      <w:r>
        <w:t xml:space="preserve">recherche </w:t>
      </w:r>
      <w:r>
        <w:t xml:space="preserve">: </w:t>
      </w:r>
      <w:r>
        <w:t xml:space="preserve">42</w:t>
      </w:r>
    </w:p>
    <w:p w:rsidR="00432386" w:rsidRDefault="00432386">
      <w:pPr>
        <w:pStyle w:val="Corpsdetexte"/>
        <w:spacing w:before="6"/>
        <w:ind w:start="0"/>
        <w:rPr>
          <w:sz w:val="28"/>
        </w:rPr>
      </w:pPr>
    </w:p>
    <w:p>
      <w:pPr>
        <w:pStyle w:val="Paragraphedeliste"/>
        <w:numPr>
          <w:ilvl w:val="0"/>
          <w:numId w:val="126"/>
        </w:numPr>
        <w:tabs>
          <w:tab w:val="left" w:pos="589"/>
          <w:tab w:val="left" w:pos="590"/>
        </w:tabs>
        <w:spacing w:before="0"/>
      </w:pPr>
      <w:r>
        <w:t xml:space="preserve">Dysphorie de genre/ </w:t>
      </w:r>
      <w:r>
        <w:t xml:space="preserve">(0)</w:t>
      </w:r>
    </w:p>
    <w:p>
      <w:pPr>
        <w:pStyle w:val="Paragraphedeliste"/>
        <w:numPr>
          <w:ilvl w:val="0"/>
          <w:numId w:val="126"/>
        </w:numPr>
        <w:tabs>
          <w:tab w:val="left" w:pos="589"/>
          <w:tab w:val="left" w:pos="590"/>
        </w:tabs>
        <w:spacing w:before="41"/>
      </w:pPr>
      <w:r>
        <w:t xml:space="preserve">Identité de genre/ </w:t>
      </w:r>
      <w:r>
        <w:t xml:space="preserve">(0)</w:t>
      </w:r>
    </w:p>
    <w:p>
      <w:pPr>
        <w:pStyle w:val="Paragraphedeliste"/>
        <w:numPr>
          <w:ilvl w:val="0"/>
          <w:numId w:val="126"/>
        </w:numPr>
        <w:tabs>
          <w:tab w:val="left" w:pos="589"/>
          <w:tab w:val="left" w:pos="590"/>
        </w:tabs>
      </w:pPr>
      <w:r>
        <w:t xml:space="preserve">"</w:t>
      </w:r>
      <w:r>
        <w:t xml:space="preserve">Troubles </w:t>
      </w:r>
      <w:r>
        <w:t xml:space="preserve">sexuels </w:t>
      </w:r>
      <w:r>
        <w:t xml:space="preserve">et de </w:t>
      </w:r>
      <w:r>
        <w:t xml:space="preserve">genre</w:t>
      </w:r>
      <w:r>
        <w:t xml:space="preserve">"/ </w:t>
      </w:r>
      <w:r>
        <w:t xml:space="preserve">(0)</w:t>
      </w:r>
    </w:p>
    <w:p>
      <w:pPr>
        <w:pStyle w:val="Paragraphedeliste"/>
        <w:numPr>
          <w:ilvl w:val="0"/>
          <w:numId w:val="126"/>
        </w:numPr>
        <w:tabs>
          <w:tab w:val="left" w:pos="589"/>
          <w:tab w:val="left" w:pos="590"/>
        </w:tabs>
      </w:pPr>
      <w:r>
        <w:t xml:space="preserve">Transsexualisme/ </w:t>
      </w:r>
      <w:r>
        <w:t xml:space="preserve">(0)</w:t>
      </w:r>
    </w:p>
    <w:p>
      <w:pPr>
        <w:pStyle w:val="Paragraphedeliste"/>
        <w:numPr>
          <w:ilvl w:val="0"/>
          <w:numId w:val="126"/>
        </w:numPr>
        <w:tabs>
          <w:tab w:val="left" w:pos="589"/>
          <w:tab w:val="left" w:pos="590"/>
        </w:tabs>
        <w:spacing w:before="38"/>
      </w:pPr>
      <w:r>
        <w:t xml:space="preserve">Personnes transgenres/ </w:t>
      </w:r>
      <w:r>
        <w:t xml:space="preserve">(0)</w:t>
      </w:r>
    </w:p>
    <w:p>
      <w:pPr>
        <w:pStyle w:val="Paragraphedeliste"/>
        <w:numPr>
          <w:ilvl w:val="0"/>
          <w:numId w:val="126"/>
        </w:numPr>
        <w:tabs>
          <w:tab w:val="left" w:pos="589"/>
          <w:tab w:val="left" w:pos="590"/>
        </w:tabs>
        <w:spacing w:before="40"/>
      </w:pPr>
      <w:r>
        <w:t xml:space="preserve">Services de </w:t>
      </w:r>
      <w:r>
        <w:t xml:space="preserve">santé </w:t>
      </w:r>
      <w:r>
        <w:t xml:space="preserve">pour les </w:t>
      </w:r>
      <w:r>
        <w:t xml:space="preserve">personnes transgenres/ </w:t>
      </w:r>
      <w:r>
        <w:t xml:space="preserve">(0)</w:t>
      </w:r>
    </w:p>
    <w:p>
      <w:pPr>
        <w:pStyle w:val="Paragraphedeliste"/>
        <w:numPr>
          <w:ilvl w:val="0"/>
          <w:numId w:val="126"/>
        </w:numPr>
        <w:tabs>
          <w:tab w:val="left" w:pos="589"/>
          <w:tab w:val="left" w:pos="590"/>
        </w:tabs>
      </w:pPr>
      <w:r>
        <w:t xml:space="preserve">exp </w:t>
      </w:r>
      <w:r>
        <w:t xml:space="preserve">Procédures de </w:t>
      </w:r>
      <w:r>
        <w:t xml:space="preserve">changement de </w:t>
      </w:r>
      <w:r>
        <w:t xml:space="preserve">sexe/ </w:t>
      </w:r>
      <w:r>
        <w:t xml:space="preserve">(0)</w:t>
      </w:r>
    </w:p>
    <w:p w:rsidR="00432386" w:rsidRDefault="00432386">
      <w:pPr>
        <w:sectPr w:rsidR="00432386">
          <w:pgSz w:w="11910" w:h="16840"/>
          <w:pgMar w:top="1260" w:right="980" w:bottom="1460" w:left="1280" w:header="0" w:footer="1183" w:gutter="0"/>
          <w:cols w:space="720"/>
        </w:sectPr>
      </w:pPr>
    </w:p>
    <w:p>
      <w:pPr>
        <w:pStyle w:val="Paragraphedeliste"/>
        <w:numPr>
          <w:ilvl w:val="0"/>
          <w:numId w:val="126"/>
        </w:numPr>
        <w:tabs>
          <w:tab w:val="left" w:pos="685"/>
          <w:tab w:val="left" w:pos="686"/>
        </w:tabs>
        <w:spacing w:before="78" w:line="276" w:lineRule="auto"/>
        <w:ind w:start="160" w:end="465" w:firstLine="0"/>
      </w:pPr>
      <w:r>
        <w:lastRenderedPageBreak/>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queer*)).tw. </w:t>
      </w:r>
      <w:r>
        <w:t xml:space="preserve">(1645)</w:t>
      </w:r>
    </w:p>
    <w:p>
      <w:pPr>
        <w:pStyle w:val="Paragraphedeliste"/>
        <w:numPr>
          <w:ilvl w:val="0"/>
          <w:numId w:val="126"/>
        </w:numPr>
        <w:tabs>
          <w:tab w:val="left" w:pos="580"/>
          <w:tab w:val="left" w:pos="581"/>
        </w:tabs>
        <w:spacing w:before="0" w:line="276" w:lineRule="auto"/>
        <w:ind w:start="160" w:end="459"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(2333)</w:t>
      </w:r>
    </w:p>
    <w:p>
      <w:pPr>
        <w:pStyle w:val="Paragraphedeliste"/>
        <w:numPr>
          <w:ilvl w:val="0"/>
          <w:numId w:val="126"/>
        </w:numPr>
        <w:tabs>
          <w:tab w:val="left" w:pos="723"/>
          <w:tab w:val="left" w:pos="724"/>
        </w:tabs>
        <w:spacing w:before="1" w:line="276" w:lineRule="auto"/>
        <w:ind w:start="160" w:end="456" w:firstLine="0"/>
      </w:pPr>
      <w:r>
        <w:t xml:space="preserve">(trans ou crossgender* ou cross-gender* ou crossex* ou cross-sex* ou genderqueer*</w:t>
      </w:r>
      <w:r>
        <w:t xml:space="preserve">).tw. </w:t>
      </w:r>
      <w:r>
        <w:t xml:space="preserve">(20884)</w:t>
      </w:r>
    </w:p>
    <w:p>
      <w:pPr>
        <w:pStyle w:val="Paragraphedeliste"/>
        <w:numPr>
          <w:ilvl w:val="0"/>
          <w:numId w:val="126"/>
        </w:numPr>
        <w:tabs>
          <w:tab w:val="left" w:pos="712"/>
          <w:tab w:val="left" w:pos="713"/>
        </w:tabs>
        <w:spacing w:before="0" w:line="252" w:lineRule="exact"/>
        <w:ind w:start="712" w:hanging="553"/>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transition*)).tw. </w:t>
      </w:r>
      <w:r>
        <w:t xml:space="preserve">(968)</w:t>
      </w:r>
    </w:p>
    <w:p>
      <w:pPr>
        <w:pStyle w:val="Paragraphedeliste"/>
        <w:numPr>
          <w:ilvl w:val="0"/>
          <w:numId w:val="126"/>
        </w:numPr>
        <w:tabs>
          <w:tab w:val="left" w:pos="712"/>
          <w:tab w:val="left" w:pos="713"/>
        </w:tabs>
        <w:spacing w:line="276" w:lineRule="auto"/>
        <w:ind w:start="160" w:end="3000" w:firstLine="0"/>
      </w:pPr>
      <w:r>
        <w:t xml:space="preserve">(homme-à-femme ou m2f ou femme-à-mâle ou f2m).tw. (15513) </w:t>
      </w:r>
      <w:r>
        <w:t xml:space="preserve">13ou/1-12 </w:t>
      </w:r>
      <w:r>
        <w:t xml:space="preserve">(39905)</w:t>
      </w:r>
    </w:p>
    <w:p>
      <w:pPr>
        <w:pStyle w:val="Paragraphedeliste"/>
        <w:numPr>
          <w:ilvl w:val="0"/>
          <w:numId w:val="125"/>
        </w:numPr>
        <w:tabs>
          <w:tab w:val="left" w:pos="712"/>
          <w:tab w:val="left" w:pos="713"/>
        </w:tabs>
        <w:spacing w:before="2"/>
        <w:ind w:hanging="553"/>
      </w:pPr>
      <w:r>
        <w:t xml:space="preserve">exp </w:t>
      </w:r>
      <w:r>
        <w:t xml:space="preserve">Infant/ </w:t>
      </w:r>
      <w:r>
        <w:t xml:space="preserve">ou </w:t>
      </w:r>
      <w:r>
        <w:t xml:space="preserve">Santé infantile/ </w:t>
      </w:r>
      <w:r>
        <w:t xml:space="preserve">ou </w:t>
      </w:r>
      <w:r>
        <w:t xml:space="preserve">Bien-être infantile/ </w:t>
      </w:r>
      <w:r>
        <w:t xml:space="preserve">(0)</w:t>
      </w:r>
    </w:p>
    <w:p>
      <w:pPr>
        <w:pStyle w:val="Paragraphedeliste"/>
        <w:numPr>
          <w:ilvl w:val="0"/>
          <w:numId w:val="125"/>
        </w:numPr>
        <w:tabs>
          <w:tab w:val="left" w:pos="705"/>
          <w:tab w:val="left" w:pos="706"/>
        </w:tabs>
        <w:spacing w:line="276" w:lineRule="auto"/>
        <w:ind w:start="160"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tout-petits*).ti,ab,in,jn. </w:t>
      </w:r>
      <w:r>
        <w:t xml:space="preserve">(80723)</w:t>
      </w:r>
    </w:p>
    <w:p>
      <w:pPr>
        <w:pStyle w:val="Paragraphedeliste"/>
        <w:numPr>
          <w:ilvl w:val="0"/>
          <w:numId w:val="125"/>
        </w:numPr>
        <w:tabs>
          <w:tab w:val="left" w:pos="712"/>
          <w:tab w:val="left" w:pos="713"/>
        </w:tabs>
        <w:spacing w:before="0" w:line="252" w:lineRule="exact"/>
        <w:ind w:hanging="553"/>
      </w:pPr>
      <w:r>
        <w:t xml:space="preserve">exp </w:t>
      </w:r>
      <w:r>
        <w:t xml:space="preserve">Enfant/ </w:t>
      </w:r>
      <w:r>
        <w:t xml:space="preserve">ou </w:t>
      </w:r>
      <w:r>
        <w:t xml:space="preserve">exp </w:t>
      </w:r>
      <w:r>
        <w:t xml:space="preserve">Comportement de l'enfant/ </w:t>
      </w:r>
      <w:r>
        <w:t xml:space="preserve">ou </w:t>
      </w:r>
      <w:r>
        <w:t xml:space="preserve">Santé de l'enfant/ </w:t>
      </w:r>
      <w:r>
        <w:t xml:space="preserve">ou </w:t>
      </w:r>
      <w:r>
        <w:t xml:space="preserve">Protection de l'enfant/ </w:t>
      </w:r>
      <w:r>
        <w:t xml:space="preserve">(0)</w:t>
      </w:r>
    </w:p>
    <w:p>
      <w:pPr>
        <w:pStyle w:val="Paragraphedeliste"/>
        <w:numPr>
          <w:ilvl w:val="0"/>
          <w:numId w:val="125"/>
        </w:numPr>
        <w:tabs>
          <w:tab w:val="left" w:pos="712"/>
          <w:tab w:val="left" w:pos="713"/>
        </w:tabs>
        <w:spacing w:before="40"/>
        <w:ind w:hanging="553"/>
      </w:pPr>
      <w:r>
        <w:t xml:space="preserve">Mineurs/ </w:t>
      </w:r>
      <w:r>
        <w:t xml:space="preserve">(0)</w:t>
      </w:r>
    </w:p>
    <w:p>
      <w:pPr>
        <w:pStyle w:val="Paragraphedeliste"/>
        <w:numPr>
          <w:ilvl w:val="0"/>
          <w:numId w:val="125"/>
        </w:numPr>
        <w:tabs>
          <w:tab w:val="left" w:pos="712"/>
          <w:tab w:val="left" w:pos="713"/>
        </w:tabs>
        <w:ind w:hanging="553"/>
      </w:pPr>
      <w:r>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jeunes*).ti,ab,in,jn. </w:t>
      </w:r>
      <w:r>
        <w:t xml:space="preserve">(321871)</w:t>
      </w:r>
    </w:p>
    <w:p>
      <w:pPr>
        <w:pStyle w:val="Paragraphedeliste"/>
        <w:numPr>
          <w:ilvl w:val="0"/>
          <w:numId w:val="125"/>
        </w:numPr>
        <w:tabs>
          <w:tab w:val="left" w:pos="712"/>
          <w:tab w:val="left" w:pos="713"/>
        </w:tabs>
        <w:spacing w:before="38"/>
        <w:ind w:hanging="553"/>
      </w:pPr>
      <w:r>
        <w:t xml:space="preserve">exp </w:t>
      </w:r>
      <w:r>
        <w:t xml:space="preserve">pédiatrie/ </w:t>
      </w:r>
      <w:r>
        <w:t xml:space="preserve">(0)</w:t>
      </w:r>
    </w:p>
    <w:p>
      <w:pPr>
        <w:pStyle w:val="Paragraphedeliste"/>
        <w:numPr>
          <w:ilvl w:val="0"/>
          <w:numId w:val="125"/>
        </w:numPr>
        <w:tabs>
          <w:tab w:val="left" w:pos="712"/>
          <w:tab w:val="left" w:pos="713"/>
        </w:tabs>
        <w:spacing w:before="38"/>
        <w:ind w:hanging="553"/>
      </w:pPr>
      <w:r>
        <w:t xml:space="preserve">(pédiatrique* </w:t>
      </w:r>
      <w:r>
        <w:t xml:space="preserve">ou </w:t>
      </w:r>
      <w:r>
        <w:t xml:space="preserve">pédiatrique* </w:t>
      </w:r>
      <w:r>
        <w:t xml:space="preserve">ou </w:t>
      </w:r>
      <w:r>
        <w:t xml:space="preserve">peadiatrique*).ti,ab,in,jn. </w:t>
      </w:r>
      <w:r>
        <w:t xml:space="preserve">(119783)</w:t>
      </w:r>
    </w:p>
    <w:p>
      <w:pPr>
        <w:pStyle w:val="Paragraphedeliste"/>
        <w:numPr>
          <w:ilvl w:val="0"/>
          <w:numId w:val="125"/>
        </w:numPr>
        <w:tabs>
          <w:tab w:val="left" w:pos="712"/>
          <w:tab w:val="left" w:pos="713"/>
        </w:tabs>
        <w:ind w:hanging="553"/>
      </w:pPr>
      <w:r>
        <w:t xml:space="preserve">Adolescent/ </w:t>
      </w:r>
      <w:r>
        <w:t xml:space="preserve">ou </w:t>
      </w:r>
      <w:r>
        <w:t xml:space="preserve">Comportement de l'adolescent/ </w:t>
      </w:r>
      <w:r>
        <w:t xml:space="preserve">ou </w:t>
      </w:r>
      <w:r>
        <w:t xml:space="preserve">Santé de </w:t>
      </w:r>
      <w:r>
        <w:t xml:space="preserve">l'</w:t>
      </w:r>
      <w:r>
        <w:t xml:space="preserve">adolescent/ </w:t>
      </w:r>
      <w:r>
        <w:t xml:space="preserve">(0)</w:t>
      </w:r>
    </w:p>
    <w:p>
      <w:pPr>
        <w:pStyle w:val="Paragraphedeliste"/>
        <w:numPr>
          <w:ilvl w:val="0"/>
          <w:numId w:val="125"/>
        </w:numPr>
        <w:tabs>
          <w:tab w:val="left" w:pos="712"/>
          <w:tab w:val="left" w:pos="713"/>
        </w:tabs>
        <w:spacing w:before="40"/>
        <w:ind w:hanging="553"/>
      </w:pPr>
      <w:r>
        <w:t xml:space="preserve">Puberté/ </w:t>
      </w:r>
      <w:r>
        <w:t xml:space="preserve">(0)</w:t>
      </w:r>
    </w:p>
    <w:p>
      <w:pPr>
        <w:pStyle w:val="Paragraphedeliste"/>
        <w:numPr>
          <w:ilvl w:val="0"/>
          <w:numId w:val="125"/>
        </w:numPr>
        <w:tabs>
          <w:tab w:val="left" w:pos="765"/>
        </w:tabs>
        <w:spacing w:line="276" w:lineRule="auto"/>
        <w:ind w:start="160" w:end="456" w:firstLine="0"/>
        <w:jc w:val="both"/>
      </w:pPr>
      <w:r>
        <w:t xml:space="preserve">(adolescen* ou pubescen* ou prépubescen* ou pré-pubescen* ou pubert* ou prépubert* </w:t>
      </w:r>
      <w:r>
        <w:t xml:space="preserve">ou pré-pubert* ou teen* ou preteen* ou pre-teen* ou juvenil* ou youth* ou under*age*).ti,ab,in,jn. </w:t>
      </w:r>
      <w:r>
        <w:t xml:space="preserve">(60264)</w:t>
      </w:r>
    </w:p>
    <w:p>
      <w:pPr>
        <w:pStyle w:val="Paragraphedeliste"/>
        <w:numPr>
          <w:ilvl w:val="0"/>
          <w:numId w:val="125"/>
        </w:numPr>
        <w:tabs>
          <w:tab w:val="left" w:pos="713"/>
        </w:tabs>
        <w:spacing w:before="1"/>
        <w:ind w:hanging="553"/>
        <w:jc w:val="both"/>
      </w:pPr>
      <w:r>
        <w:t xml:space="preserve">Écoles/ </w:t>
      </w:r>
      <w:r>
        <w:t xml:space="preserve">(0)</w:t>
      </w:r>
    </w:p>
    <w:p>
      <w:pPr>
        <w:pStyle w:val="Paragraphedeliste"/>
        <w:numPr>
          <w:ilvl w:val="0"/>
          <w:numId w:val="125"/>
        </w:numPr>
        <w:tabs>
          <w:tab w:val="left" w:pos="713"/>
        </w:tabs>
        <w:spacing w:before="38"/>
        <w:ind w:hanging="553"/>
        <w:jc w:val="both"/>
      </w:pPr>
      <w:r>
        <w:t xml:space="preserve">Centres d'accueil de </w:t>
      </w:r>
      <w:r>
        <w:t xml:space="preserve">jour </w:t>
      </w:r>
      <w:r>
        <w:t xml:space="preserve">pour </w:t>
      </w:r>
      <w:r>
        <w:t xml:space="preserve">enfants/ </w:t>
      </w:r>
      <w:r>
        <w:t xml:space="preserve">ou </w:t>
      </w:r>
      <w:r>
        <w:t xml:space="preserve">crèches/ </w:t>
      </w:r>
      <w:r>
        <w:t xml:space="preserve">ou </w:t>
      </w:r>
      <w:r>
        <w:t xml:space="preserve">écoles </w:t>
      </w:r>
      <w:r>
        <w:t xml:space="preserve">maternelles/ </w:t>
      </w:r>
      <w:r>
        <w:t xml:space="preserve">(0)</w:t>
      </w:r>
    </w:p>
    <w:p>
      <w:pPr>
        <w:pStyle w:val="Paragraphedeliste"/>
        <w:numPr>
          <w:ilvl w:val="0"/>
          <w:numId w:val="125"/>
        </w:numPr>
        <w:tabs>
          <w:tab w:val="left" w:pos="715"/>
        </w:tabs>
        <w:spacing w:line="276" w:lineRule="auto"/>
        <w:ind w:start="160" w:end="453" w:firstLine="0"/>
        <w:jc w:val="both"/>
      </w:pPr>
      <w:r>
        <w:t xml:space="preserve">(école maternelle* ou préscolaire* ou jardin d'enfants* ou garderie ou crèche* ou école* ou </w:t>
      </w:r>
      <w:r>
        <w:t xml:space="preserve">élève* ou </w:t>
      </w:r>
      <w:r>
        <w:t xml:space="preserve">étudiant*).ti,ab,jn. </w:t>
      </w:r>
      <w:r>
        <w:t xml:space="preserve">(69233)</w:t>
      </w:r>
    </w:p>
    <w:p>
      <w:pPr>
        <w:pStyle w:val="Paragraphedeliste"/>
        <w:numPr>
          <w:ilvl w:val="0"/>
          <w:numId w:val="125"/>
        </w:numPr>
        <w:tabs>
          <w:tab w:val="left" w:pos="708"/>
        </w:tabs>
        <w:spacing w:before="0" w:line="276" w:lineRule="auto"/>
        <w:ind w:start="160" w:end="460" w:firstLine="0"/>
        <w:jc w:val="both"/>
      </w:pP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w:t>
      </w:r>
      <w:r>
        <w:t xml:space="preserve">dix-sept" ou "dix-huit" ou "dix-neuf") adj2 (année ou années ou âge ou âges ou </w:t>
      </w:r>
      <w:r>
        <w:t xml:space="preserve">âgés)).ti,ab. </w:t>
      </w:r>
      <w:r>
        <w:t xml:space="preserve">(10319)</w:t>
      </w:r>
    </w:p>
    <w:p>
      <w:pPr>
        <w:pStyle w:val="Corpsdetexte"/>
        <w:tabs>
          <w:tab w:val="left" w:pos="747"/>
        </w:tabs>
        <w:spacing w:before="0" w:line="276" w:lineRule="auto"/>
        <w:ind w:end="469"/>
      </w:pPr>
      <w:r>
        <w:t xml:space="preserve">28</w:t>
      </w:r>
      <w:r>
        <w:tab/>
        <w:t xml:space="preserve">(("8" </w:t>
      </w:r>
      <w:r>
        <w:t xml:space="preserve">ou </w:t>
      </w:r>
      <w:r>
        <w:t xml:space="preserve">"9" </w:t>
      </w:r>
      <w:r>
        <w:t xml:space="preserve">ou </w:t>
      </w:r>
      <w:r>
        <w:t xml:space="preserve">"10" </w:t>
      </w:r>
      <w:r>
        <w:t xml:space="preserve">ou </w:t>
      </w:r>
      <w:r>
        <w:t xml:space="preserve">"11" </w:t>
      </w:r>
      <w:r>
        <w:t xml:space="preserve">ou </w:t>
      </w:r>
      <w:r>
        <w:t xml:space="preserve">"12" </w:t>
      </w:r>
      <w:r>
        <w:t xml:space="preserve">ou </w:t>
      </w:r>
      <w:r>
        <w:t xml:space="preserve">"13" </w:t>
      </w:r>
      <w:r>
        <w:t xml:space="preserve">ou </w:t>
      </w:r>
      <w:r>
        <w:t xml:space="preserve">"14" </w:t>
      </w:r>
      <w:r>
        <w:t xml:space="preserve">ou </w:t>
      </w:r>
      <w:r>
        <w:t xml:space="preserve">"15" </w:t>
      </w:r>
      <w:r>
        <w:t xml:space="preserve">ou </w:t>
      </w:r>
      <w:r>
        <w:t xml:space="preserve">"16" </w:t>
      </w:r>
      <w:r>
        <w:t xml:space="preserve">ou </w:t>
      </w:r>
      <w:r>
        <w:t xml:space="preserve">"17" </w:t>
      </w:r>
      <w:r>
        <w:t xml:space="preserve">ou </w:t>
      </w:r>
      <w:r>
        <w:t xml:space="preserve">"18" </w:t>
      </w:r>
      <w:r>
        <w:t xml:space="preserve">ou </w:t>
      </w:r>
      <w:r>
        <w:t xml:space="preserve">"19") </w:t>
      </w:r>
      <w:r>
        <w:t xml:space="preserve">adj2 </w:t>
      </w:r>
      <w:r>
        <w:t xml:space="preserve">(année </w:t>
      </w:r>
      <w:r>
        <w:t xml:space="preserve">ou </w:t>
      </w:r>
      <w:r>
        <w:t xml:space="preserve">années </w:t>
      </w:r>
      <w:r>
        <w:t xml:space="preserve">ou âge ou </w:t>
      </w:r>
      <w:r>
        <w:t xml:space="preserve">âges </w:t>
      </w:r>
      <w:r>
        <w:t xml:space="preserve">ou </w:t>
      </w:r>
      <w:r>
        <w:t xml:space="preserve">âgés)).ti,ab. </w:t>
      </w:r>
      <w:r>
        <w:t xml:space="preserve">(112800)</w:t>
      </w:r>
    </w:p>
    <w:p>
      <w:pPr>
        <w:pStyle w:val="Corpsdetexte"/>
        <w:tabs>
          <w:tab w:val="left" w:pos="712"/>
        </w:tabs>
        <w:spacing w:before="0" w:line="252" w:lineRule="exact"/>
      </w:pPr>
      <w:r>
        <w:t xml:space="preserve">29or/14-28 </w:t>
      </w:r>
      <w:r>
        <w:t xml:space="preserve">(525529)</w:t>
      </w:r>
    </w:p>
    <w:p>
      <w:pPr>
        <w:pStyle w:val="Corpsdetexte"/>
        <w:tabs>
          <w:tab w:val="left" w:pos="712"/>
        </w:tabs>
        <w:spacing w:before="40"/>
      </w:pPr>
      <w:r>
        <w:tab/>
        <w:t xml:space="preserve">3013 </w:t>
      </w:r>
      <w:r>
        <w:t xml:space="preserve">et </w:t>
      </w:r>
      <w:r>
        <w:t xml:space="preserve">29 </w:t>
      </w:r>
      <w:r>
        <w:t xml:space="preserve">(9196)</w:t>
      </w:r>
    </w:p>
    <w:p>
      <w:pPr>
        <w:pStyle w:val="Corpsdetexte"/>
        <w:tabs>
          <w:tab w:val="left" w:pos="681"/>
          <w:tab w:val="left" w:pos="712"/>
        </w:tabs>
        <w:spacing w:line="276" w:lineRule="auto"/>
        <w:ind w:end="456"/>
      </w:pPr>
      <w:r>
        <w:t xml:space="preserve">31</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(3) </w:t>
      </w:r>
      <w:r>
        <w:t xml:space="preserve">32</w:t>
      </w:r>
      <w:r>
        <w:tab/>
      </w:r>
      <w:r>
        <w:tab/>
        <w:t xml:space="preserve">30 </w:t>
      </w:r>
      <w:r>
        <w:t xml:space="preserve">ou </w:t>
      </w:r>
      <w:r>
        <w:t xml:space="preserve">31 </w:t>
      </w:r>
      <w:r>
        <w:t xml:space="preserve">(9197)</w:t>
      </w:r>
    </w:p>
    <w:p>
      <w:pPr>
        <w:pStyle w:val="Paragraphedeliste"/>
        <w:numPr>
          <w:ilvl w:val="0"/>
          <w:numId w:val="124"/>
        </w:numPr>
        <w:tabs>
          <w:tab w:val="left" w:pos="712"/>
          <w:tab w:val="left" w:pos="713"/>
        </w:tabs>
        <w:spacing w:before="0" w:line="252" w:lineRule="exact"/>
        <w:ind w:hanging="553"/>
      </w:pPr>
      <w:r>
        <w:t xml:space="preserve">Hormone de </w:t>
      </w:r>
      <w:r>
        <w:t xml:space="preserve">libération des </w:t>
      </w:r>
      <w:r>
        <w:t xml:space="preserve">gonadotrophines/ </w:t>
      </w:r>
      <w:r>
        <w:t xml:space="preserve">(0)</w:t>
      </w:r>
    </w:p>
    <w:p>
      <w:pPr>
        <w:pStyle w:val="Paragraphedeliste"/>
        <w:numPr>
          <w:ilvl w:val="0"/>
          <w:numId w:val="124"/>
        </w:numPr>
        <w:tabs>
          <w:tab w:val="left" w:pos="712"/>
          <w:tab w:val="left" w:pos="713"/>
        </w:tabs>
        <w:spacing w:before="40"/>
        <w:ind w:hanging="553"/>
      </w:pPr>
      <w:r>
        <w:t xml:space="preserve">(pubert* </w:t>
      </w:r>
      <w:r>
        <w:t xml:space="preserve">adj3 </w:t>
      </w:r>
      <w:r>
        <w:t xml:space="preserve">bloc*).ti,ab. </w:t>
      </w:r>
      <w:r>
        <w:t xml:space="preserve">(19)</w:t>
      </w:r>
    </w:p>
    <w:p>
      <w:pPr>
        <w:pStyle w:val="Paragraphedeliste"/>
        <w:numPr>
          <w:ilvl w:val="0"/>
          <w:numId w:val="124"/>
        </w:numPr>
        <w:tabs>
          <w:tab w:val="left" w:pos="712"/>
          <w:tab w:val="left" w:pos="713"/>
        </w:tabs>
        <w:spacing w:before="38"/>
        <w:ind w:hanging="553"/>
      </w:pPr>
      <w:r>
        <w:t xml:space="preserve">((gonadotrophine </w:t>
      </w:r>
      <w:r>
        <w:t xml:space="preserve">ou </w:t>
      </w:r>
      <w:r>
        <w:t xml:space="preserve">gonadotrophine) </w:t>
      </w:r>
      <w:r>
        <w:t xml:space="preserve">et </w:t>
      </w:r>
      <w:r>
        <w:t xml:space="preserve">libération).ti,ab. </w:t>
      </w:r>
      <w:r>
        <w:t xml:space="preserve">(1425)</w:t>
      </w:r>
    </w:p>
    <w:p>
      <w:pPr>
        <w:pStyle w:val="Paragraphedeliste"/>
        <w:numPr>
          <w:ilvl w:val="0"/>
          <w:numId w:val="124"/>
        </w:numPr>
        <w:tabs>
          <w:tab w:val="left" w:pos="712"/>
          <w:tab w:val="left" w:pos="713"/>
        </w:tabs>
        <w:ind w:hanging="553"/>
      </w:pPr>
      <w:r>
        <w:t xml:space="preserve">(GnRH </w:t>
      </w:r>
      <w:r>
        <w:t xml:space="preserve">adj2 </w:t>
      </w:r>
      <w:r>
        <w:t xml:space="preserve">analogue*).ti,ab. </w:t>
      </w:r>
      <w:r>
        <w:t xml:space="preserve">(183)</w:t>
      </w:r>
    </w:p>
    <w:p>
      <w:pPr>
        <w:pStyle w:val="Corpsdetexte"/>
        <w:tabs>
          <w:tab w:val="left" w:pos="712"/>
        </w:tabs>
        <w:spacing w:before="38"/>
      </w:pPr>
      <w:r>
        <w:t xml:space="preserve">37GnRH*</w:t>
      </w:r>
      <w:r>
        <w:tab/>
        <w:t xml:space="preserve">.ti,ab. </w:t>
      </w:r>
      <w:r>
        <w:t xml:space="preserve">(1695)</w:t>
      </w:r>
    </w:p>
    <w:p>
      <w:pPr>
        <w:pStyle w:val="Paragraphedeliste"/>
        <w:numPr>
          <w:ilvl w:val="0"/>
          <w:numId w:val="123"/>
        </w:numPr>
        <w:tabs>
          <w:tab w:val="left" w:pos="712"/>
          <w:tab w:val="left" w:pos="713"/>
        </w:tabs>
        <w:ind w:hanging="553"/>
      </w:pPr>
      <w:r>
        <w:t xml:space="preserve">"</w:t>
      </w:r>
      <w:r>
        <w:t xml:space="preserve">Agoniste de la GnRH*".ti,ab. </w:t>
      </w:r>
      <w:r>
        <w:t xml:space="preserve">(379)</w:t>
      </w:r>
    </w:p>
    <w:p>
      <w:pPr>
        <w:pStyle w:val="Paragraphedeliste"/>
        <w:numPr>
          <w:ilvl w:val="0"/>
          <w:numId w:val="123"/>
        </w:numPr>
        <w:tabs>
          <w:tab w:val="left" w:pos="712"/>
          <w:tab w:val="left" w:pos="713"/>
        </w:tabs>
        <w:spacing w:before="40"/>
        <w:ind w:hanging="553"/>
      </w:pPr>
      <w:r>
        <w:t xml:space="preserve">Pamoate de triptoréline/ </w:t>
      </w:r>
      <w:r>
        <w:t xml:space="preserve">(0)</w:t>
      </w:r>
    </w:p>
    <w:p>
      <w:pPr>
        <w:pStyle w:val="Paragraphedeliste"/>
        <w:numPr>
          <w:ilvl w:val="0"/>
          <w:numId w:val="123"/>
        </w:numPr>
        <w:tabs>
          <w:tab w:val="left" w:pos="712"/>
          <w:tab w:val="left" w:pos="713"/>
        </w:tabs>
        <w:spacing w:before="38"/>
        <w:ind w:hanging="553"/>
      </w:pPr>
      <w:r>
        <w:t xml:space="preserve">triptoréline.ti,ab. </w:t>
      </w:r>
      <w:r>
        <w:t xml:space="preserve">(72)</w:t>
      </w:r>
    </w:p>
    <w:p>
      <w:pPr>
        <w:pStyle w:val="Paragraphedeliste"/>
        <w:numPr>
          <w:ilvl w:val="0"/>
          <w:numId w:val="123"/>
        </w:numPr>
        <w:tabs>
          <w:tab w:val="left" w:pos="712"/>
          <w:tab w:val="left" w:pos="713"/>
        </w:tabs>
        <w:ind w:hanging="553"/>
      </w:pPr>
      <w:r>
        <w:t xml:space="preserve">arvekap.ti,ab. </w:t>
      </w:r>
      <w:r>
        <w:t xml:space="preserve">(0)</w:t>
      </w:r>
    </w:p>
    <w:p>
      <w:pPr>
        <w:pStyle w:val="Corpsdetexte"/>
        <w:tabs>
          <w:tab w:val="left" w:pos="712"/>
        </w:tabs>
        <w:spacing w:before="38"/>
      </w:pPr>
      <w:r>
        <w:t xml:space="preserve">42</w:t>
      </w:r>
      <w:r>
        <w:tab/>
        <w:t xml:space="preserve">("AY </w:t>
      </w:r>
      <w:r>
        <w:t xml:space="preserve">25650" </w:t>
      </w:r>
      <w:r>
        <w:t xml:space="preserve">ou </w:t>
      </w:r>
      <w:r>
        <w:t xml:space="preserve">AY25650).ti,ab. </w:t>
      </w:r>
      <w:r>
        <w:t xml:space="preserve">(0)</w:t>
      </w:r>
    </w:p>
    <w:p>
      <w:pPr>
        <w:pStyle w:val="Corpsdetexte"/>
        <w:tabs>
          <w:tab w:val="left" w:pos="712"/>
        </w:tabs>
        <w:spacing w:before="39"/>
      </w:pPr>
      <w:r>
        <w:t xml:space="preserve">43</w:t>
      </w:r>
      <w:r>
        <w:tab/>
        <w:t xml:space="preserve">("BIM </w:t>
      </w:r>
      <w:r>
        <w:t xml:space="preserve">21003" </w:t>
      </w:r>
      <w:r>
        <w:t xml:space="preserve">ou </w:t>
      </w:r>
      <w:r>
        <w:t xml:space="preserve">BIM21003).ti,ab. </w:t>
      </w:r>
      <w:r>
        <w:t xml:space="preserve">(0)</w:t>
      </w:r>
    </w:p>
    <w:p>
      <w:pPr>
        <w:pStyle w:val="Corpsdetexte"/>
        <w:tabs>
          <w:tab w:val="left" w:pos="712"/>
        </w:tabs>
        <w:spacing w:before="38"/>
      </w:pPr>
      <w:r>
        <w:t xml:space="preserve">44</w:t>
      </w:r>
      <w:r>
        <w:tab/>
        <w:t xml:space="preserve">("BN </w:t>
      </w:r>
      <w:r>
        <w:t xml:space="preserve">52014" </w:t>
      </w:r>
      <w:r>
        <w:t xml:space="preserve">ou </w:t>
      </w:r>
      <w:r>
        <w:t xml:space="preserve">BN52014).ti,ab. </w:t>
      </w:r>
      <w:r>
        <w:t xml:space="preserve">(0)</w:t>
      </w:r>
    </w:p>
    <w:p>
      <w:pPr>
        <w:pStyle w:val="Corpsdetexte"/>
        <w:tabs>
          <w:tab w:val="left" w:pos="712"/>
        </w:tabs>
      </w:pPr>
      <w:r>
        <w:t xml:space="preserve">45</w:t>
      </w:r>
      <w:r>
        <w:tab/>
        <w:t xml:space="preserve">("CL </w:t>
      </w:r>
      <w:r>
        <w:t xml:space="preserve">118532" </w:t>
      </w:r>
      <w:r>
        <w:t xml:space="preserve">ou </w:t>
      </w:r>
      <w:r>
        <w:t xml:space="preserve">CL118532).ti,ab.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122"/>
        </w:numPr>
        <w:tabs>
          <w:tab w:val="left" w:pos="712"/>
          <w:tab w:val="left" w:pos="713"/>
        </w:tabs>
        <w:spacing w:before="78"/>
        <w:ind w:hanging="553"/>
      </w:pPr>
      <w:r>
        <w:lastRenderedPageBreak/>
        <w:t xml:space="preserve">Debio.ti,ab. </w:t>
      </w:r>
      <w:r>
        <w:t xml:space="preserve">(11)</w:t>
      </w:r>
    </w:p>
    <w:p>
      <w:pPr>
        <w:pStyle w:val="Paragraphedeliste"/>
        <w:numPr>
          <w:ilvl w:val="0"/>
          <w:numId w:val="122"/>
        </w:numPr>
        <w:tabs>
          <w:tab w:val="left" w:pos="712"/>
          <w:tab w:val="left" w:pos="713"/>
        </w:tabs>
        <w:spacing w:before="38"/>
        <w:ind w:hanging="553"/>
      </w:pPr>
      <w:r>
        <w:t xml:space="preserve">diphereline.ti,ab. </w:t>
      </w:r>
      <w:r>
        <w:t xml:space="preserve">(6)</w:t>
      </w:r>
    </w:p>
    <w:p>
      <w:pPr>
        <w:pStyle w:val="Paragraphedeliste"/>
        <w:numPr>
          <w:ilvl w:val="0"/>
          <w:numId w:val="122"/>
        </w:numPr>
        <w:tabs>
          <w:tab w:val="left" w:pos="712"/>
          <w:tab w:val="left" w:pos="713"/>
        </w:tabs>
        <w:ind w:hanging="553"/>
      </w:pPr>
      <w:r>
        <w:t xml:space="preserve">moapar.ti,ab. </w:t>
      </w:r>
      <w:r>
        <w:t xml:space="preserve">(0)</w:t>
      </w:r>
    </w:p>
    <w:p>
      <w:pPr>
        <w:pStyle w:val="Paragraphedeliste"/>
        <w:numPr>
          <w:ilvl w:val="0"/>
          <w:numId w:val="122"/>
        </w:numPr>
        <w:tabs>
          <w:tab w:val="left" w:pos="712"/>
          <w:tab w:val="left" w:pos="713"/>
        </w:tabs>
        <w:spacing w:before="38"/>
        <w:ind w:hanging="553"/>
      </w:pPr>
      <w:r>
        <w:t xml:space="preserve">pamorelin.ti,ab. </w:t>
      </w:r>
      <w:r>
        <w:t xml:space="preserve">(0)</w:t>
      </w:r>
    </w:p>
    <w:p>
      <w:pPr>
        <w:pStyle w:val="Paragraphedeliste"/>
        <w:numPr>
          <w:ilvl w:val="0"/>
          <w:numId w:val="122"/>
        </w:numPr>
        <w:tabs>
          <w:tab w:val="left" w:pos="712"/>
          <w:tab w:val="left" w:pos="713"/>
        </w:tabs>
        <w:spacing w:before="40"/>
        <w:ind w:hanging="553"/>
      </w:pPr>
      <w:r>
        <w:t xml:space="preserve">trelstar.ti,ab. </w:t>
      </w:r>
      <w:r>
        <w:t xml:space="preserve">(0)</w:t>
      </w:r>
    </w:p>
    <w:p>
      <w:pPr>
        <w:pStyle w:val="Paragraphedeliste"/>
        <w:numPr>
          <w:ilvl w:val="0"/>
          <w:numId w:val="122"/>
        </w:numPr>
        <w:tabs>
          <w:tab w:val="left" w:pos="712"/>
          <w:tab w:val="left" w:pos="713"/>
        </w:tabs>
        <w:ind w:hanging="553"/>
      </w:pPr>
      <w:r>
        <w:t xml:space="preserve">triptodur.ti,ab. </w:t>
      </w:r>
      <w:r>
        <w:t xml:space="preserve">(0)</w:t>
      </w:r>
    </w:p>
    <w:p>
      <w:pPr>
        <w:pStyle w:val="Corpsdetexte"/>
        <w:tabs>
          <w:tab w:val="left" w:pos="712"/>
        </w:tabs>
      </w:pPr>
      <w:r>
        <w:t xml:space="preserve">52</w:t>
      </w:r>
      <w:r>
        <w:tab/>
        <w:t xml:space="preserve">("WY </w:t>
      </w:r>
      <w:r>
        <w:t xml:space="preserve">42422" </w:t>
      </w:r>
      <w:r>
        <w:t xml:space="preserve">ou </w:t>
      </w:r>
      <w:r>
        <w:t xml:space="preserve">WY42422).ti,ab. </w:t>
      </w:r>
      <w:r>
        <w:t xml:space="preserve">(0)</w:t>
      </w:r>
    </w:p>
    <w:p>
      <w:pPr>
        <w:pStyle w:val="Corpsdetexte"/>
        <w:tabs>
          <w:tab w:val="left" w:pos="712"/>
        </w:tabs>
        <w:spacing w:before="38"/>
      </w:pPr>
      <w:r>
        <w:t xml:space="preserve">53</w:t>
      </w:r>
      <w:r>
        <w:tab/>
        <w:t xml:space="preserve">("WY </w:t>
      </w:r>
      <w:r>
        <w:t xml:space="preserve">42462" </w:t>
      </w:r>
      <w:r>
        <w:t xml:space="preserve">ou </w:t>
      </w:r>
      <w:r>
        <w:t xml:space="preserve">WY42462).ti,ab. </w:t>
      </w:r>
      <w:r>
        <w:t xml:space="preserve">(0)</w:t>
      </w:r>
    </w:p>
    <w:p>
      <w:pPr>
        <w:pStyle w:val="Paragraphedeliste"/>
        <w:numPr>
          <w:ilvl w:val="0"/>
          <w:numId w:val="121"/>
        </w:numPr>
        <w:tabs>
          <w:tab w:val="left" w:pos="712"/>
          <w:tab w:val="left" w:pos="713"/>
        </w:tabs>
        <w:ind w:hanging="553"/>
      </w:pPr>
      <w:r>
        <w:rPr>
          <w:spacing w:val="-1"/>
        </w:rPr>
        <w:t xml:space="preserve">gonapeptyl.ti,ab.</w:t>
      </w:r>
      <w:r>
        <w:t xml:space="preserve"> (0)</w:t>
      </w:r>
    </w:p>
    <w:p>
      <w:pPr>
        <w:pStyle w:val="Paragraphedeliste"/>
        <w:numPr>
          <w:ilvl w:val="0"/>
          <w:numId w:val="121"/>
        </w:numPr>
        <w:tabs>
          <w:tab w:val="left" w:pos="712"/>
          <w:tab w:val="left" w:pos="713"/>
        </w:tabs>
        <w:spacing w:before="40"/>
        <w:ind w:hanging="553"/>
      </w:pPr>
      <w:r>
        <w:t xml:space="preserve">décapeptyl.ti,ab. </w:t>
      </w:r>
      <w:r>
        <w:t xml:space="preserve">(8)</w:t>
      </w:r>
    </w:p>
    <w:p>
      <w:pPr>
        <w:pStyle w:val="Paragraphedeliste"/>
        <w:numPr>
          <w:ilvl w:val="0"/>
          <w:numId w:val="121"/>
        </w:numPr>
        <w:tabs>
          <w:tab w:val="left" w:pos="712"/>
          <w:tab w:val="left" w:pos="713"/>
        </w:tabs>
        <w:spacing w:before="38"/>
        <w:ind w:hanging="553"/>
      </w:pPr>
      <w:r>
        <w:t xml:space="preserve">salvacyl.ti,ab. </w:t>
      </w:r>
      <w:r>
        <w:t xml:space="preserve">(0)</w:t>
      </w:r>
    </w:p>
    <w:p>
      <w:pPr>
        <w:pStyle w:val="Paragraphedeliste"/>
        <w:numPr>
          <w:ilvl w:val="0"/>
          <w:numId w:val="121"/>
        </w:numPr>
        <w:tabs>
          <w:tab w:val="left" w:pos="712"/>
          <w:tab w:val="left" w:pos="713"/>
        </w:tabs>
        <w:ind w:hanging="553"/>
      </w:pPr>
      <w:r>
        <w:t xml:space="preserve">Buserelin/ </w:t>
      </w:r>
      <w:r>
        <w:t xml:space="preserve">(0)</w:t>
      </w:r>
    </w:p>
    <w:p>
      <w:pPr>
        <w:pStyle w:val="Paragraphedeliste"/>
        <w:numPr>
          <w:ilvl w:val="0"/>
          <w:numId w:val="121"/>
        </w:numPr>
        <w:tabs>
          <w:tab w:val="left" w:pos="712"/>
          <w:tab w:val="left" w:pos="713"/>
        </w:tabs>
        <w:ind w:hanging="553"/>
      </w:pPr>
      <w:r>
        <w:t xml:space="preserve">buséréline.ti,ab. </w:t>
      </w:r>
      <w:r>
        <w:t xml:space="preserve">(59)</w:t>
      </w:r>
    </w:p>
    <w:p>
      <w:pPr>
        <w:pStyle w:val="Paragraphedeliste"/>
        <w:numPr>
          <w:ilvl w:val="0"/>
          <w:numId w:val="121"/>
        </w:numPr>
        <w:tabs>
          <w:tab w:val="left" w:pos="712"/>
          <w:tab w:val="left" w:pos="713"/>
        </w:tabs>
        <w:spacing w:before="40"/>
        <w:ind w:hanging="553"/>
      </w:pPr>
      <w:r>
        <w:t xml:space="preserve">bigoniste.ti,ab. </w:t>
      </w:r>
      <w:r>
        <w:t xml:space="preserve">(0)</w:t>
      </w:r>
    </w:p>
    <w:p>
      <w:pPr>
        <w:pStyle w:val="Corpsdetexte"/>
        <w:tabs>
          <w:tab w:val="left" w:pos="712"/>
        </w:tabs>
        <w:spacing w:before="38"/>
      </w:pPr>
      <w:r>
        <w:t xml:space="preserve">60</w:t>
      </w:r>
      <w:r>
        <w:tab/>
        <w:t xml:space="preserve">("hoe </w:t>
      </w:r>
      <w:r>
        <w:t xml:space="preserve">766" </w:t>
      </w:r>
      <w:r>
        <w:t xml:space="preserve">ou </w:t>
      </w:r>
      <w:r>
        <w:t xml:space="preserve">hoe-766 </w:t>
      </w:r>
      <w:r>
        <w:t xml:space="preserve">ou </w:t>
      </w:r>
      <w:r>
        <w:t xml:space="preserve">hoe766).ti,ab. </w:t>
      </w:r>
      <w:r>
        <w:t xml:space="preserve">(3)</w:t>
      </w:r>
    </w:p>
    <w:p>
      <w:pPr>
        <w:pStyle w:val="Paragraphedeliste"/>
        <w:numPr>
          <w:ilvl w:val="0"/>
          <w:numId w:val="120"/>
        </w:numPr>
        <w:tabs>
          <w:tab w:val="left" w:pos="712"/>
          <w:tab w:val="left" w:pos="713"/>
        </w:tabs>
        <w:spacing w:before="38"/>
        <w:ind w:hanging="553"/>
      </w:pPr>
      <w:r>
        <w:t xml:space="preserve">profact.ti,ab. </w:t>
      </w:r>
      <w:r>
        <w:t xml:space="preserve">(0)</w:t>
      </w:r>
    </w:p>
    <w:p>
      <w:pPr>
        <w:pStyle w:val="Paragraphedeliste"/>
        <w:numPr>
          <w:ilvl w:val="0"/>
          <w:numId w:val="120"/>
        </w:numPr>
        <w:tabs>
          <w:tab w:val="left" w:pos="712"/>
          <w:tab w:val="left" w:pos="713"/>
        </w:tabs>
        <w:ind w:hanging="553"/>
      </w:pPr>
      <w:r>
        <w:t xml:space="preserve">réceptacle.ti,ab. </w:t>
      </w:r>
      <w:r>
        <w:t xml:space="preserve">(0)</w:t>
      </w:r>
    </w:p>
    <w:p>
      <w:pPr>
        <w:pStyle w:val="Paragraphedeliste"/>
        <w:numPr>
          <w:ilvl w:val="0"/>
          <w:numId w:val="120"/>
        </w:numPr>
        <w:tabs>
          <w:tab w:val="left" w:pos="712"/>
          <w:tab w:val="left" w:pos="713"/>
        </w:tabs>
        <w:spacing w:before="38"/>
        <w:ind w:hanging="553"/>
      </w:pPr>
      <w:r>
        <w:t xml:space="preserve">suprecur.ti,ab. </w:t>
      </w:r>
      <w:r>
        <w:t xml:space="preserve">(1)</w:t>
      </w:r>
    </w:p>
    <w:p>
      <w:pPr>
        <w:pStyle w:val="Paragraphedeliste"/>
        <w:numPr>
          <w:ilvl w:val="0"/>
          <w:numId w:val="120"/>
        </w:numPr>
        <w:tabs>
          <w:tab w:val="left" w:pos="712"/>
          <w:tab w:val="left" w:pos="713"/>
        </w:tabs>
        <w:spacing w:before="39"/>
        <w:ind w:hanging="553"/>
      </w:pPr>
      <w:r>
        <w:t xml:space="preserve">suprefact.ti,ab. </w:t>
      </w:r>
      <w:r>
        <w:t xml:space="preserve">(2)</w:t>
      </w:r>
    </w:p>
    <w:p>
      <w:pPr>
        <w:pStyle w:val="Paragraphedeliste"/>
        <w:numPr>
          <w:ilvl w:val="0"/>
          <w:numId w:val="120"/>
        </w:numPr>
        <w:tabs>
          <w:tab w:val="left" w:pos="712"/>
          <w:tab w:val="left" w:pos="713"/>
        </w:tabs>
        <w:spacing w:before="38"/>
        <w:ind w:hanging="553"/>
      </w:pPr>
      <w:r>
        <w:t xml:space="preserve">tiloryth.ti,ab. </w:t>
      </w:r>
      <w:r>
        <w:t xml:space="preserve">(0)</w:t>
      </w:r>
    </w:p>
    <w:p>
      <w:pPr>
        <w:pStyle w:val="Paragraphedeliste"/>
        <w:numPr>
          <w:ilvl w:val="0"/>
          <w:numId w:val="120"/>
        </w:numPr>
        <w:tabs>
          <w:tab w:val="left" w:pos="712"/>
          <w:tab w:val="left" w:pos="713"/>
        </w:tabs>
        <w:ind w:hanging="553"/>
      </w:pPr>
      <w:r>
        <w:t xml:space="preserve">histrelin.ti,ab. </w:t>
      </w:r>
      <w:r>
        <w:t xml:space="preserve">(9)</w:t>
      </w:r>
    </w:p>
    <w:p>
      <w:pPr>
        <w:pStyle w:val="Paragraphedeliste"/>
        <w:numPr>
          <w:ilvl w:val="0"/>
          <w:numId w:val="120"/>
        </w:numPr>
        <w:tabs>
          <w:tab w:val="left" w:pos="712"/>
          <w:tab w:val="left" w:pos="713"/>
        </w:tabs>
        <w:spacing w:before="38" w:line="276" w:lineRule="auto"/>
        <w:ind w:start="160" w:end="5621" w:firstLine="0"/>
      </w:pPr>
      <w:r>
        <w:t xml:space="preserve">"Implant de LHRH-hydrogel".ti,ab. (0) </w:t>
      </w:r>
      <w:r>
        <w:t xml:space="preserve">68</w:t>
      </w:r>
      <w:r>
        <w:tab/>
        <w:t xml:space="preserve">("RL 0903" ou RL0903).ti,ab. (0) </w:t>
      </w:r>
      <w:r>
        <w:t xml:space="preserve">69</w:t>
      </w:r>
      <w:r>
        <w:tab/>
        <w:t xml:space="preserve">("SPD </w:t>
      </w:r>
      <w:r>
        <w:t xml:space="preserve">424" </w:t>
      </w:r>
      <w:r>
        <w:t xml:space="preserve">ou </w:t>
      </w:r>
      <w:r>
        <w:t xml:space="preserve">SPD424).ti,ab. </w:t>
      </w:r>
      <w:r>
        <w:t xml:space="preserve">(0)</w:t>
      </w:r>
    </w:p>
    <w:p>
      <w:pPr>
        <w:pStyle w:val="Paragraphedeliste"/>
        <w:numPr>
          <w:ilvl w:val="0"/>
          <w:numId w:val="119"/>
        </w:numPr>
        <w:tabs>
          <w:tab w:val="left" w:pos="712"/>
          <w:tab w:val="left" w:pos="713"/>
        </w:tabs>
        <w:spacing w:before="0"/>
        <w:ind w:hanging="553"/>
      </w:pPr>
      <w:r>
        <w:t xml:space="preserve">goséréline.ti,ab. </w:t>
      </w:r>
      <w:r>
        <w:t xml:space="preserve">(68)</w:t>
      </w:r>
    </w:p>
    <w:p>
      <w:pPr>
        <w:pStyle w:val="Paragraphedeliste"/>
        <w:numPr>
          <w:ilvl w:val="0"/>
          <w:numId w:val="119"/>
        </w:numPr>
        <w:tabs>
          <w:tab w:val="left" w:pos="712"/>
          <w:tab w:val="left" w:pos="713"/>
        </w:tabs>
        <w:spacing w:before="38"/>
        <w:ind w:hanging="553"/>
      </w:pPr>
      <w:r>
        <w:t xml:space="preserve">Goséréline/ </w:t>
      </w:r>
      <w:r>
        <w:t xml:space="preserve">(0)</w:t>
      </w:r>
    </w:p>
    <w:p>
      <w:pPr>
        <w:pStyle w:val="Corpsdetexte"/>
        <w:tabs>
          <w:tab w:val="left" w:pos="712"/>
        </w:tabs>
      </w:pPr>
      <w:r>
        <w:t xml:space="preserve">72</w:t>
      </w:r>
      <w:r>
        <w:tab/>
        <w:t xml:space="preserve">("ici </w:t>
      </w:r>
      <w:r>
        <w:t xml:space="preserve">118630" </w:t>
      </w:r>
      <w:r>
        <w:t xml:space="preserve">ou </w:t>
      </w:r>
      <w:r>
        <w:t xml:space="preserve">ici118630).ti,ab. </w:t>
      </w:r>
      <w:r>
        <w:t xml:space="preserve">(0)</w:t>
      </w:r>
    </w:p>
    <w:p>
      <w:pPr>
        <w:pStyle w:val="Corpsdetexte"/>
        <w:tabs>
          <w:tab w:val="left" w:pos="712"/>
        </w:tabs>
        <w:spacing w:before="40"/>
      </w:pPr>
      <w:r>
        <w:t xml:space="preserve">73</w:t>
      </w:r>
      <w:r>
        <w:tab/>
        <w:t xml:space="preserve">("ZD-9393" </w:t>
      </w:r>
      <w:r>
        <w:t xml:space="preserve">ou </w:t>
      </w:r>
      <w:r>
        <w:t xml:space="preserve">ZD9393).ti,ab. </w:t>
      </w:r>
      <w:r>
        <w:t xml:space="preserve">(0)</w:t>
      </w:r>
    </w:p>
    <w:p>
      <w:pPr>
        <w:pStyle w:val="Paragraphedeliste"/>
        <w:numPr>
          <w:ilvl w:val="0"/>
          <w:numId w:val="118"/>
        </w:numPr>
        <w:tabs>
          <w:tab w:val="left" w:pos="712"/>
          <w:tab w:val="left" w:pos="713"/>
        </w:tabs>
        <w:spacing w:before="38"/>
        <w:ind w:hanging="553"/>
      </w:pPr>
      <w:r>
        <w:t xml:space="preserve">zoladex.ti,ab. </w:t>
      </w:r>
      <w:r>
        <w:t xml:space="preserve">(6)</w:t>
      </w:r>
    </w:p>
    <w:p>
      <w:pPr>
        <w:pStyle w:val="Paragraphedeliste"/>
        <w:numPr>
          <w:ilvl w:val="0"/>
          <w:numId w:val="118"/>
        </w:numPr>
        <w:tabs>
          <w:tab w:val="left" w:pos="712"/>
          <w:tab w:val="left" w:pos="713"/>
        </w:tabs>
        <w:ind w:hanging="553"/>
      </w:pPr>
      <w:r>
        <w:t xml:space="preserve">leuprorelin.ti,ab. </w:t>
      </w:r>
      <w:r>
        <w:t xml:space="preserve">(47)</w:t>
      </w:r>
    </w:p>
    <w:p>
      <w:pPr>
        <w:pStyle w:val="Paragraphedeliste"/>
        <w:numPr>
          <w:ilvl w:val="0"/>
          <w:numId w:val="118"/>
        </w:numPr>
        <w:tabs>
          <w:tab w:val="left" w:pos="712"/>
          <w:tab w:val="left" w:pos="713"/>
        </w:tabs>
        <w:spacing w:before="38"/>
        <w:ind w:hanging="553"/>
      </w:pPr>
      <w:r>
        <w:t xml:space="preserve">carcinil.ti,ab. </w:t>
      </w:r>
      <w:r>
        <w:t xml:space="preserve">(0)</w:t>
      </w:r>
    </w:p>
    <w:p>
      <w:pPr>
        <w:pStyle w:val="Paragraphedeliste"/>
        <w:numPr>
          <w:ilvl w:val="0"/>
          <w:numId w:val="118"/>
        </w:numPr>
        <w:tabs>
          <w:tab w:val="left" w:pos="712"/>
          <w:tab w:val="left" w:pos="713"/>
        </w:tabs>
        <w:ind w:hanging="553"/>
      </w:pPr>
      <w:r>
        <w:t xml:space="preserve">enanton*.ti,ab. </w:t>
      </w:r>
      <w:r>
        <w:t xml:space="preserve">(1)</w:t>
      </w:r>
    </w:p>
    <w:p>
      <w:pPr>
        <w:pStyle w:val="Paragraphedeliste"/>
        <w:numPr>
          <w:ilvl w:val="0"/>
          <w:numId w:val="118"/>
        </w:numPr>
        <w:tabs>
          <w:tab w:val="left" w:pos="712"/>
          <w:tab w:val="left" w:pos="713"/>
        </w:tabs>
        <w:spacing w:before="40"/>
        <w:ind w:hanging="553"/>
      </w:pPr>
      <w:r>
        <w:t xml:space="preserve">ginecrin.ti,ab. </w:t>
      </w:r>
      <w:r>
        <w:t xml:space="preserve">(0)</w:t>
      </w:r>
    </w:p>
    <w:p>
      <w:pPr>
        <w:pStyle w:val="Paragraphedeliste"/>
        <w:numPr>
          <w:ilvl w:val="0"/>
          <w:numId w:val="118"/>
        </w:numPr>
        <w:tabs>
          <w:tab w:val="left" w:pos="712"/>
          <w:tab w:val="left" w:pos="713"/>
        </w:tabs>
        <w:ind w:hanging="553"/>
      </w:pPr>
      <w:r>
        <w:t xml:space="preserve">leuplin.ti,ab. </w:t>
      </w:r>
      <w:r>
        <w:t xml:space="preserve">(1)</w:t>
      </w:r>
    </w:p>
    <w:p>
      <w:pPr>
        <w:pStyle w:val="Paragraphedeliste"/>
        <w:numPr>
          <w:ilvl w:val="0"/>
          <w:numId w:val="118"/>
        </w:numPr>
        <w:tabs>
          <w:tab w:val="left" w:pos="712"/>
          <w:tab w:val="left" w:pos="713"/>
        </w:tabs>
        <w:spacing w:before="38"/>
        <w:ind w:hanging="553"/>
      </w:pPr>
      <w:r>
        <w:t xml:space="preserve">Leuprolide/ </w:t>
      </w:r>
      <w:r>
        <w:t xml:space="preserve">(0)</w:t>
      </w:r>
    </w:p>
    <w:p>
      <w:pPr>
        <w:pStyle w:val="Paragraphedeliste"/>
        <w:numPr>
          <w:ilvl w:val="0"/>
          <w:numId w:val="118"/>
        </w:numPr>
        <w:tabs>
          <w:tab w:val="left" w:pos="712"/>
          <w:tab w:val="left" w:pos="713"/>
        </w:tabs>
        <w:ind w:hanging="553"/>
      </w:pPr>
      <w:r>
        <w:t xml:space="preserve">leuprolide.ti,ab. </w:t>
      </w:r>
      <w:r>
        <w:t xml:space="preserve">(121)</w:t>
      </w:r>
    </w:p>
    <w:p>
      <w:pPr>
        <w:pStyle w:val="Paragraphedeliste"/>
        <w:numPr>
          <w:ilvl w:val="0"/>
          <w:numId w:val="118"/>
        </w:numPr>
        <w:tabs>
          <w:tab w:val="left" w:pos="712"/>
          <w:tab w:val="left" w:pos="713"/>
        </w:tabs>
        <w:spacing w:before="40"/>
        <w:ind w:hanging="553"/>
      </w:pPr>
      <w:r>
        <w:t xml:space="preserve">lucrin.ti,ab. </w:t>
      </w:r>
      <w:r>
        <w:t xml:space="preserve">(4)</w:t>
      </w:r>
    </w:p>
    <w:p>
      <w:pPr>
        <w:pStyle w:val="Paragraphedeliste"/>
        <w:numPr>
          <w:ilvl w:val="0"/>
          <w:numId w:val="118"/>
        </w:numPr>
        <w:tabs>
          <w:tab w:val="left" w:pos="712"/>
          <w:tab w:val="left" w:pos="713"/>
        </w:tabs>
        <w:ind w:hanging="553"/>
      </w:pPr>
      <w:r>
        <w:t xml:space="preserve">lupron.ti,ab. </w:t>
      </w:r>
      <w:r>
        <w:t xml:space="preserve">(10)</w:t>
      </w:r>
    </w:p>
    <w:p>
      <w:pPr>
        <w:pStyle w:val="Paragraphedeliste"/>
        <w:numPr>
          <w:ilvl w:val="0"/>
          <w:numId w:val="118"/>
        </w:numPr>
        <w:tabs>
          <w:tab w:val="left" w:pos="712"/>
          <w:tab w:val="left" w:pos="713"/>
        </w:tabs>
        <w:spacing w:before="38"/>
        <w:ind w:hanging="553"/>
      </w:pPr>
      <w:r>
        <w:t xml:space="preserve">provren.ti,ab. </w:t>
      </w:r>
      <w:r>
        <w:t xml:space="preserve">(0)</w:t>
      </w:r>
    </w:p>
    <w:p>
      <w:pPr>
        <w:pStyle w:val="Paragraphedeliste"/>
        <w:numPr>
          <w:ilvl w:val="0"/>
          <w:numId w:val="118"/>
        </w:numPr>
        <w:tabs>
          <w:tab w:val="left" w:pos="712"/>
          <w:tab w:val="left" w:pos="713"/>
        </w:tabs>
        <w:ind w:hanging="553"/>
      </w:pPr>
      <w:r>
        <w:t xml:space="preserve">procrine.ti,ab. </w:t>
      </w:r>
      <w:r>
        <w:t xml:space="preserve">(0)</w:t>
      </w:r>
    </w:p>
    <w:p>
      <w:pPr>
        <w:pStyle w:val="Corpsdetexte"/>
        <w:tabs>
          <w:tab w:val="left" w:pos="712"/>
        </w:tabs>
        <w:spacing w:before="38"/>
      </w:pPr>
      <w:r>
        <w:t xml:space="preserve">86</w:t>
      </w:r>
      <w:r>
        <w:tab/>
        <w:t xml:space="preserve">("tap </w:t>
      </w:r>
      <w:r>
        <w:t xml:space="preserve">144" </w:t>
      </w:r>
      <w:r>
        <w:t xml:space="preserve">ou </w:t>
      </w:r>
      <w:r>
        <w:t xml:space="preserve">tap144).ti,ab. </w:t>
      </w:r>
      <w:r>
        <w:t xml:space="preserve">(0)</w:t>
      </w:r>
    </w:p>
    <w:p>
      <w:pPr>
        <w:pStyle w:val="Corpsdetexte"/>
        <w:tabs>
          <w:tab w:val="left" w:pos="712"/>
        </w:tabs>
        <w:spacing w:before="40"/>
      </w:pPr>
      <w:r>
        <w:t xml:space="preserve">87</w:t>
      </w:r>
      <w:r>
        <w:tab/>
        <w:t xml:space="preserve">(a-43818 </w:t>
      </w:r>
      <w:r>
        <w:t xml:space="preserve">ou </w:t>
      </w:r>
      <w:r>
        <w:t xml:space="preserve">a43818).ti,ab. </w:t>
      </w:r>
      <w:r>
        <w:t xml:space="preserve">(0)</w:t>
      </w:r>
    </w:p>
    <w:p>
      <w:pPr>
        <w:pStyle w:val="Paragraphedeliste"/>
        <w:numPr>
          <w:ilvl w:val="0"/>
          <w:numId w:val="117"/>
        </w:numPr>
        <w:tabs>
          <w:tab w:val="left" w:pos="712"/>
          <w:tab w:val="left" w:pos="713"/>
        </w:tabs>
        <w:spacing w:before="38"/>
        <w:ind w:hanging="553"/>
      </w:pPr>
      <w:r>
        <w:t xml:space="preserve">Trenantone.ti,ab. </w:t>
      </w:r>
      <w:r>
        <w:t xml:space="preserve">(1)</w:t>
      </w:r>
    </w:p>
    <w:p>
      <w:pPr>
        <w:pStyle w:val="Paragraphedeliste"/>
        <w:numPr>
          <w:ilvl w:val="0"/>
          <w:numId w:val="117"/>
        </w:numPr>
        <w:tabs>
          <w:tab w:val="left" w:pos="712"/>
          <w:tab w:val="left" w:pos="713"/>
        </w:tabs>
        <w:ind w:hanging="553"/>
      </w:pPr>
      <w:r>
        <w:t xml:space="preserve">staladex.ti,ab. </w:t>
      </w:r>
      <w:r>
        <w:t xml:space="preserve">(0)</w:t>
      </w:r>
    </w:p>
    <w:p>
      <w:pPr>
        <w:pStyle w:val="Paragraphedeliste"/>
        <w:numPr>
          <w:ilvl w:val="0"/>
          <w:numId w:val="117"/>
        </w:numPr>
        <w:tabs>
          <w:tab w:val="left" w:pos="712"/>
          <w:tab w:val="left" w:pos="713"/>
        </w:tabs>
        <w:ind w:hanging="553"/>
      </w:pPr>
      <w:r>
        <w:t xml:space="preserve">prostap.ti,ab. </w:t>
      </w:r>
      <w:r>
        <w:t xml:space="preserve">(0)</w:t>
      </w:r>
    </w:p>
    <w:p>
      <w:pPr>
        <w:pStyle w:val="Paragraphedeliste"/>
        <w:numPr>
          <w:ilvl w:val="0"/>
          <w:numId w:val="117"/>
        </w:numPr>
        <w:tabs>
          <w:tab w:val="left" w:pos="712"/>
          <w:tab w:val="left" w:pos="713"/>
        </w:tabs>
        <w:spacing w:before="40"/>
        <w:ind w:hanging="553"/>
      </w:pPr>
      <w:r>
        <w:t xml:space="preserve">Nafarelin/ </w:t>
      </w:r>
      <w:r>
        <w:t xml:space="preserve">(0)</w:t>
      </w:r>
    </w:p>
    <w:p>
      <w:pPr>
        <w:pStyle w:val="Paragraphedeliste"/>
        <w:numPr>
          <w:ilvl w:val="0"/>
          <w:numId w:val="117"/>
        </w:numPr>
        <w:tabs>
          <w:tab w:val="left" w:pos="712"/>
          <w:tab w:val="left" w:pos="713"/>
        </w:tabs>
        <w:spacing w:before="38"/>
        <w:ind w:hanging="553"/>
      </w:pPr>
      <w:r>
        <w:t xml:space="preserve">nafarelin.ti,ab. </w:t>
      </w:r>
      <w:r>
        <w:t xml:space="preserve">(5)</w:t>
      </w:r>
    </w:p>
    <w:p>
      <w:pPr>
        <w:pStyle w:val="Corpsdetexte"/>
        <w:tabs>
          <w:tab w:val="left" w:pos="712"/>
        </w:tabs>
      </w:pPr>
      <w:r>
        <w:t xml:space="preserve">93</w:t>
      </w:r>
      <w:r>
        <w:tab/>
        <w:t xml:space="preserve">("76932-56-4" </w:t>
      </w:r>
      <w:r>
        <w:t xml:space="preserve">ou </w:t>
      </w:r>
      <w:r>
        <w:t xml:space="preserve">"76932564"</w:t>
      </w:r>
      <w:r>
        <w:t xml:space="preserve">).ti,ab. </w:t>
      </w:r>
      <w:r>
        <w:t xml:space="preserve">(0)</w:t>
      </w:r>
    </w:p>
    <w:p w:rsidR="00432386" w:rsidRDefault="00432386">
      <w:pPr>
        <w:sectPr w:rsidR="00432386">
          <w:pgSz w:w="11910" w:h="16840"/>
          <w:pgMar w:top="1180" w:right="980" w:bottom="1460" w:left="1280" w:header="0" w:footer="1183" w:gutter="0"/>
          <w:cols w:space="720"/>
        </w:sectPr>
      </w:pPr>
    </w:p>
    <w:p>
      <w:pPr>
        <w:pStyle w:val="Corpsdetexte"/>
        <w:tabs>
          <w:tab w:val="left" w:pos="712"/>
        </w:tabs>
        <w:spacing w:before="78"/>
      </w:pPr>
      <w:r>
        <w:lastRenderedPageBreak/>
        <w:t xml:space="preserve">94</w:t>
      </w:r>
      <w:r>
        <w:tab/>
        <w:t xml:space="preserve">("76932-60-0" </w:t>
      </w:r>
      <w:r>
        <w:t xml:space="preserve">ou </w:t>
      </w:r>
      <w:r>
        <w:t xml:space="preserve">"76932600").ti,ab. </w:t>
      </w:r>
      <w:r>
        <w:t xml:space="preserve">(0)</w:t>
      </w:r>
    </w:p>
    <w:p>
      <w:pPr>
        <w:pStyle w:val="Corpsdetexte"/>
        <w:tabs>
          <w:tab w:val="left" w:pos="712"/>
        </w:tabs>
        <w:spacing w:before="38"/>
      </w:pPr>
      <w:r>
        <w:t xml:space="preserve">95</w:t>
      </w:r>
      <w:r>
        <w:tab/>
        <w:t xml:space="preserve">("86220-42-0" </w:t>
      </w:r>
      <w:r>
        <w:t xml:space="preserve">ou </w:t>
      </w:r>
      <w:r>
        <w:t xml:space="preserve">"86220420").ti,ab. </w:t>
      </w:r>
      <w:r>
        <w:t xml:space="preserve">(0)</w:t>
      </w:r>
    </w:p>
    <w:p>
      <w:pPr>
        <w:pStyle w:val="Corpsdetexte"/>
        <w:tabs>
          <w:tab w:val="left" w:pos="712"/>
        </w:tabs>
      </w:pPr>
      <w:r>
        <w:t xml:space="preserve">96</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116"/>
        </w:numPr>
        <w:tabs>
          <w:tab w:val="left" w:pos="712"/>
          <w:tab w:val="left" w:pos="713"/>
        </w:tabs>
        <w:spacing w:before="38"/>
        <w:ind w:hanging="553"/>
      </w:pPr>
      <w:r>
        <w:t xml:space="preserve">synarel.ti,ab. </w:t>
      </w:r>
      <w:r>
        <w:t xml:space="preserve">(0)</w:t>
      </w:r>
    </w:p>
    <w:p>
      <w:pPr>
        <w:pStyle w:val="Paragraphedeliste"/>
        <w:numPr>
          <w:ilvl w:val="0"/>
          <w:numId w:val="116"/>
        </w:numPr>
        <w:tabs>
          <w:tab w:val="left" w:pos="712"/>
          <w:tab w:val="left" w:pos="713"/>
        </w:tabs>
        <w:spacing w:before="40"/>
        <w:ind w:hanging="553"/>
      </w:pPr>
      <w:r>
        <w:t xml:space="preserve">deslorelin.ti,ab. </w:t>
      </w:r>
      <w:r>
        <w:t xml:space="preserve">(14)</w:t>
      </w:r>
    </w:p>
    <w:p>
      <w:pPr>
        <w:pStyle w:val="Paragraphedeliste"/>
        <w:numPr>
          <w:ilvl w:val="0"/>
          <w:numId w:val="116"/>
        </w:numPr>
        <w:tabs>
          <w:tab w:val="left" w:pos="712"/>
          <w:tab w:val="left" w:pos="713"/>
        </w:tabs>
        <w:ind w:hanging="553"/>
      </w:pPr>
      <w:r>
        <w:t xml:space="preserve">gonadorelin.ti,ab. </w:t>
      </w:r>
      <w:r>
        <w:t xml:space="preserve">(13)</w:t>
      </w:r>
    </w:p>
    <w:p>
      <w:pPr>
        <w:pStyle w:val="Corpsdetexte"/>
        <w:tabs>
          <w:tab w:val="left" w:pos="834"/>
        </w:tabs>
      </w:pPr>
      <w:r>
        <w:t xml:space="preserve">100</w:t>
      </w:r>
      <w:r>
        <w:tab/>
        <w:t xml:space="preserve">("33515-09-2" </w:t>
      </w:r>
      <w:r>
        <w:t xml:space="preserve">ou </w:t>
      </w:r>
      <w:r>
        <w:t xml:space="preserve">"</w:t>
      </w:r>
      <w:r>
        <w:t xml:space="preserve">33515092").ti,ab. </w:t>
      </w:r>
      <w:r>
        <w:t xml:space="preserve">(0)</w:t>
      </w:r>
    </w:p>
    <w:p>
      <w:pPr>
        <w:pStyle w:val="Corpsdetexte"/>
        <w:tabs>
          <w:tab w:val="left" w:pos="834"/>
        </w:tabs>
        <w:spacing w:before="38"/>
      </w:pPr>
      <w:r>
        <w:t xml:space="preserve">101</w:t>
      </w:r>
      <w:r>
        <w:tab/>
        <w:t xml:space="preserve">("51952-41-1" </w:t>
      </w:r>
      <w:r>
        <w:t xml:space="preserve">ou </w:t>
      </w:r>
      <w:r>
        <w:t xml:space="preserve">"51952411").ti,ab. </w:t>
      </w:r>
      <w:r>
        <w:t xml:space="preserve">(0)</w:t>
      </w:r>
    </w:p>
    <w:p>
      <w:pPr>
        <w:pStyle w:val="Corpsdetexte"/>
        <w:tabs>
          <w:tab w:val="left" w:pos="834"/>
        </w:tabs>
      </w:pPr>
      <w:r>
        <w:t xml:space="preserve">102</w:t>
      </w:r>
      <w:r>
        <w:tab/>
        <w:t xml:space="preserve">("52699-48-6" </w:t>
      </w:r>
      <w:r>
        <w:t xml:space="preserve">ou </w:t>
      </w:r>
      <w:r>
        <w:t xml:space="preserve">"52699486").ti,ab. </w:t>
      </w:r>
      <w:r>
        <w:t xml:space="preserve">(0)</w:t>
      </w:r>
    </w:p>
    <w:p>
      <w:pPr>
        <w:pStyle w:val="Paragraphedeliste"/>
        <w:numPr>
          <w:ilvl w:val="0"/>
          <w:numId w:val="115"/>
        </w:numPr>
        <w:tabs>
          <w:tab w:val="left" w:pos="834"/>
          <w:tab w:val="left" w:pos="835"/>
        </w:tabs>
        <w:spacing w:before="40"/>
      </w:pPr>
      <w:r>
        <w:t xml:space="preserve">cetrorelix.ti,ab. </w:t>
      </w:r>
      <w:r>
        <w:t xml:space="preserve">(31)</w:t>
      </w:r>
    </w:p>
    <w:p>
      <w:pPr>
        <w:pStyle w:val="Paragraphedeliste"/>
        <w:numPr>
          <w:ilvl w:val="0"/>
          <w:numId w:val="115"/>
        </w:numPr>
        <w:tabs>
          <w:tab w:val="left" w:pos="834"/>
          <w:tab w:val="left" w:pos="835"/>
        </w:tabs>
        <w:spacing w:before="38"/>
      </w:pPr>
      <w:r>
        <w:t xml:space="preserve">cetrotide.ti,ab. </w:t>
      </w:r>
      <w:r>
        <w:t xml:space="preserve">(5)</w:t>
      </w:r>
    </w:p>
    <w:p>
      <w:pPr>
        <w:pStyle w:val="Corpsdetexte"/>
        <w:tabs>
          <w:tab w:val="left" w:pos="834"/>
        </w:tabs>
      </w:pPr>
      <w:r>
        <w:t xml:space="preserve">105</w:t>
      </w:r>
      <w:r>
        <w:tab/>
        <w:t xml:space="preserve">("NS </w:t>
      </w:r>
      <w:r>
        <w:t xml:space="preserve">75A" </w:t>
      </w:r>
      <w:r>
        <w:t xml:space="preserve">ou </w:t>
      </w:r>
      <w:r>
        <w:t xml:space="preserve">NS75A).ti,ab. </w:t>
      </w:r>
      <w:r>
        <w:t xml:space="preserve">(0)</w:t>
      </w:r>
    </w:p>
    <w:p>
      <w:pPr>
        <w:pStyle w:val="Corpsdetexte"/>
        <w:tabs>
          <w:tab w:val="left" w:pos="834"/>
        </w:tabs>
      </w:pPr>
      <w:r>
        <w:t xml:space="preserve">106</w:t>
      </w:r>
      <w:r>
        <w:tab/>
        <w:t xml:space="preserve">("NS </w:t>
      </w:r>
      <w:r>
        <w:t xml:space="preserve">75B" </w:t>
      </w:r>
      <w:r>
        <w:t xml:space="preserve">ou </w:t>
      </w:r>
      <w:r>
        <w:t xml:space="preserve">NS75B).ti,ab. </w:t>
      </w:r>
      <w:r>
        <w:t xml:space="preserve">(0)</w:t>
      </w:r>
    </w:p>
    <w:p>
      <w:pPr>
        <w:pStyle w:val="Corpsdetexte"/>
        <w:tabs>
          <w:tab w:val="left" w:pos="834"/>
        </w:tabs>
        <w:spacing w:before="40"/>
      </w:pPr>
      <w:r>
        <w:t xml:space="preserve">107</w:t>
      </w:r>
      <w:r>
        <w:tab/>
        <w:t xml:space="preserve">("SB </w:t>
      </w:r>
      <w:r>
        <w:t xml:space="preserve">075" </w:t>
      </w:r>
      <w:r>
        <w:t xml:space="preserve">ou </w:t>
      </w:r>
      <w:r>
        <w:t xml:space="preserve">SB075).ti,ab. </w:t>
      </w:r>
      <w:r>
        <w:t xml:space="preserve">(0)</w:t>
      </w:r>
    </w:p>
    <w:p>
      <w:pPr>
        <w:pStyle w:val="Corpsdetexte"/>
        <w:tabs>
          <w:tab w:val="left" w:pos="834"/>
        </w:tabs>
        <w:spacing w:before="38"/>
      </w:pPr>
      <w:r>
        <w:t xml:space="preserve">108</w:t>
      </w:r>
      <w:r>
        <w:tab/>
        <w:t xml:space="preserve">("SB </w:t>
      </w:r>
      <w:r>
        <w:t xml:space="preserve">75" </w:t>
      </w:r>
      <w:r>
        <w:t xml:space="preserve">ou </w:t>
      </w:r>
      <w:r>
        <w:t xml:space="preserve">SB75).ti,ab. </w:t>
      </w:r>
      <w:r>
        <w:t xml:space="preserve">(2)</w:t>
      </w:r>
    </w:p>
    <w:p>
      <w:pPr>
        <w:pStyle w:val="Paragraphedeliste"/>
        <w:numPr>
          <w:ilvl w:val="0"/>
          <w:numId w:val="114"/>
        </w:numPr>
        <w:tabs>
          <w:tab w:val="left" w:pos="834"/>
          <w:tab w:val="left" w:pos="835"/>
        </w:tabs>
        <w:spacing w:before="38"/>
      </w:pPr>
      <w:r>
        <w:t xml:space="preserve">gonadoliberin.ti,ab. </w:t>
      </w:r>
      <w:r>
        <w:t xml:space="preserve">(4)</w:t>
      </w:r>
    </w:p>
    <w:p>
      <w:pPr>
        <w:pStyle w:val="Paragraphedeliste"/>
        <w:numPr>
          <w:ilvl w:val="0"/>
          <w:numId w:val="114"/>
        </w:numPr>
        <w:tabs>
          <w:tab w:val="left" w:pos="834"/>
          <w:tab w:val="left" w:pos="835"/>
        </w:tabs>
      </w:pPr>
      <w:r>
        <w:t xml:space="preserve">kryptocur.ti,ab. </w:t>
      </w:r>
      <w:r>
        <w:t xml:space="preserve">(1)</w:t>
      </w:r>
    </w:p>
    <w:p>
      <w:pPr>
        <w:pStyle w:val="Paragraphedeliste"/>
        <w:numPr>
          <w:ilvl w:val="0"/>
          <w:numId w:val="114"/>
        </w:numPr>
        <w:tabs>
          <w:tab w:val="left" w:pos="834"/>
          <w:tab w:val="left" w:pos="835"/>
        </w:tabs>
        <w:spacing w:before="38"/>
      </w:pPr>
      <w:r>
        <w:t xml:space="preserve">cetrorelix.ti,ab. </w:t>
      </w:r>
      <w:r>
        <w:t xml:space="preserve">(31)</w:t>
      </w:r>
    </w:p>
    <w:p>
      <w:pPr>
        <w:pStyle w:val="Paragraphedeliste"/>
        <w:numPr>
          <w:ilvl w:val="0"/>
          <w:numId w:val="114"/>
        </w:numPr>
        <w:tabs>
          <w:tab w:val="left" w:pos="834"/>
          <w:tab w:val="left" w:pos="835"/>
        </w:tabs>
        <w:spacing w:before="39"/>
      </w:pPr>
      <w:r>
        <w:t xml:space="preserve">cetrotide.ti,ab. </w:t>
      </w:r>
      <w:r>
        <w:t xml:space="preserve">(5)</w:t>
      </w:r>
    </w:p>
    <w:p>
      <w:pPr>
        <w:pStyle w:val="Paragraphedeliste"/>
        <w:numPr>
          <w:ilvl w:val="0"/>
          <w:numId w:val="114"/>
        </w:numPr>
        <w:tabs>
          <w:tab w:val="left" w:pos="834"/>
          <w:tab w:val="left" w:pos="835"/>
        </w:tabs>
        <w:spacing w:before="38"/>
      </w:pPr>
      <w:r>
        <w:t xml:space="preserve">antagoniste.ti,ab. </w:t>
      </w:r>
      <w:r>
        <w:t xml:space="preserve">(0)</w:t>
      </w:r>
    </w:p>
    <w:p>
      <w:pPr>
        <w:pStyle w:val="Paragraphedeliste"/>
        <w:numPr>
          <w:ilvl w:val="0"/>
          <w:numId w:val="114"/>
        </w:numPr>
        <w:tabs>
          <w:tab w:val="left" w:pos="834"/>
          <w:tab w:val="left" w:pos="835"/>
        </w:tabs>
      </w:pPr>
      <w:r>
        <w:t xml:space="preserve">ganirelix.ti,ab. </w:t>
      </w:r>
      <w:r>
        <w:t xml:space="preserve">(8)</w:t>
      </w:r>
    </w:p>
    <w:p>
      <w:pPr>
        <w:pStyle w:val="Corpsdetexte"/>
        <w:tabs>
          <w:tab w:val="left" w:pos="834"/>
        </w:tabs>
        <w:spacing w:before="38"/>
      </w:pPr>
      <w:r>
        <w:t xml:space="preserve">115</w:t>
      </w:r>
      <w:r>
        <w:tab/>
        <w:t xml:space="preserve">("ORG </w:t>
      </w:r>
      <w:r>
        <w:t xml:space="preserve">37462" </w:t>
      </w:r>
      <w:r>
        <w:t xml:space="preserve">ou </w:t>
      </w:r>
      <w:r>
        <w:t xml:space="preserve">ORG37462).ti,ab. </w:t>
      </w:r>
      <w:r>
        <w:t xml:space="preserve">(0)</w:t>
      </w:r>
    </w:p>
    <w:p>
      <w:pPr>
        <w:pStyle w:val="Corpsdetexte"/>
        <w:tabs>
          <w:tab w:val="left" w:pos="834"/>
        </w:tabs>
        <w:spacing w:before="39"/>
      </w:pPr>
      <w:r>
        <w:t xml:space="preserve">116orgalutran</w:t>
      </w:r>
      <w:r>
        <w:tab/>
        <w:t xml:space="preserve">.ti,ab. </w:t>
      </w:r>
      <w:r>
        <w:t xml:space="preserve">(3)</w:t>
      </w:r>
    </w:p>
    <w:p>
      <w:pPr>
        <w:pStyle w:val="Corpsdetexte"/>
        <w:tabs>
          <w:tab w:val="left" w:pos="834"/>
        </w:tabs>
        <w:spacing w:before="38"/>
      </w:pPr>
      <w:r>
        <w:t xml:space="preserve">117</w:t>
      </w:r>
      <w:r>
        <w:tab/>
        <w:t xml:space="preserve">("RS </w:t>
      </w:r>
      <w:r>
        <w:t xml:space="preserve">26306" </w:t>
      </w:r>
      <w:r>
        <w:t xml:space="preserve">ou </w:t>
      </w:r>
      <w:r>
        <w:t xml:space="preserve">RS26306</w:t>
      </w:r>
      <w:r>
        <w:t xml:space="preserve">).ti,ab. </w:t>
      </w:r>
      <w:r>
        <w:t xml:space="preserve">(0)</w:t>
      </w:r>
    </w:p>
    <w:p>
      <w:pPr>
        <w:pStyle w:val="Corpsdetexte"/>
        <w:tabs>
          <w:tab w:val="left" w:pos="834"/>
        </w:tabs>
      </w:pPr>
      <w:r>
        <w:t xml:space="preserve">118</w:t>
      </w:r>
      <w:r>
        <w:tab/>
        <w:t xml:space="preserve">("AY </w:t>
      </w:r>
      <w:r>
        <w:t xml:space="preserve">24031" </w:t>
      </w:r>
      <w:r>
        <w:t xml:space="preserve">ou </w:t>
      </w:r>
      <w:r>
        <w:t xml:space="preserve">AY24031).ti,ab. </w:t>
      </w:r>
      <w:r>
        <w:t xml:space="preserve">(0)</w:t>
      </w:r>
    </w:p>
    <w:p>
      <w:pPr>
        <w:pStyle w:val="Paragraphedeliste"/>
        <w:numPr>
          <w:ilvl w:val="0"/>
          <w:numId w:val="113"/>
        </w:numPr>
        <w:tabs>
          <w:tab w:val="left" w:pos="834"/>
          <w:tab w:val="left" w:pos="835"/>
        </w:tabs>
        <w:spacing w:before="38"/>
      </w:pPr>
      <w:r>
        <w:t xml:space="preserve">factrel.ti,ab. </w:t>
      </w:r>
      <w:r>
        <w:t xml:space="preserve">(2)</w:t>
      </w:r>
    </w:p>
    <w:p>
      <w:pPr>
        <w:pStyle w:val="Paragraphedeliste"/>
        <w:numPr>
          <w:ilvl w:val="0"/>
          <w:numId w:val="113"/>
        </w:numPr>
        <w:tabs>
          <w:tab w:val="left" w:pos="834"/>
          <w:tab w:val="left" w:pos="835"/>
        </w:tabs>
      </w:pPr>
      <w:r>
        <w:t xml:space="preserve">fertagyl.ti,ab. </w:t>
      </w:r>
      <w:r>
        <w:t xml:space="preserve">(1)</w:t>
      </w:r>
    </w:p>
    <w:p>
      <w:pPr>
        <w:pStyle w:val="Paragraphedeliste"/>
        <w:numPr>
          <w:ilvl w:val="0"/>
          <w:numId w:val="113"/>
        </w:numPr>
        <w:tabs>
          <w:tab w:val="left" w:pos="834"/>
          <w:tab w:val="left" w:pos="835"/>
        </w:tabs>
        <w:spacing w:before="40"/>
      </w:pPr>
      <w:r>
        <w:t xml:space="preserve">lutrelef.ti,ab. </w:t>
      </w:r>
      <w:r>
        <w:t xml:space="preserve">(0)</w:t>
      </w:r>
    </w:p>
    <w:p>
      <w:pPr>
        <w:pStyle w:val="Paragraphedeliste"/>
        <w:numPr>
          <w:ilvl w:val="0"/>
          <w:numId w:val="113"/>
        </w:numPr>
        <w:tabs>
          <w:tab w:val="left" w:pos="834"/>
          <w:tab w:val="left" w:pos="835"/>
        </w:tabs>
        <w:spacing w:before="38"/>
      </w:pPr>
      <w:r>
        <w:t xml:space="preserve">lutrepulse.ti,ab. </w:t>
      </w:r>
      <w:r>
        <w:t xml:space="preserve">(0)</w:t>
      </w:r>
    </w:p>
    <w:p>
      <w:pPr>
        <w:pStyle w:val="Paragraphedeliste"/>
        <w:numPr>
          <w:ilvl w:val="0"/>
          <w:numId w:val="113"/>
        </w:numPr>
        <w:tabs>
          <w:tab w:val="left" w:pos="834"/>
          <w:tab w:val="left" w:pos="835"/>
        </w:tabs>
      </w:pPr>
      <w:r>
        <w:t xml:space="preserve">relefact.ti,ab. </w:t>
      </w:r>
      <w:r>
        <w:t xml:space="preserve">(0)</w:t>
      </w:r>
    </w:p>
    <w:p>
      <w:pPr>
        <w:pStyle w:val="Paragraphedeliste"/>
        <w:numPr>
          <w:ilvl w:val="0"/>
          <w:numId w:val="113"/>
        </w:numPr>
        <w:tabs>
          <w:tab w:val="left" w:pos="834"/>
          <w:tab w:val="left" w:pos="835"/>
        </w:tabs>
        <w:spacing w:before="38"/>
      </w:pPr>
      <w:r>
        <w:t xml:space="preserve">fertiral.ti,ab. </w:t>
      </w:r>
      <w:r>
        <w:t xml:space="preserve">(0)</w:t>
      </w:r>
    </w:p>
    <w:p>
      <w:pPr>
        <w:pStyle w:val="Corpsdetexte"/>
        <w:tabs>
          <w:tab w:val="left" w:pos="834"/>
        </w:tabs>
      </w:pPr>
      <w:r>
        <w:t xml:space="preserve">125</w:t>
      </w:r>
      <w:r>
        <w:tab/>
        <w:t xml:space="preserve">(hoe471 </w:t>
      </w:r>
      <w:r>
        <w:t xml:space="preserve">ou </w:t>
      </w:r>
      <w:r>
        <w:t xml:space="preserve">"hoe </w:t>
      </w:r>
      <w:r>
        <w:t xml:space="preserve">471").ti,ab. </w:t>
      </w:r>
      <w:r>
        <w:t xml:space="preserve">(0)</w:t>
      </w:r>
    </w:p>
    <w:p>
      <w:pPr>
        <w:pStyle w:val="Paragraphedeliste"/>
        <w:numPr>
          <w:ilvl w:val="0"/>
          <w:numId w:val="112"/>
        </w:numPr>
        <w:tabs>
          <w:tab w:val="left" w:pos="834"/>
          <w:tab w:val="left" w:pos="835"/>
        </w:tabs>
        <w:spacing w:before="40"/>
      </w:pPr>
      <w:r>
        <w:t xml:space="preserve">relisorm.ti,ab. </w:t>
      </w:r>
      <w:r>
        <w:t xml:space="preserve">(0)</w:t>
      </w:r>
    </w:p>
    <w:p>
      <w:pPr>
        <w:pStyle w:val="Paragraphedeliste"/>
        <w:numPr>
          <w:ilvl w:val="0"/>
          <w:numId w:val="112"/>
        </w:numPr>
        <w:tabs>
          <w:tab w:val="left" w:pos="834"/>
          <w:tab w:val="left" w:pos="835"/>
        </w:tabs>
      </w:pPr>
      <w:r>
        <w:t xml:space="preserve">cystorelin.ti,ab. </w:t>
      </w:r>
      <w:r>
        <w:t xml:space="preserve">(1)</w:t>
      </w:r>
    </w:p>
    <w:p>
      <w:pPr>
        <w:pStyle w:val="Paragraphedeliste"/>
        <w:numPr>
          <w:ilvl w:val="0"/>
          <w:numId w:val="112"/>
        </w:numPr>
        <w:tabs>
          <w:tab w:val="left" w:pos="834"/>
          <w:tab w:val="left" w:pos="835"/>
        </w:tabs>
        <w:spacing w:before="38" w:line="276" w:lineRule="auto"/>
        <w:ind w:start="160" w:end="6914" w:firstLine="0"/>
      </w:pPr>
      <w:r>
        <w:t xml:space="preserve">dirigestran.ti,ab. (0) </w:t>
      </w:r>
      <w:r>
        <w:t xml:space="preserve">129ou/33-128 </w:t>
      </w:r>
      <w:r>
        <w:tab/>
        <w:t xml:space="preserve">(2332) </w:t>
      </w:r>
      <w:r>
        <w:t xml:space="preserve">13032 </w:t>
      </w:r>
      <w:r>
        <w:t xml:space="preserve">et </w:t>
      </w:r>
      <w:r>
        <w:t xml:space="preserve">129 </w:t>
      </w:r>
      <w:r>
        <w:t xml:space="preserve">(45)</w:t>
      </w:r>
    </w:p>
    <w:p>
      <w:pPr>
        <w:pStyle w:val="Paragraphedeliste"/>
        <w:numPr>
          <w:ilvl w:val="0"/>
          <w:numId w:val="111"/>
        </w:numPr>
        <w:tabs>
          <w:tab w:val="left" w:pos="834"/>
          <w:tab w:val="left" w:pos="835"/>
        </w:tabs>
        <w:spacing w:before="0"/>
      </w:pPr>
      <w:r>
        <w:t xml:space="preserve">limite </w:t>
      </w:r>
      <w:r>
        <w:t xml:space="preserve">130 </w:t>
      </w:r>
      <w:r>
        <w:t xml:space="preserve">à la </w:t>
      </w:r>
      <w:r>
        <w:t xml:space="preserve">langue </w:t>
      </w:r>
      <w:r>
        <w:t xml:space="preserve">anglaise </w:t>
      </w:r>
      <w:r>
        <w:t xml:space="preserve">(45)</w:t>
      </w:r>
    </w:p>
    <w:p>
      <w:pPr>
        <w:pStyle w:val="Paragraphedeliste"/>
        <w:numPr>
          <w:ilvl w:val="0"/>
          <w:numId w:val="111"/>
        </w:numPr>
        <w:tabs>
          <w:tab w:val="left" w:pos="834"/>
          <w:tab w:val="left" w:pos="835"/>
        </w:tabs>
        <w:spacing w:before="38"/>
      </w:pPr>
      <w:r>
        <w:t xml:space="preserve">limiter </w:t>
      </w:r>
      <w:r>
        <w:t xml:space="preserve">131 </w:t>
      </w:r>
      <w:r>
        <w:t xml:space="preserve">à </w:t>
      </w:r>
      <w:r>
        <w:t xml:space="preserve">yr="2000 </w:t>
      </w:r>
      <w:r>
        <w:t xml:space="preserve">-Current" </w:t>
      </w:r>
      <w:r>
        <w:t xml:space="preserve">(42)</w:t>
      </w:r>
    </w:p>
    <w:p w:rsidR="00432386" w:rsidRDefault="00432386">
      <w:pPr>
        <w:pStyle w:val="Corpsdetexte"/>
        <w:spacing w:before="6"/>
        <w:ind w:start="0"/>
        <w:rPr>
          <w:sz w:val="28"/>
        </w:rPr>
      </w:pPr>
    </w:p>
    <w:p>
      <w:pPr>
        <w:pStyle w:val="Titre2"/>
      </w:pPr>
      <w:r>
        <w:t xml:space="preserve">Base de données : </w:t>
      </w:r>
      <w:r>
        <w:t xml:space="preserve">Medline </w:t>
      </w:r>
      <w:r>
        <w:t xml:space="preserve">epubs </w:t>
      </w:r>
      <w:r>
        <w:t xml:space="preserve">ahead </w:t>
      </w:r>
      <w:r>
        <w:t xml:space="preserve">of print</w:t>
      </w:r>
    </w:p>
    <w:p>
      <w:pPr>
        <w:pStyle w:val="Corpsdetexte"/>
        <w:spacing w:before="40"/>
      </w:pPr>
      <w:r>
        <w:t xml:space="preserve">Plate-forme : </w:t>
      </w:r>
      <w:r>
        <w:t xml:space="preserve">Ovid</w:t>
      </w:r>
    </w:p>
    <w:p>
      <w:pPr>
        <w:pStyle w:val="Corpsdetexte"/>
        <w:spacing w:before="38" w:line="276" w:lineRule="auto"/>
        <w:ind w:end="3147"/>
      </w:pPr>
      <w:r>
        <w:t xml:space="preserve">Version : Ovid MEDLINE(R) Epub Ahead of Print &lt;21 juillet 2020&gt; </w:t>
      </w:r>
      <w:r>
        <w:t xml:space="preserve">Date de </w:t>
      </w:r>
      <w:r>
        <w:rPr>
          <w:spacing w:val="-59"/>
        </w:rPr>
        <w:t xml:space="preserve">recherche </w:t>
      </w:r>
      <w:r>
        <w:t xml:space="preserve">: </w:t>
      </w:r>
      <w:r>
        <w:t xml:space="preserve">23/7/2020</w:t>
      </w:r>
    </w:p>
    <w:p>
      <w:pPr>
        <w:pStyle w:val="Corpsdetexte"/>
        <w:spacing w:before="0" w:line="278" w:lineRule="auto"/>
        <w:ind w:end="6572"/>
      </w:pPr>
      <w:r>
        <w:t xml:space="preserve">Nombre de résultats récupérés : 8 </w:t>
      </w:r>
      <w:r>
        <w:t xml:space="preserve">Stratégie de </w:t>
      </w:r>
      <w:r>
        <w:t xml:space="preserve">recherche </w:t>
      </w:r>
      <w:r>
        <w:t xml:space="preserve">:</w:t>
      </w:r>
    </w:p>
    <w:p w:rsidR="00432386" w:rsidRDefault="00432386">
      <w:pPr>
        <w:pStyle w:val="Corpsdetexte"/>
        <w:spacing w:before="9"/>
        <w:ind w:start="0"/>
        <w:rPr>
          <w:sz w:val="24"/>
        </w:rPr>
      </w:pPr>
    </w:p>
    <w:p>
      <w:pPr>
        <w:pStyle w:val="Paragraphedeliste"/>
        <w:numPr>
          <w:ilvl w:val="0"/>
          <w:numId w:val="110"/>
        </w:numPr>
        <w:tabs>
          <w:tab w:val="left" w:pos="589"/>
          <w:tab w:val="left" w:pos="590"/>
        </w:tabs>
        <w:spacing w:before="0"/>
      </w:pPr>
      <w:r>
        <w:t xml:space="preserve">Dysphorie de genre/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110"/>
        </w:numPr>
        <w:tabs>
          <w:tab w:val="left" w:pos="589"/>
          <w:tab w:val="left" w:pos="590"/>
        </w:tabs>
        <w:spacing w:before="78"/>
      </w:pPr>
      <w:r>
        <w:t xml:space="preserve">Identité de genre/ </w:t>
      </w:r>
      <w:r>
        <w:t xml:space="preserve">(0)</w:t>
      </w:r>
    </w:p>
    <w:p>
      <w:pPr>
        <w:pStyle w:val="Paragraphedeliste"/>
        <w:numPr>
          <w:ilvl w:val="0"/>
          <w:numId w:val="110"/>
        </w:numPr>
        <w:tabs>
          <w:tab w:val="left" w:pos="589"/>
          <w:tab w:val="left" w:pos="590"/>
        </w:tabs>
        <w:spacing w:before="38"/>
      </w:pPr>
      <w:r>
        <w:t xml:space="preserve">"</w:t>
      </w:r>
      <w:r>
        <w:t xml:space="preserve">Troubles </w:t>
      </w:r>
      <w:r>
        <w:t xml:space="preserve">sexuels </w:t>
      </w:r>
      <w:r>
        <w:t xml:space="preserve">et de </w:t>
      </w:r>
      <w:r>
        <w:t xml:space="preserve">genre</w:t>
      </w:r>
      <w:r>
        <w:t xml:space="preserve">"/ </w:t>
      </w:r>
      <w:r>
        <w:t xml:space="preserve">(0)</w:t>
      </w:r>
    </w:p>
    <w:p>
      <w:pPr>
        <w:pStyle w:val="Paragraphedeliste"/>
        <w:numPr>
          <w:ilvl w:val="0"/>
          <w:numId w:val="110"/>
        </w:numPr>
        <w:tabs>
          <w:tab w:val="left" w:pos="589"/>
          <w:tab w:val="left" w:pos="591"/>
        </w:tabs>
        <w:ind w:start="590" w:hanging="431"/>
      </w:pPr>
      <w:r>
        <w:t xml:space="preserve">Transsexualisme/ </w:t>
      </w:r>
      <w:r>
        <w:t xml:space="preserve">(0)</w:t>
      </w:r>
    </w:p>
    <w:p>
      <w:pPr>
        <w:pStyle w:val="Paragraphedeliste"/>
        <w:numPr>
          <w:ilvl w:val="0"/>
          <w:numId w:val="110"/>
        </w:numPr>
        <w:tabs>
          <w:tab w:val="left" w:pos="589"/>
          <w:tab w:val="left" w:pos="590"/>
        </w:tabs>
        <w:spacing w:before="38"/>
      </w:pPr>
      <w:r>
        <w:t xml:space="preserve">Personnes transgenres/ </w:t>
      </w:r>
      <w:r>
        <w:t xml:space="preserve">(0)</w:t>
      </w:r>
    </w:p>
    <w:p>
      <w:pPr>
        <w:pStyle w:val="Paragraphedeliste"/>
        <w:numPr>
          <w:ilvl w:val="0"/>
          <w:numId w:val="110"/>
        </w:numPr>
        <w:tabs>
          <w:tab w:val="left" w:pos="589"/>
          <w:tab w:val="left" w:pos="590"/>
        </w:tabs>
        <w:spacing w:before="40"/>
      </w:pPr>
      <w:r>
        <w:t xml:space="preserve">Services de </w:t>
      </w:r>
      <w:r>
        <w:t xml:space="preserve">santé </w:t>
      </w:r>
      <w:r>
        <w:t xml:space="preserve">pour les </w:t>
      </w:r>
      <w:r>
        <w:t xml:space="preserve">personnes transgenres/ </w:t>
      </w:r>
      <w:r>
        <w:t xml:space="preserve">(0</w:t>
      </w:r>
      <w:r>
        <w:t xml:space="preserve">)</w:t>
      </w:r>
    </w:p>
    <w:p>
      <w:pPr>
        <w:pStyle w:val="Paragraphedeliste"/>
        <w:numPr>
          <w:ilvl w:val="0"/>
          <w:numId w:val="110"/>
        </w:numPr>
        <w:tabs>
          <w:tab w:val="left" w:pos="589"/>
          <w:tab w:val="left" w:pos="590"/>
        </w:tabs>
      </w:pPr>
      <w:r>
        <w:t xml:space="preserve">exp </w:t>
      </w:r>
      <w:r>
        <w:t xml:space="preserve">Procédures de </w:t>
      </w:r>
      <w:r>
        <w:t xml:space="preserve">changement de </w:t>
      </w:r>
      <w:r>
        <w:t xml:space="preserve">sexe/ </w:t>
      </w:r>
      <w:r>
        <w:t xml:space="preserve">(0)</w:t>
      </w:r>
    </w:p>
    <w:p>
      <w:pPr>
        <w:pStyle w:val="Paragraphedeliste"/>
        <w:numPr>
          <w:ilvl w:val="0"/>
          <w:numId w:val="110"/>
        </w:numPr>
        <w:tabs>
          <w:tab w:val="left" w:pos="685"/>
          <w:tab w:val="left" w:pos="686"/>
        </w:tabs>
        <w:spacing w:line="276" w:lineRule="auto"/>
        <w:ind w:start="160" w:end="465" w:firstLine="0"/>
      </w:pPr>
      <w:r>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queer*)).tw. </w:t>
      </w:r>
      <w:r>
        <w:t xml:space="preserve">(486)</w:t>
      </w:r>
    </w:p>
    <w:p>
      <w:pPr>
        <w:pStyle w:val="Paragraphedeliste"/>
        <w:numPr>
          <w:ilvl w:val="0"/>
          <w:numId w:val="110"/>
        </w:numPr>
        <w:tabs>
          <w:tab w:val="left" w:pos="580"/>
          <w:tab w:val="left" w:pos="581"/>
        </w:tabs>
        <w:spacing w:before="0" w:line="278" w:lineRule="auto"/>
        <w:ind w:start="160" w:end="459"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(640)</w:t>
      </w:r>
    </w:p>
    <w:p>
      <w:pPr>
        <w:pStyle w:val="Paragraphedeliste"/>
        <w:numPr>
          <w:ilvl w:val="0"/>
          <w:numId w:val="110"/>
        </w:numPr>
        <w:tabs>
          <w:tab w:val="left" w:pos="723"/>
          <w:tab w:val="left" w:pos="724"/>
        </w:tabs>
        <w:spacing w:before="0" w:line="276" w:lineRule="auto"/>
        <w:ind w:start="160" w:end="456" w:firstLine="0"/>
      </w:pPr>
      <w:r>
        <w:t xml:space="preserve">(trans ou crossgender* ou cross-gender* ou crossex* ou cross-sex* ou genderqueer*).tw. </w:t>
      </w:r>
      <w:r>
        <w:t xml:space="preserve">(1505)</w:t>
      </w:r>
    </w:p>
    <w:p>
      <w:pPr>
        <w:pStyle w:val="Paragraphedeliste"/>
        <w:numPr>
          <w:ilvl w:val="0"/>
          <w:numId w:val="110"/>
        </w:numPr>
        <w:tabs>
          <w:tab w:val="left" w:pos="712"/>
          <w:tab w:val="left" w:pos="713"/>
        </w:tabs>
        <w:spacing w:before="0" w:line="252" w:lineRule="exact"/>
        <w:ind w:start="712" w:hanging="553"/>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transition*)).tw. </w:t>
      </w:r>
      <w:r>
        <w:t xml:space="preserve">(178)</w:t>
      </w:r>
    </w:p>
    <w:p>
      <w:pPr>
        <w:pStyle w:val="Paragraphedeliste"/>
        <w:numPr>
          <w:ilvl w:val="0"/>
          <w:numId w:val="110"/>
        </w:numPr>
        <w:tabs>
          <w:tab w:val="left" w:pos="712"/>
          <w:tab w:val="left" w:pos="713"/>
        </w:tabs>
        <w:spacing w:before="36" w:line="276" w:lineRule="auto"/>
        <w:ind w:start="160" w:end="3123" w:firstLine="0"/>
      </w:pPr>
      <w:r>
        <w:t xml:space="preserve">(homme-à-femme ou m2f ou femme-à-mâle </w:t>
      </w:r>
      <w:r>
        <w:t xml:space="preserve">ou f2m).tw. (2480) </w:t>
      </w:r>
      <w:r>
        <w:t xml:space="preserve">13ou/1-12 </w:t>
      </w:r>
      <w:r>
        <w:t xml:space="preserve">(4929)</w:t>
      </w:r>
    </w:p>
    <w:p>
      <w:pPr>
        <w:pStyle w:val="Paragraphedeliste"/>
        <w:numPr>
          <w:ilvl w:val="0"/>
          <w:numId w:val="109"/>
        </w:numPr>
        <w:tabs>
          <w:tab w:val="left" w:pos="712"/>
          <w:tab w:val="left" w:pos="713"/>
        </w:tabs>
        <w:spacing w:before="0" w:line="253" w:lineRule="exact"/>
        <w:ind w:hanging="553"/>
      </w:pPr>
      <w:r>
        <w:t xml:space="preserve">exp </w:t>
      </w:r>
      <w:r>
        <w:t xml:space="preserve">Infant/ </w:t>
      </w:r>
      <w:r>
        <w:t xml:space="preserve">ou </w:t>
      </w:r>
      <w:r>
        <w:t xml:space="preserve">Santé infantile/ </w:t>
      </w:r>
      <w:r>
        <w:t xml:space="preserve">ou </w:t>
      </w:r>
      <w:r>
        <w:t xml:space="preserve">Bien-être infantile/ </w:t>
      </w:r>
      <w:r>
        <w:t xml:space="preserve">(0)</w:t>
      </w:r>
    </w:p>
    <w:p>
      <w:pPr>
        <w:pStyle w:val="Paragraphedeliste"/>
        <w:numPr>
          <w:ilvl w:val="0"/>
          <w:numId w:val="109"/>
        </w:numPr>
        <w:tabs>
          <w:tab w:val="left" w:pos="705"/>
          <w:tab w:val="left" w:pos="706"/>
        </w:tabs>
        <w:spacing w:line="276" w:lineRule="auto"/>
        <w:ind w:start="160"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tout-petits*).ti,ab,in,jn. </w:t>
      </w:r>
      <w:r>
        <w:t xml:space="preserve">(15496)</w:t>
      </w:r>
    </w:p>
    <w:p>
      <w:pPr>
        <w:pStyle w:val="Paragraphedeliste"/>
        <w:numPr>
          <w:ilvl w:val="0"/>
          <w:numId w:val="109"/>
        </w:numPr>
        <w:tabs>
          <w:tab w:val="left" w:pos="712"/>
          <w:tab w:val="left" w:pos="713"/>
        </w:tabs>
        <w:spacing w:before="1"/>
        <w:ind w:hanging="553"/>
      </w:pPr>
      <w:r>
        <w:t xml:space="preserve">exp </w:t>
      </w:r>
      <w:r>
        <w:t xml:space="preserve">Enfant/ </w:t>
      </w:r>
      <w:r>
        <w:t xml:space="preserve">ou </w:t>
      </w:r>
      <w:r>
        <w:t xml:space="preserve">exp </w:t>
      </w:r>
      <w:r>
        <w:t xml:space="preserve">Comportement de l'enfant/ </w:t>
      </w:r>
      <w:r>
        <w:t xml:space="preserve">ou </w:t>
      </w:r>
      <w:r>
        <w:t xml:space="preserve">Santé de l'enfant/ </w:t>
      </w:r>
      <w:r>
        <w:t xml:space="preserve">ou </w:t>
      </w:r>
      <w:r>
        <w:t xml:space="preserve">Protection de l'enfant/ </w:t>
      </w:r>
      <w:r>
        <w:t xml:space="preserve">(0)</w:t>
      </w:r>
    </w:p>
    <w:p>
      <w:pPr>
        <w:pStyle w:val="Paragraphedeliste"/>
        <w:numPr>
          <w:ilvl w:val="0"/>
          <w:numId w:val="109"/>
        </w:numPr>
        <w:tabs>
          <w:tab w:val="left" w:pos="712"/>
          <w:tab w:val="left" w:pos="713"/>
        </w:tabs>
        <w:spacing w:before="38"/>
        <w:ind w:hanging="553"/>
      </w:pPr>
      <w:r>
        <w:t xml:space="preserve">Mineurs/ </w:t>
      </w:r>
      <w:r>
        <w:t xml:space="preserve">(0)</w:t>
      </w:r>
    </w:p>
    <w:p>
      <w:pPr>
        <w:pStyle w:val="Paragraphedeliste"/>
        <w:numPr>
          <w:ilvl w:val="0"/>
          <w:numId w:val="109"/>
        </w:numPr>
        <w:tabs>
          <w:tab w:val="left" w:pos="712"/>
          <w:tab w:val="left" w:pos="713"/>
        </w:tabs>
        <w:ind w:hanging="553"/>
      </w:pPr>
      <w:r>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jeunes*).ti,ab,in,jn. </w:t>
      </w:r>
      <w:r>
        <w:t xml:space="preserve">(53563)</w:t>
      </w:r>
    </w:p>
    <w:p>
      <w:pPr>
        <w:pStyle w:val="Paragraphedeliste"/>
        <w:numPr>
          <w:ilvl w:val="0"/>
          <w:numId w:val="109"/>
        </w:numPr>
        <w:tabs>
          <w:tab w:val="left" w:pos="712"/>
          <w:tab w:val="left" w:pos="713"/>
        </w:tabs>
        <w:spacing w:before="38"/>
        <w:ind w:hanging="553"/>
      </w:pPr>
      <w:r>
        <w:t xml:space="preserve">exp </w:t>
      </w:r>
      <w:r>
        <w:t xml:space="preserve">pédiatrie/ </w:t>
      </w:r>
      <w:r>
        <w:t xml:space="preserve">(0)</w:t>
      </w:r>
    </w:p>
    <w:p>
      <w:pPr>
        <w:pStyle w:val="Paragraphedeliste"/>
        <w:numPr>
          <w:ilvl w:val="0"/>
          <w:numId w:val="109"/>
        </w:numPr>
        <w:tabs>
          <w:tab w:val="left" w:pos="712"/>
          <w:tab w:val="left" w:pos="713"/>
        </w:tabs>
        <w:spacing w:before="39"/>
        <w:ind w:hanging="553"/>
      </w:pPr>
      <w:r>
        <w:t xml:space="preserve">(pédiatrique* </w:t>
      </w:r>
      <w:r>
        <w:t xml:space="preserve">ou </w:t>
      </w:r>
      <w:r>
        <w:t xml:space="preserve">pédiatrique* </w:t>
      </w:r>
      <w:r>
        <w:t xml:space="preserve">ou </w:t>
      </w:r>
      <w:r>
        <w:t xml:space="preserve">peadiatrique*).ti,ab,in,jn. </w:t>
      </w:r>
      <w:r>
        <w:t xml:space="preserve">(22796)</w:t>
      </w:r>
    </w:p>
    <w:p>
      <w:pPr>
        <w:pStyle w:val="Paragraphedeliste"/>
        <w:numPr>
          <w:ilvl w:val="0"/>
          <w:numId w:val="109"/>
        </w:numPr>
        <w:tabs>
          <w:tab w:val="left" w:pos="712"/>
          <w:tab w:val="left" w:pos="713"/>
        </w:tabs>
        <w:spacing w:before="38"/>
        <w:ind w:hanging="553"/>
      </w:pPr>
      <w:r>
        <w:t xml:space="preserve">Adolescent/ </w:t>
      </w:r>
      <w:r>
        <w:t xml:space="preserve">ou </w:t>
      </w:r>
      <w:r>
        <w:t xml:space="preserve">Comportement de l'adolescent/ </w:t>
      </w:r>
      <w:r>
        <w:t xml:space="preserve">ou </w:t>
      </w:r>
      <w:r>
        <w:t xml:space="preserve">Santé de </w:t>
      </w:r>
      <w:r>
        <w:t xml:space="preserve">l'</w:t>
      </w:r>
      <w:r>
        <w:t xml:space="preserve">adolescent/ </w:t>
      </w:r>
      <w:r>
        <w:t xml:space="preserve">(0)</w:t>
      </w:r>
    </w:p>
    <w:p>
      <w:pPr>
        <w:pStyle w:val="Paragraphedeliste"/>
        <w:numPr>
          <w:ilvl w:val="0"/>
          <w:numId w:val="109"/>
        </w:numPr>
        <w:tabs>
          <w:tab w:val="left" w:pos="712"/>
          <w:tab w:val="left" w:pos="713"/>
        </w:tabs>
        <w:ind w:hanging="553"/>
      </w:pPr>
      <w:r>
        <w:t xml:space="preserve">Puberté/ </w:t>
      </w:r>
      <w:r>
        <w:t xml:space="preserve">(0)</w:t>
      </w:r>
    </w:p>
    <w:p>
      <w:pPr>
        <w:pStyle w:val="Paragraphedeliste"/>
        <w:numPr>
          <w:ilvl w:val="0"/>
          <w:numId w:val="109"/>
        </w:numPr>
        <w:tabs>
          <w:tab w:val="left" w:pos="765"/>
        </w:tabs>
        <w:spacing w:before="38" w:line="276" w:lineRule="auto"/>
        <w:ind w:start="160" w:end="456" w:firstLine="0"/>
        <w:jc w:val="both"/>
      </w:pPr>
      <w:r>
        <w:t xml:space="preserve">(adolescen* ou pubescen* ou prépubescen* ou pré-pubescen* ou pubert* ou prépubert* </w:t>
      </w:r>
      <w:r>
        <w:t xml:space="preserve">ou pré-pubert* ou teen* ou preteen* ou pre-teen* ou juvenil* ou </w:t>
      </w:r>
      <w:r>
        <w:t xml:space="preserve">youth* ou under*age*).ti,ab,in,jn. </w:t>
      </w:r>
      <w:r>
        <w:t xml:space="preserve">(13087)</w:t>
      </w:r>
    </w:p>
    <w:p>
      <w:pPr>
        <w:pStyle w:val="Paragraphedeliste"/>
        <w:numPr>
          <w:ilvl w:val="0"/>
          <w:numId w:val="109"/>
        </w:numPr>
        <w:tabs>
          <w:tab w:val="left" w:pos="713"/>
        </w:tabs>
        <w:spacing w:before="1"/>
        <w:ind w:hanging="553"/>
        <w:jc w:val="both"/>
      </w:pPr>
      <w:r>
        <w:t xml:space="preserve">Écoles/ </w:t>
      </w:r>
      <w:r>
        <w:t xml:space="preserve">(0)</w:t>
      </w:r>
    </w:p>
    <w:p>
      <w:pPr>
        <w:pStyle w:val="Paragraphedeliste"/>
        <w:numPr>
          <w:ilvl w:val="0"/>
          <w:numId w:val="109"/>
        </w:numPr>
        <w:tabs>
          <w:tab w:val="left" w:pos="713"/>
        </w:tabs>
        <w:ind w:hanging="553"/>
        <w:jc w:val="both"/>
      </w:pPr>
      <w:r>
        <w:t xml:space="preserve">Centres d'accueil de </w:t>
      </w:r>
      <w:r>
        <w:t xml:space="preserve">jour </w:t>
      </w:r>
      <w:r>
        <w:t xml:space="preserve">pour </w:t>
      </w:r>
      <w:r>
        <w:t xml:space="preserve">enfants/ </w:t>
      </w:r>
      <w:r>
        <w:t xml:space="preserve">ou </w:t>
      </w:r>
      <w:r>
        <w:t xml:space="preserve">crèches/ </w:t>
      </w:r>
      <w:r>
        <w:t xml:space="preserve">ou </w:t>
      </w:r>
      <w:r>
        <w:t xml:space="preserve">écoles </w:t>
      </w:r>
      <w:r>
        <w:t xml:space="preserve">maternelles/ </w:t>
      </w:r>
      <w:r>
        <w:t xml:space="preserve">(0)</w:t>
      </w:r>
    </w:p>
    <w:p>
      <w:pPr>
        <w:pStyle w:val="Paragraphedeliste"/>
        <w:numPr>
          <w:ilvl w:val="0"/>
          <w:numId w:val="109"/>
        </w:numPr>
        <w:tabs>
          <w:tab w:val="left" w:pos="715"/>
        </w:tabs>
        <w:spacing w:before="38" w:line="276" w:lineRule="auto"/>
        <w:ind w:start="160" w:end="453" w:firstLine="0"/>
        <w:jc w:val="both"/>
      </w:pPr>
      <w:r>
        <w:t xml:space="preserve">(école maternelle* ou préscolaire* ou jardin d'enfants* ou garderie ou crèche* ou école* ou </w:t>
      </w:r>
      <w:r>
        <w:t xml:space="preserve">élève* ou </w:t>
      </w:r>
      <w:r>
        <w:t xml:space="preserve">étudiant*).ti,ab,jn. </w:t>
      </w:r>
      <w:r>
        <w:t xml:space="preserve">(12443)</w:t>
      </w:r>
    </w:p>
    <w:p>
      <w:pPr>
        <w:pStyle w:val="Paragraphedeliste"/>
        <w:numPr>
          <w:ilvl w:val="0"/>
          <w:numId w:val="109"/>
        </w:numPr>
        <w:tabs>
          <w:tab w:val="left" w:pos="708"/>
        </w:tabs>
        <w:spacing w:before="1" w:line="276" w:lineRule="auto"/>
        <w:ind w:start="160" w:end="462" w:firstLine="0"/>
        <w:jc w:val="both"/>
      </w:pPr>
      <w:r>
        <w:t xml:space="preserve">(("</w:t>
      </w: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"dix-sept" ou "dix-huit" ou "dix-neuf") adj2 (année ou années ou âge ou âges ou </w:t>
      </w:r>
      <w:r>
        <w:t xml:space="preserve">âgés)).ti,ab. </w:t>
      </w:r>
      <w:r>
        <w:t xml:space="preserve">(1416)</w:t>
      </w:r>
    </w:p>
    <w:p>
      <w:pPr>
        <w:pStyle w:val="Corpsdetexte"/>
        <w:tabs>
          <w:tab w:val="left" w:pos="747"/>
        </w:tabs>
        <w:spacing w:before="0" w:line="278" w:lineRule="auto"/>
        <w:ind w:end="469"/>
      </w:pPr>
      <w:r>
        <w:t xml:space="preserve">28</w:t>
      </w:r>
      <w:r>
        <w:tab/>
        <w:t xml:space="preserve">(("8" </w:t>
      </w:r>
      <w:r>
        <w:t xml:space="preserve">ou </w:t>
      </w:r>
      <w:r>
        <w:t xml:space="preserve">"9" </w:t>
      </w:r>
      <w:r>
        <w:t xml:space="preserve">ou </w:t>
      </w:r>
      <w:r>
        <w:t xml:space="preserve">"10" </w:t>
      </w:r>
      <w:r>
        <w:t xml:space="preserve">ou </w:t>
      </w:r>
      <w:r>
        <w:t xml:space="preserve">"11" </w:t>
      </w:r>
      <w:r>
        <w:t xml:space="preserve">ou </w:t>
      </w:r>
      <w:r>
        <w:t xml:space="preserve">"12" </w:t>
      </w:r>
      <w:r>
        <w:t xml:space="preserve">ou </w:t>
      </w:r>
      <w:r>
        <w:t xml:space="preserve">"13" </w:t>
      </w:r>
      <w:r>
        <w:t xml:space="preserve">ou </w:t>
      </w:r>
      <w:r>
        <w:t xml:space="preserve">"14" </w:t>
      </w:r>
      <w:r>
        <w:t xml:space="preserve">ou </w:t>
      </w:r>
      <w:r>
        <w:t xml:space="preserve">"15" </w:t>
      </w:r>
      <w:r>
        <w:t xml:space="preserve">ou </w:t>
      </w:r>
      <w:r>
        <w:t xml:space="preserve">"16" </w:t>
      </w:r>
      <w:r>
        <w:t xml:space="preserve">ou </w:t>
      </w:r>
      <w:r>
        <w:t xml:space="preserve">"17" </w:t>
      </w:r>
      <w:r>
        <w:t xml:space="preserve">ou </w:t>
      </w:r>
      <w:r>
        <w:t xml:space="preserve">"18" </w:t>
      </w:r>
      <w:r>
        <w:t xml:space="preserve">ou </w:t>
      </w:r>
      <w:r>
        <w:t xml:space="preserve">"19") </w:t>
      </w:r>
      <w:r>
        <w:t xml:space="preserve">adj2 </w:t>
      </w:r>
      <w:r>
        <w:t xml:space="preserve">(année </w:t>
      </w:r>
      <w:r>
        <w:t xml:space="preserve">ou </w:t>
      </w:r>
      <w:r>
        <w:t xml:space="preserve">années </w:t>
      </w:r>
      <w:r>
        <w:t xml:space="preserve">ou </w:t>
      </w:r>
      <w:r>
        <w:t xml:space="preserve">âge </w:t>
      </w:r>
      <w:r>
        <w:t xml:space="preserve">ou </w:t>
      </w:r>
      <w:r>
        <w:t xml:space="preserve">âges </w:t>
      </w:r>
      <w:r>
        <w:t xml:space="preserve">ou </w:t>
      </w:r>
      <w:r>
        <w:t xml:space="preserve">âgés)).ti,ab. </w:t>
      </w:r>
      <w:r>
        <w:t xml:space="preserve">(20166)</w:t>
      </w:r>
    </w:p>
    <w:p>
      <w:pPr>
        <w:pStyle w:val="Corpsdetexte"/>
        <w:tabs>
          <w:tab w:val="left" w:pos="712"/>
        </w:tabs>
        <w:spacing w:before="0" w:line="249" w:lineRule="exact"/>
      </w:pPr>
      <w:r>
        <w:t xml:space="preserve">29or/14-28 </w:t>
      </w:r>
      <w:r>
        <w:t xml:space="preserve">(88366)</w:t>
      </w:r>
    </w:p>
    <w:p>
      <w:pPr>
        <w:pStyle w:val="Corpsdetexte"/>
        <w:tabs>
          <w:tab w:val="left" w:pos="712"/>
        </w:tabs>
        <w:spacing w:before="36"/>
      </w:pPr>
      <w:r>
        <w:tab/>
        <w:t xml:space="preserve">3013 </w:t>
      </w:r>
      <w:r>
        <w:t xml:space="preserve">et </w:t>
      </w:r>
      <w:r>
        <w:t xml:space="preserve">29 </w:t>
      </w:r>
      <w:r>
        <w:t xml:space="preserve">(1638)</w:t>
      </w:r>
    </w:p>
    <w:p>
      <w:pPr>
        <w:pStyle w:val="Corpsdetexte"/>
        <w:tabs>
          <w:tab w:val="left" w:pos="681"/>
          <w:tab w:val="left" w:pos="712"/>
        </w:tabs>
        <w:spacing w:line="276" w:lineRule="auto"/>
        <w:ind w:end="456"/>
      </w:pPr>
      <w:r>
        <w:t xml:space="preserve">31</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(1) </w:t>
      </w:r>
      <w:r>
        <w:t xml:space="preserve">32</w:t>
      </w:r>
      <w:r>
        <w:tab/>
      </w:r>
      <w:r>
        <w:tab/>
        <w:t xml:space="preserve">30 </w:t>
      </w:r>
      <w:r>
        <w:t xml:space="preserve">ou </w:t>
      </w:r>
      <w:r>
        <w:t xml:space="preserve">31 </w:t>
      </w:r>
      <w:r>
        <w:t xml:space="preserve">(1638)</w:t>
      </w:r>
    </w:p>
    <w:p>
      <w:pPr>
        <w:pStyle w:val="Paragraphedeliste"/>
        <w:numPr>
          <w:ilvl w:val="0"/>
          <w:numId w:val="108"/>
        </w:numPr>
        <w:tabs>
          <w:tab w:val="left" w:pos="712"/>
          <w:tab w:val="left" w:pos="713"/>
        </w:tabs>
        <w:spacing w:before="2"/>
        <w:ind w:hanging="553"/>
      </w:pPr>
      <w:r>
        <w:t xml:space="preserve">Hormone de </w:t>
      </w:r>
      <w:r>
        <w:t xml:space="preserve">libération des </w:t>
      </w:r>
      <w:r>
        <w:t xml:space="preserve">gonadotrophines/ </w:t>
      </w:r>
      <w:r>
        <w:t xml:space="preserve">(0)</w:t>
      </w:r>
    </w:p>
    <w:p>
      <w:pPr>
        <w:pStyle w:val="Paragraphedeliste"/>
        <w:numPr>
          <w:ilvl w:val="0"/>
          <w:numId w:val="108"/>
        </w:numPr>
        <w:tabs>
          <w:tab w:val="left" w:pos="712"/>
          <w:tab w:val="left" w:pos="713"/>
        </w:tabs>
        <w:spacing w:before="38"/>
        <w:ind w:hanging="553"/>
      </w:pPr>
      <w:r>
        <w:t xml:space="preserve">(pubert* </w:t>
      </w:r>
      <w:r>
        <w:t xml:space="preserve">adj3 </w:t>
      </w:r>
      <w:r>
        <w:t xml:space="preserve">bloc*).ti,ab. </w:t>
      </w:r>
      <w:r>
        <w:t xml:space="preserve">(2)</w:t>
      </w:r>
    </w:p>
    <w:p>
      <w:pPr>
        <w:pStyle w:val="Paragraphedeliste"/>
        <w:numPr>
          <w:ilvl w:val="0"/>
          <w:numId w:val="108"/>
        </w:numPr>
        <w:tabs>
          <w:tab w:val="left" w:pos="712"/>
          <w:tab w:val="left" w:pos="713"/>
        </w:tabs>
        <w:ind w:hanging="553"/>
      </w:pPr>
      <w:r>
        <w:t xml:space="preserve">((gonadotrophine </w:t>
      </w:r>
      <w:r>
        <w:t xml:space="preserve">ou </w:t>
      </w:r>
      <w:r>
        <w:t xml:space="preserve">gonadotrophine) </w:t>
      </w:r>
      <w:r>
        <w:t xml:space="preserve">et </w:t>
      </w:r>
      <w:r>
        <w:t xml:space="preserve">libération).ti,ab. </w:t>
      </w:r>
      <w:r>
        <w:t xml:space="preserve">(176)</w:t>
      </w:r>
    </w:p>
    <w:p>
      <w:pPr>
        <w:pStyle w:val="Paragraphedeliste"/>
        <w:numPr>
          <w:ilvl w:val="0"/>
          <w:numId w:val="108"/>
        </w:numPr>
        <w:tabs>
          <w:tab w:val="left" w:pos="712"/>
          <w:tab w:val="left" w:pos="713"/>
        </w:tabs>
        <w:spacing w:before="38"/>
        <w:ind w:hanging="553"/>
      </w:pPr>
      <w:r>
        <w:t xml:space="preserve">(GnRH </w:t>
      </w:r>
      <w:r>
        <w:t xml:space="preserve">adj2 </w:t>
      </w:r>
      <w:r>
        <w:t xml:space="preserve">analogue*).ti,ab. </w:t>
      </w:r>
      <w:r>
        <w:t xml:space="preserve">(30)</w:t>
      </w:r>
    </w:p>
    <w:p>
      <w:pPr>
        <w:pStyle w:val="Corpsdetexte"/>
        <w:tabs>
          <w:tab w:val="left" w:pos="712"/>
        </w:tabs>
        <w:spacing w:before="39"/>
      </w:pPr>
      <w:r>
        <w:t xml:space="preserve">37GnRH*</w:t>
      </w:r>
      <w:r>
        <w:tab/>
        <w:t xml:space="preserve">.ti,ab. </w:t>
      </w:r>
      <w:r>
        <w:t xml:space="preserve">(223)</w:t>
      </w:r>
    </w:p>
    <w:p>
      <w:pPr>
        <w:pStyle w:val="Paragraphedeliste"/>
        <w:numPr>
          <w:ilvl w:val="0"/>
          <w:numId w:val="107"/>
        </w:numPr>
        <w:tabs>
          <w:tab w:val="left" w:pos="712"/>
          <w:tab w:val="left" w:pos="713"/>
        </w:tabs>
        <w:spacing w:before="38"/>
        <w:ind w:hanging="553"/>
      </w:pPr>
      <w:r>
        <w:t xml:space="preserve">"</w:t>
      </w:r>
      <w:r>
        <w:t xml:space="preserve">Agoniste de la GnRH*".ti,ab. </w:t>
      </w:r>
      <w:r>
        <w:t xml:space="preserve">(49)</w:t>
      </w:r>
    </w:p>
    <w:p>
      <w:pPr>
        <w:pStyle w:val="Paragraphedeliste"/>
        <w:numPr>
          <w:ilvl w:val="0"/>
          <w:numId w:val="107"/>
        </w:numPr>
        <w:tabs>
          <w:tab w:val="left" w:pos="712"/>
          <w:tab w:val="left" w:pos="713"/>
        </w:tabs>
        <w:ind w:hanging="553"/>
      </w:pPr>
      <w:r>
        <w:t xml:space="preserve">Pamoate de triptoréline/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107"/>
        </w:numPr>
        <w:tabs>
          <w:tab w:val="left" w:pos="712"/>
          <w:tab w:val="left" w:pos="713"/>
        </w:tabs>
        <w:spacing w:before="78"/>
        <w:ind w:hanging="553"/>
      </w:pPr>
      <w:r>
        <w:lastRenderedPageBreak/>
        <w:t xml:space="preserve">triptoréline.ti,ab. </w:t>
      </w:r>
      <w:r>
        <w:t xml:space="preserve">(12)</w:t>
      </w:r>
    </w:p>
    <w:p>
      <w:pPr>
        <w:pStyle w:val="Paragraphedeliste"/>
        <w:numPr>
          <w:ilvl w:val="0"/>
          <w:numId w:val="107"/>
        </w:numPr>
        <w:tabs>
          <w:tab w:val="left" w:pos="712"/>
          <w:tab w:val="left" w:pos="713"/>
        </w:tabs>
        <w:spacing w:before="38"/>
        <w:ind w:hanging="553"/>
      </w:pPr>
      <w:r>
        <w:t xml:space="preserve">arvekap.ti,ab. </w:t>
      </w:r>
      <w:r>
        <w:t xml:space="preserve">(0)</w:t>
      </w:r>
    </w:p>
    <w:p>
      <w:pPr>
        <w:pStyle w:val="Corpsdetexte"/>
        <w:tabs>
          <w:tab w:val="left" w:pos="712"/>
        </w:tabs>
      </w:pPr>
      <w:r>
        <w:t xml:space="preserve">42</w:t>
      </w:r>
      <w:r>
        <w:tab/>
        <w:t xml:space="preserve">("AY </w:t>
      </w:r>
      <w:r>
        <w:t xml:space="preserve">25650" </w:t>
      </w:r>
      <w:r>
        <w:t xml:space="preserve">ou </w:t>
      </w:r>
      <w:r>
        <w:t xml:space="preserve">AY25650).ti,ab. </w:t>
      </w:r>
      <w:r>
        <w:t xml:space="preserve">(0)</w:t>
      </w:r>
    </w:p>
    <w:p>
      <w:pPr>
        <w:pStyle w:val="Corpsdetexte"/>
        <w:tabs>
          <w:tab w:val="left" w:pos="712"/>
        </w:tabs>
        <w:spacing w:before="38"/>
      </w:pPr>
      <w:r>
        <w:t xml:space="preserve">43</w:t>
      </w:r>
      <w:r>
        <w:tab/>
        <w:t xml:space="preserve">("BIM </w:t>
      </w:r>
      <w:r>
        <w:t xml:space="preserve">21003" </w:t>
      </w:r>
      <w:r>
        <w:t xml:space="preserve">ou </w:t>
      </w:r>
      <w:r>
        <w:t xml:space="preserve">BIM21003).ti,ab. </w:t>
      </w:r>
      <w:r>
        <w:t xml:space="preserve">(0)</w:t>
      </w:r>
    </w:p>
    <w:p>
      <w:pPr>
        <w:pStyle w:val="Corpsdetexte"/>
        <w:tabs>
          <w:tab w:val="left" w:pos="712"/>
        </w:tabs>
        <w:spacing w:before="40"/>
      </w:pPr>
      <w:r>
        <w:t xml:space="preserve">44</w:t>
      </w:r>
      <w:r>
        <w:tab/>
        <w:t xml:space="preserve">("BN </w:t>
      </w:r>
      <w:r>
        <w:t xml:space="preserve">52014" </w:t>
      </w:r>
      <w:r>
        <w:t xml:space="preserve">ou </w:t>
      </w:r>
      <w:r>
        <w:t xml:space="preserve">BN52014).ti,ab. </w:t>
      </w:r>
      <w:r>
        <w:t xml:space="preserve">(0)</w:t>
      </w:r>
    </w:p>
    <w:p>
      <w:pPr>
        <w:pStyle w:val="Corpsdetexte"/>
        <w:tabs>
          <w:tab w:val="left" w:pos="712"/>
        </w:tabs>
      </w:pPr>
      <w:r>
        <w:t xml:space="preserve">45</w:t>
      </w:r>
      <w:r>
        <w:tab/>
        <w:t xml:space="preserve">("CL </w:t>
      </w:r>
      <w:r>
        <w:t xml:space="preserve">118532" </w:t>
      </w:r>
      <w:r>
        <w:t xml:space="preserve">ou </w:t>
      </w:r>
      <w:r>
        <w:t xml:space="preserve">CL118532).ti,ab. </w:t>
      </w:r>
      <w:r>
        <w:t xml:space="preserve">(0)</w:t>
      </w:r>
    </w:p>
    <w:p>
      <w:pPr>
        <w:pStyle w:val="Paragraphedeliste"/>
        <w:numPr>
          <w:ilvl w:val="0"/>
          <w:numId w:val="106"/>
        </w:numPr>
        <w:tabs>
          <w:tab w:val="left" w:pos="712"/>
          <w:tab w:val="left" w:pos="713"/>
        </w:tabs>
        <w:ind w:hanging="553"/>
      </w:pPr>
      <w:r>
        <w:t xml:space="preserve">Debio.ti,ab. </w:t>
      </w:r>
      <w:r>
        <w:t xml:space="preserve">(2)</w:t>
      </w:r>
    </w:p>
    <w:p>
      <w:pPr>
        <w:pStyle w:val="Paragraphedeliste"/>
        <w:numPr>
          <w:ilvl w:val="0"/>
          <w:numId w:val="106"/>
        </w:numPr>
        <w:tabs>
          <w:tab w:val="left" w:pos="712"/>
          <w:tab w:val="left" w:pos="713"/>
        </w:tabs>
        <w:spacing w:before="38"/>
        <w:ind w:hanging="553"/>
      </w:pPr>
      <w:r>
        <w:t xml:space="preserve">diphereline.ti,ab. </w:t>
      </w:r>
      <w:r>
        <w:t xml:space="preserve">(1)</w:t>
      </w:r>
    </w:p>
    <w:p>
      <w:pPr>
        <w:pStyle w:val="Paragraphedeliste"/>
        <w:numPr>
          <w:ilvl w:val="0"/>
          <w:numId w:val="106"/>
        </w:numPr>
        <w:tabs>
          <w:tab w:val="left" w:pos="712"/>
          <w:tab w:val="left" w:pos="713"/>
        </w:tabs>
        <w:ind w:hanging="553"/>
      </w:pPr>
      <w:r>
        <w:t xml:space="preserve">moapar.ti,ab. </w:t>
      </w:r>
      <w:r>
        <w:t xml:space="preserve">(0)</w:t>
      </w:r>
    </w:p>
    <w:p>
      <w:pPr>
        <w:pStyle w:val="Paragraphedeliste"/>
        <w:numPr>
          <w:ilvl w:val="0"/>
          <w:numId w:val="106"/>
        </w:numPr>
        <w:tabs>
          <w:tab w:val="left" w:pos="712"/>
          <w:tab w:val="left" w:pos="713"/>
        </w:tabs>
        <w:spacing w:before="40"/>
        <w:ind w:hanging="553"/>
      </w:pPr>
      <w:r>
        <w:t xml:space="preserve">pamorelin.ti,ab. </w:t>
      </w:r>
      <w:r>
        <w:t xml:space="preserve">(0)</w:t>
      </w:r>
    </w:p>
    <w:p>
      <w:pPr>
        <w:pStyle w:val="Paragraphedeliste"/>
        <w:numPr>
          <w:ilvl w:val="0"/>
          <w:numId w:val="106"/>
        </w:numPr>
        <w:tabs>
          <w:tab w:val="left" w:pos="712"/>
          <w:tab w:val="left" w:pos="713"/>
        </w:tabs>
        <w:spacing w:before="38"/>
        <w:ind w:hanging="553"/>
      </w:pPr>
      <w:r>
        <w:t xml:space="preserve">trelstar.ti,ab. </w:t>
      </w:r>
      <w:r>
        <w:t xml:space="preserve">(0)</w:t>
      </w:r>
    </w:p>
    <w:p>
      <w:pPr>
        <w:pStyle w:val="Paragraphedeliste"/>
        <w:numPr>
          <w:ilvl w:val="0"/>
          <w:numId w:val="106"/>
        </w:numPr>
        <w:tabs>
          <w:tab w:val="left" w:pos="712"/>
          <w:tab w:val="left" w:pos="713"/>
        </w:tabs>
        <w:ind w:hanging="553"/>
      </w:pPr>
      <w:r>
        <w:t xml:space="preserve">triptodur.ti,ab. </w:t>
      </w:r>
      <w:r>
        <w:t xml:space="preserve">(0)</w:t>
      </w:r>
    </w:p>
    <w:p>
      <w:pPr>
        <w:pStyle w:val="Corpsdetexte"/>
        <w:tabs>
          <w:tab w:val="left" w:pos="712"/>
        </w:tabs>
      </w:pPr>
      <w:r>
        <w:t xml:space="preserve">52</w:t>
      </w:r>
      <w:r>
        <w:tab/>
        <w:t xml:space="preserve">("WY </w:t>
      </w:r>
      <w:r>
        <w:t xml:space="preserve">42422" </w:t>
      </w:r>
      <w:r>
        <w:t xml:space="preserve">ou </w:t>
      </w:r>
      <w:r>
        <w:t xml:space="preserve">WY42422).ti,ab. </w:t>
      </w:r>
      <w:r>
        <w:t xml:space="preserve">(0)</w:t>
      </w:r>
    </w:p>
    <w:p>
      <w:pPr>
        <w:pStyle w:val="Corpsdetexte"/>
        <w:tabs>
          <w:tab w:val="left" w:pos="712"/>
        </w:tabs>
        <w:spacing w:before="40"/>
      </w:pPr>
      <w:r>
        <w:t xml:space="preserve">53</w:t>
      </w:r>
      <w:r>
        <w:tab/>
        <w:t xml:space="preserve">("WY </w:t>
      </w:r>
      <w:r>
        <w:t xml:space="preserve">42462" </w:t>
      </w:r>
      <w:r>
        <w:t xml:space="preserve">ou </w:t>
      </w:r>
      <w:r>
        <w:t xml:space="preserve">WY42462).ti,ab. </w:t>
      </w:r>
      <w:r>
        <w:t xml:space="preserve">(0)</w:t>
      </w:r>
    </w:p>
    <w:p>
      <w:pPr>
        <w:pStyle w:val="Paragraphedeliste"/>
        <w:numPr>
          <w:ilvl w:val="0"/>
          <w:numId w:val="105"/>
        </w:numPr>
        <w:tabs>
          <w:tab w:val="left" w:pos="712"/>
          <w:tab w:val="left" w:pos="713"/>
        </w:tabs>
        <w:spacing w:before="38"/>
        <w:ind w:hanging="553"/>
      </w:pPr>
      <w:r>
        <w:rPr>
          <w:spacing w:val="-1"/>
        </w:rPr>
        <w:t xml:space="preserve">gonapeptyl.ti,ab.</w:t>
      </w:r>
      <w:r>
        <w:t xml:space="preserve"> (0)</w:t>
      </w:r>
    </w:p>
    <w:p>
      <w:pPr>
        <w:pStyle w:val="Paragraphedeliste"/>
        <w:numPr>
          <w:ilvl w:val="0"/>
          <w:numId w:val="105"/>
        </w:numPr>
        <w:tabs>
          <w:tab w:val="left" w:pos="712"/>
          <w:tab w:val="left" w:pos="713"/>
        </w:tabs>
        <w:spacing w:before="38"/>
        <w:ind w:hanging="553"/>
      </w:pPr>
      <w:r>
        <w:t xml:space="preserve">décapeptyl.ti,ab. </w:t>
      </w:r>
      <w:r>
        <w:t xml:space="preserve">(0)</w:t>
      </w:r>
    </w:p>
    <w:p>
      <w:pPr>
        <w:pStyle w:val="Paragraphedeliste"/>
        <w:numPr>
          <w:ilvl w:val="0"/>
          <w:numId w:val="105"/>
        </w:numPr>
        <w:tabs>
          <w:tab w:val="left" w:pos="712"/>
          <w:tab w:val="left" w:pos="713"/>
        </w:tabs>
        <w:ind w:hanging="553"/>
      </w:pPr>
      <w:r>
        <w:t xml:space="preserve">salvacyl.ti,ab. </w:t>
      </w:r>
      <w:r>
        <w:t xml:space="preserve">(0)</w:t>
      </w:r>
    </w:p>
    <w:p>
      <w:pPr>
        <w:pStyle w:val="Paragraphedeliste"/>
        <w:numPr>
          <w:ilvl w:val="0"/>
          <w:numId w:val="105"/>
        </w:numPr>
        <w:tabs>
          <w:tab w:val="left" w:pos="712"/>
          <w:tab w:val="left" w:pos="713"/>
        </w:tabs>
        <w:spacing w:before="38"/>
        <w:ind w:hanging="553"/>
      </w:pPr>
      <w:r>
        <w:t xml:space="preserve">Buserelin/ </w:t>
      </w:r>
      <w:r>
        <w:t xml:space="preserve">(0)</w:t>
      </w:r>
    </w:p>
    <w:p>
      <w:pPr>
        <w:pStyle w:val="Paragraphedeliste"/>
        <w:numPr>
          <w:ilvl w:val="0"/>
          <w:numId w:val="105"/>
        </w:numPr>
        <w:tabs>
          <w:tab w:val="left" w:pos="712"/>
          <w:tab w:val="left" w:pos="713"/>
        </w:tabs>
        <w:spacing w:before="39"/>
        <w:ind w:hanging="553"/>
      </w:pPr>
      <w:r>
        <w:t xml:space="preserve">buséréline.ti,ab. </w:t>
      </w:r>
      <w:r>
        <w:t xml:space="preserve">(7)</w:t>
      </w:r>
    </w:p>
    <w:p>
      <w:pPr>
        <w:pStyle w:val="Paragraphedeliste"/>
        <w:numPr>
          <w:ilvl w:val="0"/>
          <w:numId w:val="105"/>
        </w:numPr>
        <w:tabs>
          <w:tab w:val="left" w:pos="712"/>
          <w:tab w:val="left" w:pos="713"/>
        </w:tabs>
        <w:spacing w:before="38"/>
        <w:ind w:hanging="553"/>
      </w:pPr>
      <w:r>
        <w:t xml:space="preserve">bigoniste.ti,ab. </w:t>
      </w:r>
      <w:r>
        <w:t xml:space="preserve">(0)</w:t>
      </w:r>
    </w:p>
    <w:p>
      <w:pPr>
        <w:pStyle w:val="Corpsdetexte"/>
        <w:tabs>
          <w:tab w:val="left" w:pos="712"/>
        </w:tabs>
      </w:pPr>
      <w:r>
        <w:t xml:space="preserve">60</w:t>
      </w:r>
      <w:r>
        <w:tab/>
        <w:t xml:space="preserve">("hoe </w:t>
      </w:r>
      <w:r>
        <w:t xml:space="preserve">766" </w:t>
      </w:r>
      <w:r>
        <w:t xml:space="preserve">ou </w:t>
      </w:r>
      <w:r>
        <w:t xml:space="preserve">hoe-766 </w:t>
      </w:r>
      <w:r>
        <w:t xml:space="preserve">ou </w:t>
      </w:r>
      <w:r>
        <w:t xml:space="preserve">hoe766).ti,ab. </w:t>
      </w:r>
      <w:r>
        <w:t xml:space="preserve">(0)</w:t>
      </w:r>
    </w:p>
    <w:p>
      <w:pPr>
        <w:pStyle w:val="Paragraphedeliste"/>
        <w:numPr>
          <w:ilvl w:val="0"/>
          <w:numId w:val="104"/>
        </w:numPr>
        <w:tabs>
          <w:tab w:val="left" w:pos="712"/>
          <w:tab w:val="left" w:pos="713"/>
        </w:tabs>
        <w:spacing w:before="38"/>
        <w:ind w:hanging="553"/>
      </w:pPr>
      <w:r>
        <w:t xml:space="preserve">profact.ti,ab. </w:t>
      </w:r>
      <w:r>
        <w:t xml:space="preserve">(0)</w:t>
      </w:r>
    </w:p>
    <w:p>
      <w:pPr>
        <w:pStyle w:val="Paragraphedeliste"/>
        <w:numPr>
          <w:ilvl w:val="0"/>
          <w:numId w:val="104"/>
        </w:numPr>
        <w:tabs>
          <w:tab w:val="left" w:pos="712"/>
          <w:tab w:val="left" w:pos="713"/>
        </w:tabs>
        <w:spacing w:before="39"/>
        <w:ind w:hanging="553"/>
      </w:pPr>
      <w:r>
        <w:t xml:space="preserve">réceptacle.ti,ab. </w:t>
      </w:r>
      <w:r>
        <w:t xml:space="preserve">(0)</w:t>
      </w:r>
    </w:p>
    <w:p>
      <w:pPr>
        <w:pStyle w:val="Paragraphedeliste"/>
        <w:numPr>
          <w:ilvl w:val="0"/>
          <w:numId w:val="104"/>
        </w:numPr>
        <w:tabs>
          <w:tab w:val="left" w:pos="712"/>
          <w:tab w:val="left" w:pos="713"/>
        </w:tabs>
        <w:spacing w:before="38"/>
        <w:ind w:hanging="553"/>
      </w:pPr>
      <w:r>
        <w:t xml:space="preserve">suprecur.ti,ab. </w:t>
      </w:r>
      <w:r>
        <w:t xml:space="preserve">(0)</w:t>
      </w:r>
    </w:p>
    <w:p>
      <w:pPr>
        <w:pStyle w:val="Paragraphedeliste"/>
        <w:numPr>
          <w:ilvl w:val="0"/>
          <w:numId w:val="104"/>
        </w:numPr>
        <w:tabs>
          <w:tab w:val="left" w:pos="712"/>
          <w:tab w:val="left" w:pos="713"/>
        </w:tabs>
        <w:ind w:hanging="553"/>
      </w:pPr>
      <w:r>
        <w:t xml:space="preserve">suprefact.ti,ab. </w:t>
      </w:r>
      <w:r>
        <w:t xml:space="preserve">(1)</w:t>
      </w:r>
    </w:p>
    <w:p>
      <w:pPr>
        <w:pStyle w:val="Paragraphedeliste"/>
        <w:numPr>
          <w:ilvl w:val="0"/>
          <w:numId w:val="104"/>
        </w:numPr>
        <w:tabs>
          <w:tab w:val="left" w:pos="712"/>
          <w:tab w:val="left" w:pos="713"/>
        </w:tabs>
        <w:spacing w:before="38"/>
        <w:ind w:hanging="553"/>
      </w:pPr>
      <w:r>
        <w:t xml:space="preserve">tiloryth.ti,ab. </w:t>
      </w:r>
      <w:r>
        <w:t xml:space="preserve">(0)</w:t>
      </w:r>
    </w:p>
    <w:p>
      <w:pPr>
        <w:pStyle w:val="Paragraphedeliste"/>
        <w:numPr>
          <w:ilvl w:val="0"/>
          <w:numId w:val="104"/>
        </w:numPr>
        <w:tabs>
          <w:tab w:val="left" w:pos="712"/>
          <w:tab w:val="left" w:pos="713"/>
        </w:tabs>
        <w:ind w:hanging="553"/>
      </w:pPr>
      <w:r>
        <w:t xml:space="preserve">histrelin.ti,ab. </w:t>
      </w:r>
      <w:r>
        <w:t xml:space="preserve">(2)</w:t>
      </w:r>
    </w:p>
    <w:p>
      <w:pPr>
        <w:pStyle w:val="Paragraphedeliste"/>
        <w:numPr>
          <w:ilvl w:val="0"/>
          <w:numId w:val="104"/>
        </w:numPr>
        <w:tabs>
          <w:tab w:val="left" w:pos="712"/>
          <w:tab w:val="left" w:pos="713"/>
        </w:tabs>
        <w:spacing w:before="40" w:line="276" w:lineRule="auto"/>
        <w:ind w:start="160" w:end="5621" w:firstLine="0"/>
      </w:pPr>
      <w:r>
        <w:t xml:space="preserve">"Implant de LHRH-hydrogel".ti,ab. (0) </w:t>
      </w:r>
      <w:r>
        <w:t xml:space="preserve">68</w:t>
      </w:r>
      <w:r>
        <w:tab/>
        <w:t xml:space="preserve">("RL 0903" </w:t>
      </w:r>
      <w:r>
        <w:t xml:space="preserve">ou RL0903).ti,ab. (0) </w:t>
      </w:r>
      <w:r>
        <w:t xml:space="preserve">69</w:t>
      </w:r>
      <w:r>
        <w:tab/>
        <w:t xml:space="preserve">("SPD </w:t>
      </w:r>
      <w:r>
        <w:t xml:space="preserve">424" </w:t>
      </w:r>
      <w:r>
        <w:t xml:space="preserve">ou </w:t>
      </w:r>
      <w:r>
        <w:t xml:space="preserve">SPD424).ti,ab. </w:t>
      </w:r>
      <w:r>
        <w:t xml:space="preserve">(0)</w:t>
      </w:r>
    </w:p>
    <w:p>
      <w:pPr>
        <w:pStyle w:val="Paragraphedeliste"/>
        <w:numPr>
          <w:ilvl w:val="0"/>
          <w:numId w:val="103"/>
        </w:numPr>
        <w:tabs>
          <w:tab w:val="left" w:pos="712"/>
          <w:tab w:val="left" w:pos="713"/>
        </w:tabs>
        <w:spacing w:before="0" w:line="252" w:lineRule="exact"/>
        <w:ind w:hanging="553"/>
      </w:pPr>
      <w:r>
        <w:t xml:space="preserve">goséréline.ti,ab. </w:t>
      </w:r>
      <w:r>
        <w:t xml:space="preserve">(11)</w:t>
      </w:r>
    </w:p>
    <w:p>
      <w:pPr>
        <w:pStyle w:val="Paragraphedeliste"/>
        <w:numPr>
          <w:ilvl w:val="0"/>
          <w:numId w:val="103"/>
        </w:numPr>
        <w:tabs>
          <w:tab w:val="left" w:pos="712"/>
          <w:tab w:val="left" w:pos="713"/>
        </w:tabs>
        <w:ind w:hanging="553"/>
      </w:pPr>
      <w:r>
        <w:t xml:space="preserve">Goséréline/ </w:t>
      </w:r>
      <w:r>
        <w:t xml:space="preserve">(0)</w:t>
      </w:r>
    </w:p>
    <w:p>
      <w:pPr>
        <w:pStyle w:val="Corpsdetexte"/>
        <w:tabs>
          <w:tab w:val="left" w:pos="712"/>
        </w:tabs>
        <w:spacing w:before="40"/>
      </w:pPr>
      <w:r>
        <w:t xml:space="preserve">72</w:t>
      </w:r>
      <w:r>
        <w:tab/>
        <w:t xml:space="preserve">("ici </w:t>
      </w:r>
      <w:r>
        <w:t xml:space="preserve">118630" </w:t>
      </w:r>
      <w:r>
        <w:t xml:space="preserve">ou </w:t>
      </w:r>
      <w:r>
        <w:t xml:space="preserve">ici118630).ti,ab. </w:t>
      </w:r>
      <w:r>
        <w:t xml:space="preserve">(0)</w:t>
      </w:r>
    </w:p>
    <w:p>
      <w:pPr>
        <w:pStyle w:val="Corpsdetexte"/>
        <w:tabs>
          <w:tab w:val="left" w:pos="712"/>
        </w:tabs>
        <w:spacing w:before="38"/>
      </w:pPr>
      <w:r>
        <w:t xml:space="preserve">73</w:t>
      </w:r>
      <w:r>
        <w:tab/>
        <w:t xml:space="preserve">("ZD-9393" </w:t>
      </w:r>
      <w:r>
        <w:t xml:space="preserve">ou </w:t>
      </w:r>
      <w:r>
        <w:t xml:space="preserve">ZD9393).ti,ab. </w:t>
      </w:r>
      <w:r>
        <w:t xml:space="preserve">(0)</w:t>
      </w:r>
    </w:p>
    <w:p>
      <w:pPr>
        <w:pStyle w:val="Paragraphedeliste"/>
        <w:numPr>
          <w:ilvl w:val="0"/>
          <w:numId w:val="102"/>
        </w:numPr>
        <w:tabs>
          <w:tab w:val="left" w:pos="712"/>
          <w:tab w:val="left" w:pos="713"/>
        </w:tabs>
        <w:ind w:hanging="553"/>
      </w:pPr>
      <w:r>
        <w:t xml:space="preserve">zoladex.ti,ab. </w:t>
      </w:r>
      <w:r>
        <w:t xml:space="preserve">(1)</w:t>
      </w:r>
    </w:p>
    <w:p>
      <w:pPr>
        <w:pStyle w:val="Paragraphedeliste"/>
        <w:numPr>
          <w:ilvl w:val="0"/>
          <w:numId w:val="102"/>
        </w:numPr>
        <w:tabs>
          <w:tab w:val="left" w:pos="712"/>
          <w:tab w:val="left" w:pos="713"/>
        </w:tabs>
        <w:ind w:hanging="553"/>
      </w:pPr>
      <w:r>
        <w:t xml:space="preserve">leuprorelin.ti,ab. </w:t>
      </w:r>
      <w:r>
        <w:t xml:space="preserve">(13)</w:t>
      </w:r>
    </w:p>
    <w:p>
      <w:pPr>
        <w:pStyle w:val="Paragraphedeliste"/>
        <w:numPr>
          <w:ilvl w:val="0"/>
          <w:numId w:val="102"/>
        </w:numPr>
        <w:tabs>
          <w:tab w:val="left" w:pos="712"/>
          <w:tab w:val="left" w:pos="713"/>
        </w:tabs>
        <w:spacing w:before="40"/>
        <w:ind w:hanging="553"/>
      </w:pPr>
      <w:r>
        <w:t xml:space="preserve">carcinil.ti,ab. </w:t>
      </w:r>
      <w:r>
        <w:t xml:space="preserve">(0)</w:t>
      </w:r>
    </w:p>
    <w:p>
      <w:pPr>
        <w:pStyle w:val="Paragraphedeliste"/>
        <w:numPr>
          <w:ilvl w:val="0"/>
          <w:numId w:val="102"/>
        </w:numPr>
        <w:tabs>
          <w:tab w:val="left" w:pos="712"/>
          <w:tab w:val="left" w:pos="713"/>
        </w:tabs>
        <w:spacing w:before="38"/>
        <w:ind w:hanging="553"/>
      </w:pPr>
      <w:r>
        <w:t xml:space="preserve">enanton*.ti,ab. </w:t>
      </w:r>
      <w:r>
        <w:t xml:space="preserve">(1)</w:t>
      </w:r>
    </w:p>
    <w:p>
      <w:pPr>
        <w:pStyle w:val="Paragraphedeliste"/>
        <w:numPr>
          <w:ilvl w:val="0"/>
          <w:numId w:val="102"/>
        </w:numPr>
        <w:tabs>
          <w:tab w:val="left" w:pos="712"/>
          <w:tab w:val="left" w:pos="713"/>
        </w:tabs>
        <w:ind w:hanging="553"/>
      </w:pPr>
      <w:r>
        <w:t xml:space="preserve">ginecrin.ti,ab. </w:t>
      </w:r>
      <w:r>
        <w:t xml:space="preserve">(0)</w:t>
      </w:r>
    </w:p>
    <w:p>
      <w:pPr>
        <w:pStyle w:val="Paragraphedeliste"/>
        <w:numPr>
          <w:ilvl w:val="0"/>
          <w:numId w:val="102"/>
        </w:numPr>
        <w:tabs>
          <w:tab w:val="left" w:pos="712"/>
          <w:tab w:val="left" w:pos="713"/>
        </w:tabs>
        <w:spacing w:before="38"/>
        <w:ind w:hanging="553"/>
      </w:pPr>
      <w:r>
        <w:t xml:space="preserve">leuplin.ti,ab. </w:t>
      </w:r>
      <w:r>
        <w:t xml:space="preserve">(0)</w:t>
      </w:r>
    </w:p>
    <w:p>
      <w:pPr>
        <w:pStyle w:val="Paragraphedeliste"/>
        <w:numPr>
          <w:ilvl w:val="0"/>
          <w:numId w:val="102"/>
        </w:numPr>
        <w:tabs>
          <w:tab w:val="left" w:pos="712"/>
          <w:tab w:val="left" w:pos="713"/>
        </w:tabs>
        <w:ind w:hanging="553"/>
      </w:pPr>
      <w:r>
        <w:t xml:space="preserve">Leuprolide/ </w:t>
      </w:r>
      <w:r>
        <w:t xml:space="preserve">(0)</w:t>
      </w:r>
    </w:p>
    <w:p>
      <w:pPr>
        <w:pStyle w:val="Paragraphedeliste"/>
        <w:numPr>
          <w:ilvl w:val="0"/>
          <w:numId w:val="102"/>
        </w:numPr>
        <w:tabs>
          <w:tab w:val="left" w:pos="712"/>
          <w:tab w:val="left" w:pos="713"/>
        </w:tabs>
        <w:spacing w:before="40"/>
        <w:ind w:hanging="553"/>
      </w:pPr>
      <w:r>
        <w:t xml:space="preserve">leuprolide.ti,ab. </w:t>
      </w:r>
      <w:r>
        <w:t xml:space="preserve">(22)</w:t>
      </w:r>
    </w:p>
    <w:p>
      <w:pPr>
        <w:pStyle w:val="Paragraphedeliste"/>
        <w:numPr>
          <w:ilvl w:val="0"/>
          <w:numId w:val="102"/>
        </w:numPr>
        <w:tabs>
          <w:tab w:val="left" w:pos="712"/>
          <w:tab w:val="left" w:pos="713"/>
        </w:tabs>
        <w:spacing w:before="38"/>
        <w:ind w:hanging="553"/>
      </w:pPr>
      <w:r>
        <w:t xml:space="preserve">lucrin.ti,ab. </w:t>
      </w:r>
      <w:r>
        <w:t xml:space="preserve">(0)</w:t>
      </w:r>
    </w:p>
    <w:p>
      <w:pPr>
        <w:pStyle w:val="Paragraphedeliste"/>
        <w:numPr>
          <w:ilvl w:val="0"/>
          <w:numId w:val="102"/>
        </w:numPr>
        <w:tabs>
          <w:tab w:val="left" w:pos="712"/>
          <w:tab w:val="left" w:pos="713"/>
        </w:tabs>
        <w:ind w:hanging="553"/>
      </w:pPr>
      <w:r>
        <w:t xml:space="preserve">lupron.ti,ab. </w:t>
      </w:r>
      <w:r>
        <w:t xml:space="preserve">(2)</w:t>
      </w:r>
    </w:p>
    <w:p>
      <w:pPr>
        <w:pStyle w:val="Paragraphedeliste"/>
        <w:numPr>
          <w:ilvl w:val="0"/>
          <w:numId w:val="102"/>
        </w:numPr>
        <w:tabs>
          <w:tab w:val="left" w:pos="712"/>
          <w:tab w:val="left" w:pos="713"/>
        </w:tabs>
        <w:spacing w:before="38"/>
        <w:ind w:hanging="553"/>
      </w:pPr>
      <w:r>
        <w:t xml:space="preserve">provren.ti,ab. </w:t>
      </w:r>
      <w:r>
        <w:t xml:space="preserve">(0)</w:t>
      </w:r>
    </w:p>
    <w:p>
      <w:pPr>
        <w:pStyle w:val="Paragraphedeliste"/>
        <w:numPr>
          <w:ilvl w:val="0"/>
          <w:numId w:val="102"/>
        </w:numPr>
        <w:tabs>
          <w:tab w:val="left" w:pos="712"/>
          <w:tab w:val="left" w:pos="713"/>
        </w:tabs>
        <w:spacing w:before="39"/>
        <w:ind w:hanging="553"/>
      </w:pPr>
      <w:r>
        <w:t xml:space="preserve">procrine.ti,ab. </w:t>
      </w:r>
      <w:r>
        <w:t xml:space="preserve">(0)</w:t>
      </w:r>
    </w:p>
    <w:p>
      <w:pPr>
        <w:pStyle w:val="Corpsdetexte"/>
        <w:tabs>
          <w:tab w:val="left" w:pos="712"/>
        </w:tabs>
        <w:spacing w:before="38"/>
      </w:pPr>
      <w:r>
        <w:t xml:space="preserve">86</w:t>
      </w:r>
      <w:r>
        <w:tab/>
        <w:t xml:space="preserve">("tap </w:t>
      </w:r>
      <w:r>
        <w:t xml:space="preserve">144" </w:t>
      </w:r>
      <w:r>
        <w:t xml:space="preserve">ou </w:t>
      </w:r>
      <w:r>
        <w:t xml:space="preserve">tap144).ti,ab. </w:t>
      </w:r>
      <w:r>
        <w:t xml:space="preserve">(1)</w:t>
      </w:r>
    </w:p>
    <w:p>
      <w:pPr>
        <w:pStyle w:val="Corpsdetexte"/>
        <w:tabs>
          <w:tab w:val="left" w:pos="712"/>
        </w:tabs>
      </w:pPr>
      <w:r>
        <w:t xml:space="preserve">87</w:t>
      </w:r>
      <w:r>
        <w:tab/>
        <w:t xml:space="preserve">(a-43818 </w:t>
      </w:r>
      <w:r>
        <w:t xml:space="preserve">ou </w:t>
      </w:r>
      <w:r>
        <w:t xml:space="preserve">a43818).ti,ab.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101"/>
        </w:numPr>
        <w:tabs>
          <w:tab w:val="left" w:pos="712"/>
          <w:tab w:val="left" w:pos="713"/>
        </w:tabs>
        <w:spacing w:before="78"/>
        <w:ind w:hanging="553"/>
      </w:pPr>
      <w:r>
        <w:lastRenderedPageBreak/>
        <w:t xml:space="preserve">Trenantone.ti,ab. </w:t>
      </w:r>
      <w:r>
        <w:t xml:space="preserve">(0)</w:t>
      </w:r>
    </w:p>
    <w:p>
      <w:pPr>
        <w:pStyle w:val="Paragraphedeliste"/>
        <w:numPr>
          <w:ilvl w:val="0"/>
          <w:numId w:val="101"/>
        </w:numPr>
        <w:tabs>
          <w:tab w:val="left" w:pos="712"/>
          <w:tab w:val="left" w:pos="713"/>
        </w:tabs>
        <w:spacing w:before="38"/>
        <w:ind w:hanging="553"/>
      </w:pPr>
      <w:r>
        <w:t xml:space="preserve">staladex.ti,ab. </w:t>
      </w:r>
      <w:r>
        <w:t xml:space="preserve">(0)</w:t>
      </w:r>
    </w:p>
    <w:p>
      <w:pPr>
        <w:pStyle w:val="Paragraphedeliste"/>
        <w:numPr>
          <w:ilvl w:val="0"/>
          <w:numId w:val="101"/>
        </w:numPr>
        <w:tabs>
          <w:tab w:val="left" w:pos="712"/>
          <w:tab w:val="left" w:pos="713"/>
        </w:tabs>
        <w:ind w:hanging="553"/>
      </w:pPr>
      <w:r>
        <w:t xml:space="preserve">prostap.ti,ab. </w:t>
      </w:r>
      <w:r>
        <w:t xml:space="preserve">(0)</w:t>
      </w:r>
    </w:p>
    <w:p>
      <w:pPr>
        <w:pStyle w:val="Paragraphedeliste"/>
        <w:numPr>
          <w:ilvl w:val="0"/>
          <w:numId w:val="101"/>
        </w:numPr>
        <w:tabs>
          <w:tab w:val="left" w:pos="712"/>
          <w:tab w:val="left" w:pos="713"/>
        </w:tabs>
        <w:spacing w:before="38"/>
        <w:ind w:hanging="553"/>
      </w:pPr>
      <w:r>
        <w:t xml:space="preserve">Nafarelin/ </w:t>
      </w:r>
      <w:r>
        <w:t xml:space="preserve">(0)</w:t>
      </w:r>
    </w:p>
    <w:p>
      <w:pPr>
        <w:pStyle w:val="Paragraphedeliste"/>
        <w:numPr>
          <w:ilvl w:val="0"/>
          <w:numId w:val="101"/>
        </w:numPr>
        <w:tabs>
          <w:tab w:val="left" w:pos="712"/>
          <w:tab w:val="left" w:pos="713"/>
        </w:tabs>
        <w:spacing w:before="40"/>
        <w:ind w:hanging="553"/>
      </w:pPr>
      <w:r>
        <w:t xml:space="preserve">nafarelin.ti,ab. </w:t>
      </w:r>
      <w:r>
        <w:t xml:space="preserve">(4)</w:t>
      </w:r>
    </w:p>
    <w:p>
      <w:pPr>
        <w:pStyle w:val="Corpsdetexte"/>
        <w:tabs>
          <w:tab w:val="left" w:pos="712"/>
        </w:tabs>
      </w:pPr>
      <w:r>
        <w:t xml:space="preserve">93</w:t>
      </w:r>
      <w:r>
        <w:tab/>
        <w:t xml:space="preserve">("76932-56-4" </w:t>
      </w:r>
      <w:r>
        <w:t xml:space="preserve">ou </w:t>
      </w:r>
      <w:r>
        <w:t xml:space="preserve">"76932564").ti,ab. </w:t>
      </w:r>
      <w:r>
        <w:t xml:space="preserve">(0)</w:t>
      </w:r>
    </w:p>
    <w:p>
      <w:pPr>
        <w:pStyle w:val="Corpsdetexte"/>
        <w:tabs>
          <w:tab w:val="left" w:pos="712"/>
        </w:tabs>
      </w:pPr>
      <w:r>
        <w:t xml:space="preserve">94</w:t>
      </w:r>
      <w:r>
        <w:tab/>
        <w:t xml:space="preserve">("76932-60-0" </w:t>
      </w:r>
      <w:r>
        <w:t xml:space="preserve">ou </w:t>
      </w:r>
      <w:r>
        <w:t xml:space="preserve">"76932600").ti,ab. </w:t>
      </w:r>
      <w:r>
        <w:t xml:space="preserve">(0)</w:t>
      </w:r>
    </w:p>
    <w:p>
      <w:pPr>
        <w:pStyle w:val="Corpsdetexte"/>
        <w:tabs>
          <w:tab w:val="left" w:pos="712"/>
        </w:tabs>
        <w:spacing w:before="38"/>
      </w:pPr>
      <w:r>
        <w:t xml:space="preserve">95</w:t>
      </w:r>
      <w:r>
        <w:tab/>
        <w:t xml:space="preserve">("86220-42-0" </w:t>
      </w:r>
      <w:r>
        <w:t xml:space="preserve">ou </w:t>
      </w:r>
      <w:r>
        <w:t xml:space="preserve">"86220420").ti,ab. </w:t>
      </w:r>
      <w:r>
        <w:t xml:space="preserve">(0)</w:t>
      </w:r>
    </w:p>
    <w:p>
      <w:pPr>
        <w:pStyle w:val="Corpsdetexte"/>
        <w:tabs>
          <w:tab w:val="left" w:pos="712"/>
        </w:tabs>
      </w:pPr>
      <w:r>
        <w:t xml:space="preserve">96</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100"/>
        </w:numPr>
        <w:tabs>
          <w:tab w:val="left" w:pos="712"/>
          <w:tab w:val="left" w:pos="713"/>
        </w:tabs>
        <w:spacing w:before="40"/>
        <w:ind w:hanging="553"/>
      </w:pPr>
      <w:r>
        <w:t xml:space="preserve">synarel.ti,ab. </w:t>
      </w:r>
      <w:r>
        <w:t xml:space="preserve">(0)</w:t>
      </w:r>
    </w:p>
    <w:p>
      <w:pPr>
        <w:pStyle w:val="Paragraphedeliste"/>
        <w:numPr>
          <w:ilvl w:val="0"/>
          <w:numId w:val="100"/>
        </w:numPr>
        <w:tabs>
          <w:tab w:val="left" w:pos="712"/>
          <w:tab w:val="left" w:pos="713"/>
        </w:tabs>
        <w:spacing w:before="38"/>
        <w:ind w:hanging="553"/>
      </w:pPr>
      <w:r>
        <w:t xml:space="preserve">deslorelin.ti,ab. </w:t>
      </w:r>
      <w:r>
        <w:t xml:space="preserve">(3)</w:t>
      </w:r>
    </w:p>
    <w:p>
      <w:pPr>
        <w:pStyle w:val="Paragraphedeliste"/>
        <w:numPr>
          <w:ilvl w:val="0"/>
          <w:numId w:val="100"/>
        </w:numPr>
        <w:tabs>
          <w:tab w:val="left" w:pos="712"/>
          <w:tab w:val="left" w:pos="713"/>
        </w:tabs>
        <w:ind w:hanging="553"/>
      </w:pPr>
      <w:r>
        <w:t xml:space="preserve">gonadorelin.ti,ab. </w:t>
      </w:r>
      <w:r>
        <w:t xml:space="preserve">(3)</w:t>
      </w:r>
    </w:p>
    <w:p>
      <w:pPr>
        <w:pStyle w:val="Corpsdetexte"/>
        <w:tabs>
          <w:tab w:val="left" w:pos="834"/>
        </w:tabs>
      </w:pPr>
      <w:r>
        <w:t xml:space="preserve">100</w:t>
      </w:r>
      <w:r>
        <w:tab/>
        <w:t xml:space="preserve">("33515-09-2" </w:t>
      </w:r>
      <w:r>
        <w:t xml:space="preserve">ou </w:t>
      </w:r>
      <w:r>
        <w:t xml:space="preserve">"33515092").ti,ab. </w:t>
      </w:r>
      <w:r>
        <w:t xml:space="preserve">(0)</w:t>
      </w:r>
    </w:p>
    <w:p>
      <w:pPr>
        <w:pStyle w:val="Corpsdetexte"/>
        <w:tabs>
          <w:tab w:val="left" w:pos="834"/>
        </w:tabs>
        <w:spacing w:before="40"/>
      </w:pPr>
      <w:r>
        <w:t xml:space="preserve">101</w:t>
      </w:r>
      <w:r>
        <w:tab/>
        <w:t xml:space="preserve">("51952-41-1" </w:t>
      </w:r>
      <w:r>
        <w:t xml:space="preserve">ou </w:t>
      </w:r>
      <w:r>
        <w:t xml:space="preserve">"51952411").ti,ab. </w:t>
      </w:r>
      <w:r>
        <w:t xml:space="preserve">(0)</w:t>
      </w:r>
    </w:p>
    <w:p>
      <w:pPr>
        <w:pStyle w:val="Corpsdetexte"/>
        <w:tabs>
          <w:tab w:val="left" w:pos="834"/>
        </w:tabs>
        <w:spacing w:before="38"/>
      </w:pPr>
      <w:r>
        <w:t xml:space="preserve">102</w:t>
      </w:r>
      <w:r>
        <w:tab/>
        <w:t xml:space="preserve">("52699-48-6" </w:t>
      </w:r>
      <w:r>
        <w:t xml:space="preserve">ou </w:t>
      </w:r>
      <w:r>
        <w:t xml:space="preserve">"52699486").ti,ab. </w:t>
      </w:r>
      <w:r>
        <w:t xml:space="preserve">(0)</w:t>
      </w:r>
    </w:p>
    <w:p>
      <w:pPr>
        <w:pStyle w:val="Paragraphedeliste"/>
        <w:numPr>
          <w:ilvl w:val="0"/>
          <w:numId w:val="99"/>
        </w:numPr>
        <w:tabs>
          <w:tab w:val="left" w:pos="834"/>
          <w:tab w:val="left" w:pos="835"/>
        </w:tabs>
        <w:spacing w:before="38"/>
      </w:pPr>
      <w:r>
        <w:t xml:space="preserve">cetrorelix.ti,ab. </w:t>
      </w:r>
      <w:r>
        <w:t xml:space="preserve">(6)</w:t>
      </w:r>
    </w:p>
    <w:p>
      <w:pPr>
        <w:pStyle w:val="Paragraphedeliste"/>
        <w:numPr>
          <w:ilvl w:val="0"/>
          <w:numId w:val="99"/>
        </w:numPr>
        <w:tabs>
          <w:tab w:val="left" w:pos="834"/>
          <w:tab w:val="left" w:pos="835"/>
        </w:tabs>
      </w:pPr>
      <w:r>
        <w:t xml:space="preserve">cetrotide.ti,ab</w:t>
      </w:r>
      <w:r>
        <w:t xml:space="preserve">. </w:t>
      </w:r>
      <w:r>
        <w:t xml:space="preserve">(2)</w:t>
      </w:r>
    </w:p>
    <w:p>
      <w:pPr>
        <w:pStyle w:val="Corpsdetexte"/>
        <w:tabs>
          <w:tab w:val="left" w:pos="834"/>
        </w:tabs>
        <w:spacing w:before="38"/>
      </w:pPr>
      <w:r>
        <w:t xml:space="preserve">105</w:t>
      </w:r>
      <w:r>
        <w:tab/>
        <w:t xml:space="preserve">("NS </w:t>
      </w:r>
      <w:r>
        <w:t xml:space="preserve">75A" </w:t>
      </w:r>
      <w:r>
        <w:t xml:space="preserve">ou </w:t>
      </w:r>
      <w:r>
        <w:t xml:space="preserve">NS75A).ti,ab. </w:t>
      </w:r>
      <w:r>
        <w:t xml:space="preserve">(0)</w:t>
      </w:r>
    </w:p>
    <w:p>
      <w:pPr>
        <w:pStyle w:val="Corpsdetexte"/>
        <w:tabs>
          <w:tab w:val="left" w:pos="834"/>
        </w:tabs>
        <w:spacing w:before="39"/>
      </w:pPr>
      <w:r>
        <w:t xml:space="preserve">106</w:t>
      </w:r>
      <w:r>
        <w:tab/>
        <w:t xml:space="preserve">("NS </w:t>
      </w:r>
      <w:r>
        <w:t xml:space="preserve">75B" </w:t>
      </w:r>
      <w:r>
        <w:t xml:space="preserve">ou </w:t>
      </w:r>
      <w:r>
        <w:t xml:space="preserve">NS75B).ti,ab. </w:t>
      </w:r>
      <w:r>
        <w:t xml:space="preserve">(0)</w:t>
      </w:r>
    </w:p>
    <w:p>
      <w:pPr>
        <w:pStyle w:val="Corpsdetexte"/>
        <w:tabs>
          <w:tab w:val="left" w:pos="834"/>
        </w:tabs>
        <w:spacing w:before="38"/>
      </w:pPr>
      <w:r>
        <w:t xml:space="preserve">107</w:t>
      </w:r>
      <w:r>
        <w:tab/>
        <w:t xml:space="preserve">("SB </w:t>
      </w:r>
      <w:r>
        <w:t xml:space="preserve">075" </w:t>
      </w:r>
      <w:r>
        <w:t xml:space="preserve">ou </w:t>
      </w:r>
      <w:r>
        <w:t xml:space="preserve">SB075).ti,ab. </w:t>
      </w:r>
      <w:r>
        <w:t xml:space="preserve">(0)</w:t>
      </w:r>
    </w:p>
    <w:p>
      <w:pPr>
        <w:pStyle w:val="Corpsdetexte"/>
        <w:tabs>
          <w:tab w:val="left" w:pos="834"/>
        </w:tabs>
      </w:pPr>
      <w:r>
        <w:t xml:space="preserve">108</w:t>
      </w:r>
      <w:r>
        <w:tab/>
        <w:t xml:space="preserve">("SB </w:t>
      </w:r>
      <w:r>
        <w:t xml:space="preserve">75" </w:t>
      </w:r>
      <w:r>
        <w:t xml:space="preserve">ou </w:t>
      </w:r>
      <w:r>
        <w:t xml:space="preserve">SB75).ti,ab. </w:t>
      </w:r>
      <w:r>
        <w:t xml:space="preserve">(0)</w:t>
      </w:r>
    </w:p>
    <w:p>
      <w:pPr>
        <w:pStyle w:val="Paragraphedeliste"/>
        <w:numPr>
          <w:ilvl w:val="0"/>
          <w:numId w:val="98"/>
        </w:numPr>
        <w:tabs>
          <w:tab w:val="left" w:pos="834"/>
          <w:tab w:val="left" w:pos="835"/>
        </w:tabs>
        <w:spacing w:before="38"/>
      </w:pPr>
      <w:r>
        <w:t xml:space="preserve">gonadoliberin.ti,ab. </w:t>
      </w:r>
      <w:r>
        <w:t xml:space="preserve">(0)</w:t>
      </w:r>
    </w:p>
    <w:p>
      <w:pPr>
        <w:pStyle w:val="Paragraphedeliste"/>
        <w:numPr>
          <w:ilvl w:val="0"/>
          <w:numId w:val="98"/>
        </w:numPr>
        <w:tabs>
          <w:tab w:val="left" w:pos="834"/>
          <w:tab w:val="left" w:pos="835"/>
        </w:tabs>
        <w:spacing w:before="39"/>
      </w:pPr>
      <w:r>
        <w:t xml:space="preserve">kryptocur.ti,ab. </w:t>
      </w:r>
      <w:r>
        <w:t xml:space="preserve">(0)</w:t>
      </w:r>
    </w:p>
    <w:p>
      <w:pPr>
        <w:pStyle w:val="Paragraphedeliste"/>
        <w:numPr>
          <w:ilvl w:val="0"/>
          <w:numId w:val="98"/>
        </w:numPr>
        <w:tabs>
          <w:tab w:val="left" w:pos="834"/>
          <w:tab w:val="left" w:pos="835"/>
        </w:tabs>
        <w:spacing w:before="38"/>
      </w:pPr>
      <w:r>
        <w:t xml:space="preserve">cetrorelix.ti,ab. </w:t>
      </w:r>
      <w:r>
        <w:t xml:space="preserve">(6)</w:t>
      </w:r>
    </w:p>
    <w:p>
      <w:pPr>
        <w:pStyle w:val="Paragraphedeliste"/>
        <w:numPr>
          <w:ilvl w:val="0"/>
          <w:numId w:val="98"/>
        </w:numPr>
        <w:tabs>
          <w:tab w:val="left" w:pos="834"/>
          <w:tab w:val="left" w:pos="835"/>
        </w:tabs>
      </w:pPr>
      <w:r>
        <w:t xml:space="preserve">cetrotide.ti,ab. </w:t>
      </w:r>
      <w:r>
        <w:t xml:space="preserve">(2)</w:t>
      </w:r>
    </w:p>
    <w:p>
      <w:pPr>
        <w:pStyle w:val="Paragraphedeliste"/>
        <w:numPr>
          <w:ilvl w:val="0"/>
          <w:numId w:val="98"/>
        </w:numPr>
        <w:tabs>
          <w:tab w:val="left" w:pos="834"/>
          <w:tab w:val="left" w:pos="835"/>
        </w:tabs>
        <w:spacing w:before="38"/>
      </w:pPr>
      <w:r>
        <w:t xml:space="preserve">antagoniste.ti,ab. </w:t>
      </w:r>
      <w:r>
        <w:t xml:space="preserve">(1)</w:t>
      </w:r>
    </w:p>
    <w:p>
      <w:pPr>
        <w:pStyle w:val="Paragraphedeliste"/>
        <w:numPr>
          <w:ilvl w:val="0"/>
          <w:numId w:val="98"/>
        </w:numPr>
        <w:tabs>
          <w:tab w:val="left" w:pos="834"/>
          <w:tab w:val="left" w:pos="835"/>
        </w:tabs>
      </w:pPr>
      <w:r>
        <w:t xml:space="preserve">ganirelix.ti,ab. </w:t>
      </w:r>
      <w:r>
        <w:t xml:space="preserve">(1)</w:t>
      </w:r>
    </w:p>
    <w:p>
      <w:pPr>
        <w:pStyle w:val="Corpsdetexte"/>
        <w:tabs>
          <w:tab w:val="left" w:pos="834"/>
        </w:tabs>
        <w:spacing w:before="40"/>
      </w:pPr>
      <w:r>
        <w:t xml:space="preserve">115</w:t>
      </w:r>
      <w:r>
        <w:tab/>
        <w:t xml:space="preserve">("ORG </w:t>
      </w:r>
      <w:r>
        <w:t xml:space="preserve">37462" </w:t>
      </w:r>
      <w:r>
        <w:t xml:space="preserve">ou </w:t>
      </w:r>
      <w:r>
        <w:t xml:space="preserve">ORG37462).ti,ab. </w:t>
      </w:r>
      <w:r>
        <w:t xml:space="preserve">(0)</w:t>
      </w:r>
    </w:p>
    <w:p>
      <w:pPr>
        <w:pStyle w:val="Corpsdetexte"/>
        <w:tabs>
          <w:tab w:val="left" w:pos="834"/>
        </w:tabs>
        <w:spacing w:before="38"/>
      </w:pPr>
      <w:r>
        <w:t xml:space="preserve">116orgalutran</w:t>
      </w:r>
      <w:r>
        <w:tab/>
        <w:t xml:space="preserve">.ti,ab. </w:t>
      </w:r>
      <w:r>
        <w:t xml:space="preserve">(0)</w:t>
      </w:r>
    </w:p>
    <w:p>
      <w:pPr>
        <w:pStyle w:val="Corpsdetexte"/>
        <w:tabs>
          <w:tab w:val="left" w:pos="834"/>
        </w:tabs>
      </w:pPr>
      <w:r>
        <w:t xml:space="preserve">117</w:t>
      </w:r>
      <w:r>
        <w:tab/>
        <w:t xml:space="preserve">("RS </w:t>
      </w:r>
      <w:r>
        <w:t xml:space="preserve">26306" </w:t>
      </w:r>
      <w:r>
        <w:t xml:space="preserve">ou </w:t>
      </w:r>
      <w:r>
        <w:t xml:space="preserve">RS26306).ti,ab. </w:t>
      </w:r>
      <w:r>
        <w:t xml:space="preserve">(0)</w:t>
      </w:r>
    </w:p>
    <w:p>
      <w:pPr>
        <w:pStyle w:val="Corpsdetexte"/>
        <w:tabs>
          <w:tab w:val="left" w:pos="834"/>
        </w:tabs>
        <w:spacing w:before="38"/>
      </w:pPr>
      <w:r>
        <w:t xml:space="preserve">118</w:t>
      </w:r>
      <w:r>
        <w:tab/>
        <w:t xml:space="preserve">("AY </w:t>
      </w:r>
      <w:r>
        <w:t xml:space="preserve">24031" </w:t>
      </w:r>
      <w:r>
        <w:t xml:space="preserve">ou </w:t>
      </w:r>
      <w:r>
        <w:t xml:space="preserve">AY24031).ti,ab. </w:t>
      </w:r>
      <w:r>
        <w:t xml:space="preserve">(0)</w:t>
      </w:r>
    </w:p>
    <w:p>
      <w:pPr>
        <w:pStyle w:val="Paragraphedeliste"/>
        <w:numPr>
          <w:ilvl w:val="0"/>
          <w:numId w:val="97"/>
        </w:numPr>
        <w:tabs>
          <w:tab w:val="left" w:pos="834"/>
          <w:tab w:val="left" w:pos="835"/>
        </w:tabs>
      </w:pPr>
      <w:r>
        <w:t xml:space="preserve">factrel.ti,ab. </w:t>
      </w:r>
      <w:r>
        <w:t xml:space="preserve">(0)</w:t>
      </w:r>
    </w:p>
    <w:p>
      <w:pPr>
        <w:pStyle w:val="Paragraphedeliste"/>
        <w:numPr>
          <w:ilvl w:val="0"/>
          <w:numId w:val="97"/>
        </w:numPr>
        <w:tabs>
          <w:tab w:val="left" w:pos="834"/>
          <w:tab w:val="left" w:pos="835"/>
        </w:tabs>
        <w:spacing w:before="40"/>
      </w:pPr>
      <w:r>
        <w:t xml:space="preserve">fertagyl.ti,ab. </w:t>
      </w:r>
      <w:r>
        <w:t xml:space="preserve">(0)</w:t>
      </w:r>
    </w:p>
    <w:p>
      <w:pPr>
        <w:pStyle w:val="Paragraphedeliste"/>
        <w:numPr>
          <w:ilvl w:val="0"/>
          <w:numId w:val="97"/>
        </w:numPr>
        <w:tabs>
          <w:tab w:val="left" w:pos="834"/>
          <w:tab w:val="left" w:pos="835"/>
        </w:tabs>
      </w:pPr>
      <w:r>
        <w:t xml:space="preserve">lutrelef.ti,ab. </w:t>
      </w:r>
      <w:r>
        <w:t xml:space="preserve">(0)</w:t>
      </w:r>
    </w:p>
    <w:p>
      <w:pPr>
        <w:pStyle w:val="Paragraphedeliste"/>
        <w:numPr>
          <w:ilvl w:val="0"/>
          <w:numId w:val="97"/>
        </w:numPr>
        <w:tabs>
          <w:tab w:val="left" w:pos="834"/>
          <w:tab w:val="left" w:pos="835"/>
        </w:tabs>
        <w:spacing w:before="38"/>
      </w:pPr>
      <w:r>
        <w:t xml:space="preserve">lutrepulse.ti,ab. </w:t>
      </w:r>
      <w:r>
        <w:t xml:space="preserve">(0)</w:t>
      </w:r>
    </w:p>
    <w:p>
      <w:pPr>
        <w:pStyle w:val="Paragraphedeliste"/>
        <w:numPr>
          <w:ilvl w:val="0"/>
          <w:numId w:val="97"/>
        </w:numPr>
        <w:tabs>
          <w:tab w:val="left" w:pos="834"/>
          <w:tab w:val="left" w:pos="835"/>
        </w:tabs>
      </w:pPr>
      <w:r>
        <w:t xml:space="preserve">relefact.ti,ab. </w:t>
      </w:r>
      <w:r>
        <w:t xml:space="preserve">(0)</w:t>
      </w:r>
    </w:p>
    <w:p>
      <w:pPr>
        <w:pStyle w:val="Paragraphedeliste"/>
        <w:numPr>
          <w:ilvl w:val="0"/>
          <w:numId w:val="97"/>
        </w:numPr>
        <w:tabs>
          <w:tab w:val="left" w:pos="834"/>
          <w:tab w:val="left" w:pos="835"/>
        </w:tabs>
        <w:spacing w:before="40"/>
      </w:pPr>
      <w:r>
        <w:t xml:space="preserve">fertiral.ti,ab. </w:t>
      </w:r>
      <w:r>
        <w:t xml:space="preserve">(0)</w:t>
      </w:r>
    </w:p>
    <w:p>
      <w:pPr>
        <w:pStyle w:val="Corpsdetexte"/>
        <w:tabs>
          <w:tab w:val="left" w:pos="834"/>
        </w:tabs>
      </w:pPr>
      <w:r>
        <w:t xml:space="preserve">125</w:t>
      </w:r>
      <w:r>
        <w:tab/>
        <w:t xml:space="preserve">(hoe471 </w:t>
      </w:r>
      <w:r>
        <w:t xml:space="preserve">ou </w:t>
      </w:r>
      <w:r>
        <w:t xml:space="preserve">"hoe </w:t>
      </w:r>
      <w:r>
        <w:t xml:space="preserve">471").ti,ab. </w:t>
      </w:r>
      <w:r>
        <w:t xml:space="preserve">(0)</w:t>
      </w:r>
    </w:p>
    <w:p>
      <w:pPr>
        <w:pStyle w:val="Paragraphedeliste"/>
        <w:numPr>
          <w:ilvl w:val="0"/>
          <w:numId w:val="96"/>
        </w:numPr>
        <w:tabs>
          <w:tab w:val="left" w:pos="834"/>
          <w:tab w:val="left" w:pos="835"/>
        </w:tabs>
        <w:spacing w:before="38"/>
      </w:pPr>
      <w:r>
        <w:t xml:space="preserve">relisorm.ti,ab. </w:t>
      </w:r>
      <w:r>
        <w:t xml:space="preserve">(0)</w:t>
      </w:r>
    </w:p>
    <w:p>
      <w:pPr>
        <w:pStyle w:val="Paragraphedeliste"/>
        <w:numPr>
          <w:ilvl w:val="0"/>
          <w:numId w:val="96"/>
        </w:numPr>
        <w:tabs>
          <w:tab w:val="left" w:pos="834"/>
          <w:tab w:val="left" w:pos="835"/>
        </w:tabs>
      </w:pPr>
      <w:r>
        <w:t xml:space="preserve">cystorelin.ti,ab. </w:t>
      </w:r>
      <w:r>
        <w:t xml:space="preserve">(0)</w:t>
      </w:r>
    </w:p>
    <w:p>
      <w:pPr>
        <w:pStyle w:val="Paragraphedeliste"/>
        <w:numPr>
          <w:ilvl w:val="0"/>
          <w:numId w:val="96"/>
        </w:numPr>
        <w:tabs>
          <w:tab w:val="left" w:pos="834"/>
          <w:tab w:val="left" w:pos="835"/>
        </w:tabs>
        <w:spacing w:before="38" w:line="276" w:lineRule="auto"/>
        <w:ind w:start="160" w:end="6914" w:firstLine="0"/>
      </w:pPr>
      <w:r>
        <w:t xml:space="preserve">dirigestran.ti,ab. (0) </w:t>
      </w:r>
      <w:r>
        <w:t xml:space="preserve">129ou/33-128 </w:t>
      </w:r>
      <w:r>
        <w:t xml:space="preserve">(310) </w:t>
      </w:r>
      <w:r>
        <w:t xml:space="preserve">13032 </w:t>
      </w:r>
      <w:r>
        <w:t xml:space="preserve">et </w:t>
      </w:r>
      <w:r>
        <w:t xml:space="preserve">129 </w:t>
      </w:r>
      <w:r>
        <w:t xml:space="preserve">(8)</w:t>
      </w:r>
    </w:p>
    <w:p>
      <w:pPr>
        <w:pStyle w:val="Paragraphedeliste"/>
        <w:numPr>
          <w:ilvl w:val="0"/>
          <w:numId w:val="95"/>
        </w:numPr>
        <w:tabs>
          <w:tab w:val="left" w:pos="834"/>
          <w:tab w:val="left" w:pos="835"/>
        </w:tabs>
        <w:spacing w:before="1"/>
      </w:pPr>
      <w:r>
        <w:t xml:space="preserve">limite </w:t>
      </w:r>
      <w:r>
        <w:t xml:space="preserve">130 </w:t>
      </w:r>
      <w:r>
        <w:t xml:space="preserve">à la </w:t>
      </w:r>
      <w:r>
        <w:t xml:space="preserve">langue </w:t>
      </w:r>
      <w:r>
        <w:t xml:space="preserve">anglaise </w:t>
      </w:r>
      <w:r>
        <w:t xml:space="preserve">(8)</w:t>
      </w:r>
    </w:p>
    <w:p>
      <w:pPr>
        <w:pStyle w:val="Paragraphedeliste"/>
        <w:numPr>
          <w:ilvl w:val="0"/>
          <w:numId w:val="95"/>
        </w:numPr>
        <w:tabs>
          <w:tab w:val="left" w:pos="834"/>
          <w:tab w:val="left" w:pos="835"/>
        </w:tabs>
      </w:pPr>
      <w:r>
        <w:t xml:space="preserve">limiter </w:t>
      </w:r>
      <w:r>
        <w:t xml:space="preserve">131 </w:t>
      </w:r>
      <w:r>
        <w:t xml:space="preserve">à </w:t>
      </w:r>
      <w:r>
        <w:t xml:space="preserve">yr="2000 </w:t>
      </w:r>
      <w:r>
        <w:t xml:space="preserve">-Current" </w:t>
      </w:r>
      <w:r>
        <w:t xml:space="preserve">(8)</w:t>
      </w:r>
    </w:p>
    <w:p w:rsidR="00432386" w:rsidRDefault="00432386">
      <w:pPr>
        <w:pStyle w:val="Corpsdetexte"/>
        <w:spacing w:before="8"/>
        <w:ind w:start="0"/>
        <w:rPr>
          <w:sz w:val="28"/>
        </w:rPr>
      </w:pPr>
    </w:p>
    <w:p>
      <w:pPr>
        <w:pStyle w:val="Titre2"/>
        <w:spacing w:before="1"/>
      </w:pPr>
      <w:r>
        <w:t xml:space="preserve">Base de données : </w:t>
      </w:r>
      <w:r>
        <w:t xml:space="preserve">Medline </w:t>
      </w:r>
      <w:r>
        <w:t xml:space="preserve">mise à jour </w:t>
      </w:r>
      <w:r>
        <w:t xml:space="preserve">quotidienne</w:t>
      </w:r>
    </w:p>
    <w:p>
      <w:pPr>
        <w:pStyle w:val="Corpsdetexte"/>
      </w:pPr>
      <w:r>
        <w:t xml:space="preserve">Plate-forme : </w:t>
      </w:r>
      <w:r>
        <w:t xml:space="preserve">Ovid</w:t>
      </w:r>
    </w:p>
    <w:p w:rsidR="00432386" w:rsidRDefault="00432386">
      <w:pPr>
        <w:sectPr w:rsidR="00432386">
          <w:pgSz w:w="11910" w:h="16840"/>
          <w:pgMar w:top="1180" w:right="980" w:bottom="1460" w:left="1280" w:header="0" w:footer="1183" w:gutter="0"/>
          <w:cols w:space="720"/>
        </w:sectPr>
      </w:pPr>
    </w:p>
    <w:p>
      <w:pPr>
        <w:pStyle w:val="Corpsdetexte"/>
        <w:spacing w:before="78" w:line="276" w:lineRule="auto"/>
        <w:ind w:end="3857"/>
      </w:pPr>
      <w:r>
        <w:lastRenderedPageBreak/>
        <w:t xml:space="preserve">Version : Ovid MEDLINE(R) Daily Update &lt;21 juillet 2020&gt; </w:t>
      </w:r>
      <w:r>
        <w:t xml:space="preserve">Date de </w:t>
      </w:r>
      <w:r>
        <w:rPr>
          <w:spacing w:val="-59"/>
        </w:rPr>
        <w:t xml:space="preserve">recherche </w:t>
      </w:r>
      <w:r>
        <w:t xml:space="preserve">: </w:t>
      </w:r>
      <w:r>
        <w:t xml:space="preserve">23/7/2020</w:t>
      </w:r>
    </w:p>
    <w:p>
      <w:pPr>
        <w:pStyle w:val="Corpsdetexte"/>
        <w:spacing w:before="0" w:line="276" w:lineRule="auto"/>
        <w:ind w:end="6572"/>
      </w:pPr>
      <w:r>
        <w:t xml:space="preserve">Nombre de résultats trouvés : 1 </w:t>
      </w:r>
      <w:r>
        <w:t xml:space="preserve">Stratégie de </w:t>
      </w:r>
      <w:r>
        <w:t xml:space="preserve">recherche</w:t>
      </w:r>
    </w:p>
    <w:p w:rsidR="00432386" w:rsidRDefault="00432386">
      <w:pPr>
        <w:pStyle w:val="Corpsdetexte"/>
        <w:spacing w:before="4"/>
        <w:ind w:start="0"/>
        <w:rPr>
          <w:sz w:val="25"/>
        </w:rPr>
      </w:pPr>
    </w:p>
    <w:p>
      <w:pPr>
        <w:pStyle w:val="Paragraphedeliste"/>
        <w:numPr>
          <w:ilvl w:val="0"/>
          <w:numId w:val="94"/>
        </w:numPr>
        <w:tabs>
          <w:tab w:val="left" w:pos="589"/>
          <w:tab w:val="left" w:pos="590"/>
        </w:tabs>
        <w:spacing w:before="0"/>
      </w:pPr>
      <w:r>
        <w:t xml:space="preserve">Dysphorie de genre/ </w:t>
      </w:r>
      <w:r>
        <w:t xml:space="preserve">(4)</w:t>
      </w:r>
    </w:p>
    <w:p>
      <w:pPr>
        <w:pStyle w:val="Paragraphedeliste"/>
        <w:numPr>
          <w:ilvl w:val="0"/>
          <w:numId w:val="94"/>
        </w:numPr>
        <w:tabs>
          <w:tab w:val="left" w:pos="589"/>
          <w:tab w:val="left" w:pos="590"/>
        </w:tabs>
      </w:pPr>
      <w:r>
        <w:t xml:space="preserve">Identité de genre/ </w:t>
      </w:r>
      <w:r>
        <w:t xml:space="preserve">(38)</w:t>
      </w:r>
    </w:p>
    <w:p>
      <w:pPr>
        <w:pStyle w:val="Paragraphedeliste"/>
        <w:numPr>
          <w:ilvl w:val="0"/>
          <w:numId w:val="94"/>
        </w:numPr>
        <w:tabs>
          <w:tab w:val="left" w:pos="589"/>
          <w:tab w:val="left" w:pos="590"/>
        </w:tabs>
        <w:spacing w:before="38"/>
      </w:pPr>
      <w:r>
        <w:t xml:space="preserve">"</w:t>
      </w:r>
      <w:r>
        <w:t xml:space="preserve">Troubles </w:t>
      </w:r>
      <w:r>
        <w:t xml:space="preserve">sexuels </w:t>
      </w:r>
      <w:r>
        <w:t xml:space="preserve">et de </w:t>
      </w:r>
      <w:r>
        <w:t xml:space="preserve">genre</w:t>
      </w:r>
      <w:r>
        <w:t xml:space="preserve">"/ </w:t>
      </w:r>
      <w:r>
        <w:t xml:space="preserve">(0)</w:t>
      </w:r>
    </w:p>
    <w:p>
      <w:pPr>
        <w:pStyle w:val="Paragraphedeliste"/>
        <w:numPr>
          <w:ilvl w:val="0"/>
          <w:numId w:val="94"/>
        </w:numPr>
        <w:tabs>
          <w:tab w:val="left" w:pos="589"/>
          <w:tab w:val="left" w:pos="590"/>
        </w:tabs>
      </w:pPr>
      <w:r>
        <w:t xml:space="preserve">Transsexualisme/ </w:t>
      </w:r>
      <w:r>
        <w:t xml:space="preserve">(2)</w:t>
      </w:r>
    </w:p>
    <w:p>
      <w:pPr>
        <w:pStyle w:val="Paragraphedeliste"/>
        <w:numPr>
          <w:ilvl w:val="0"/>
          <w:numId w:val="94"/>
        </w:numPr>
        <w:tabs>
          <w:tab w:val="left" w:pos="589"/>
          <w:tab w:val="left" w:pos="590"/>
        </w:tabs>
        <w:spacing w:before="40"/>
      </w:pPr>
      <w:r>
        <w:t xml:space="preserve">Personnes transgenres/ </w:t>
      </w:r>
      <w:r>
        <w:t xml:space="preserve">(26)</w:t>
      </w:r>
    </w:p>
    <w:p>
      <w:pPr>
        <w:pStyle w:val="Paragraphedeliste"/>
        <w:numPr>
          <w:ilvl w:val="0"/>
          <w:numId w:val="94"/>
        </w:numPr>
        <w:tabs>
          <w:tab w:val="left" w:pos="589"/>
          <w:tab w:val="left" w:pos="590"/>
        </w:tabs>
      </w:pPr>
      <w:r>
        <w:t xml:space="preserve">Services de </w:t>
      </w:r>
      <w:r>
        <w:t xml:space="preserve">santé </w:t>
      </w:r>
      <w:r>
        <w:t xml:space="preserve">pour les </w:t>
      </w:r>
      <w:r>
        <w:t xml:space="preserve">personnes transgenres/ </w:t>
      </w:r>
      <w:r>
        <w:t xml:space="preserve">(1)</w:t>
      </w:r>
    </w:p>
    <w:p>
      <w:pPr>
        <w:pStyle w:val="Paragraphedeliste"/>
        <w:numPr>
          <w:ilvl w:val="0"/>
          <w:numId w:val="94"/>
        </w:numPr>
        <w:tabs>
          <w:tab w:val="left" w:pos="589"/>
          <w:tab w:val="left" w:pos="590"/>
        </w:tabs>
        <w:spacing w:before="38"/>
      </w:pPr>
      <w:r>
        <w:t xml:space="preserve">exp </w:t>
      </w:r>
      <w:r>
        <w:t xml:space="preserve">Procédures de </w:t>
      </w:r>
      <w:r>
        <w:t xml:space="preserve">changement de </w:t>
      </w:r>
      <w:r>
        <w:t xml:space="preserve">sexe/ </w:t>
      </w:r>
      <w:r>
        <w:t xml:space="preserve">(3)</w:t>
      </w:r>
    </w:p>
    <w:p>
      <w:pPr>
        <w:pStyle w:val="Paragraphedeliste"/>
        <w:numPr>
          <w:ilvl w:val="0"/>
          <w:numId w:val="94"/>
        </w:numPr>
        <w:tabs>
          <w:tab w:val="left" w:pos="685"/>
          <w:tab w:val="left" w:pos="686"/>
        </w:tabs>
        <w:spacing w:line="278" w:lineRule="auto"/>
        <w:ind w:start="160" w:end="465" w:firstLine="0"/>
      </w:pPr>
      <w:r>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queer*)).tw. </w:t>
      </w:r>
      <w:r>
        <w:t xml:space="preserve">(24)</w:t>
      </w:r>
    </w:p>
    <w:p>
      <w:pPr>
        <w:pStyle w:val="Paragraphedeliste"/>
        <w:numPr>
          <w:ilvl w:val="0"/>
          <w:numId w:val="94"/>
        </w:numPr>
        <w:tabs>
          <w:tab w:val="left" w:pos="580"/>
          <w:tab w:val="left" w:pos="581"/>
        </w:tabs>
        <w:spacing w:before="0" w:line="276" w:lineRule="auto"/>
        <w:ind w:start="160" w:end="459"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(39)</w:t>
      </w:r>
    </w:p>
    <w:p>
      <w:pPr>
        <w:pStyle w:val="Paragraphedeliste"/>
        <w:numPr>
          <w:ilvl w:val="0"/>
          <w:numId w:val="94"/>
        </w:numPr>
        <w:tabs>
          <w:tab w:val="left" w:pos="723"/>
          <w:tab w:val="left" w:pos="724"/>
        </w:tabs>
        <w:spacing w:before="0" w:line="276" w:lineRule="auto"/>
        <w:ind w:start="160" w:end="456" w:firstLine="0"/>
      </w:pPr>
      <w:r>
        <w:t xml:space="preserve">(trans ou crossgender* ou cross-gender* ou crossex* ou cross-sex* ou genderqueer*).tw. </w:t>
      </w:r>
      <w:r>
        <w:t xml:space="preserve">(87)</w:t>
      </w:r>
    </w:p>
    <w:p>
      <w:pPr>
        <w:pStyle w:val="Paragraphedeliste"/>
        <w:numPr>
          <w:ilvl w:val="0"/>
          <w:numId w:val="94"/>
        </w:numPr>
        <w:tabs>
          <w:tab w:val="left" w:pos="712"/>
          <w:tab w:val="left" w:pos="713"/>
        </w:tabs>
        <w:spacing w:before="0"/>
        <w:ind w:start="712" w:hanging="553"/>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transition*)).tw. </w:t>
      </w:r>
      <w:r>
        <w:t xml:space="preserve">(15)</w:t>
      </w:r>
    </w:p>
    <w:p>
      <w:pPr>
        <w:pStyle w:val="Paragraphedeliste"/>
        <w:numPr>
          <w:ilvl w:val="0"/>
          <w:numId w:val="94"/>
        </w:numPr>
        <w:tabs>
          <w:tab w:val="left" w:pos="712"/>
          <w:tab w:val="left" w:pos="713"/>
        </w:tabs>
        <w:spacing w:before="35" w:line="276" w:lineRule="auto"/>
        <w:ind w:start="160" w:end="3245" w:firstLine="0"/>
      </w:pPr>
      <w:r>
        <w:t xml:space="preserve">(homme-à-femme ou m2f ou femme-à-mâle ou f2m).tw. (181) </w:t>
      </w:r>
      <w:r>
        <w:t xml:space="preserve">13ou/1-12 </w:t>
      </w:r>
      <w:r>
        <w:t xml:space="preserve">(358)</w:t>
      </w:r>
    </w:p>
    <w:p>
      <w:pPr>
        <w:pStyle w:val="Paragraphedeliste"/>
        <w:numPr>
          <w:ilvl w:val="0"/>
          <w:numId w:val="93"/>
        </w:numPr>
        <w:tabs>
          <w:tab w:val="left" w:pos="712"/>
          <w:tab w:val="left" w:pos="713"/>
        </w:tabs>
        <w:spacing w:before="0" w:line="252" w:lineRule="exact"/>
        <w:ind w:hanging="553"/>
      </w:pPr>
      <w:r>
        <w:t xml:space="preserve">exp </w:t>
      </w:r>
      <w:r>
        <w:t xml:space="preserve">Infant/ </w:t>
      </w:r>
      <w:r>
        <w:t xml:space="preserve">ou </w:t>
      </w:r>
      <w:r>
        <w:t xml:space="preserve">Santé infantile/ </w:t>
      </w:r>
      <w:r>
        <w:t xml:space="preserve">ou </w:t>
      </w:r>
      <w:r>
        <w:t xml:space="preserve">Bien-être infantile/ </w:t>
      </w:r>
      <w:r>
        <w:t xml:space="preserve">(932)</w:t>
      </w:r>
    </w:p>
    <w:p>
      <w:pPr>
        <w:pStyle w:val="Paragraphedeliste"/>
        <w:numPr>
          <w:ilvl w:val="0"/>
          <w:numId w:val="93"/>
        </w:numPr>
        <w:tabs>
          <w:tab w:val="left" w:pos="705"/>
          <w:tab w:val="left" w:pos="706"/>
        </w:tabs>
        <w:spacing w:before="40" w:line="276" w:lineRule="auto"/>
        <w:ind w:start="160"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tout-petits*).ti,ab,in,jn. </w:t>
      </w:r>
      <w:r>
        <w:t xml:space="preserve">(981)</w:t>
      </w:r>
    </w:p>
    <w:p>
      <w:pPr>
        <w:pStyle w:val="Paragraphedeliste"/>
        <w:numPr>
          <w:ilvl w:val="0"/>
          <w:numId w:val="93"/>
        </w:numPr>
        <w:tabs>
          <w:tab w:val="left" w:pos="712"/>
          <w:tab w:val="left" w:pos="713"/>
        </w:tabs>
        <w:spacing w:before="0" w:line="252" w:lineRule="exact"/>
        <w:ind w:hanging="553"/>
      </w:pPr>
      <w:r>
        <w:t xml:space="preserve">exp </w:t>
      </w:r>
      <w:r>
        <w:t xml:space="preserve">Enfant/ </w:t>
      </w:r>
      <w:r>
        <w:t xml:space="preserve">ou </w:t>
      </w:r>
      <w:r>
        <w:t xml:space="preserve">exp </w:t>
      </w:r>
      <w:r>
        <w:t xml:space="preserve">Comportement de l'enfant/ </w:t>
      </w:r>
      <w:r>
        <w:t xml:space="preserve">ou </w:t>
      </w:r>
      <w:r>
        <w:t xml:space="preserve">Santé de l'enfant/ </w:t>
      </w:r>
      <w:r>
        <w:t xml:space="preserve">ou </w:t>
      </w:r>
      <w:r>
        <w:t xml:space="preserve">Protection de l'enfant/ </w:t>
      </w:r>
      <w:r>
        <w:t xml:space="preserve">(1756)</w:t>
      </w:r>
    </w:p>
    <w:p>
      <w:pPr>
        <w:pStyle w:val="Paragraphedeliste"/>
        <w:numPr>
          <w:ilvl w:val="0"/>
          <w:numId w:val="93"/>
        </w:numPr>
        <w:tabs>
          <w:tab w:val="left" w:pos="712"/>
          <w:tab w:val="left" w:pos="713"/>
        </w:tabs>
        <w:ind w:hanging="553"/>
      </w:pPr>
      <w:r>
        <w:t xml:space="preserve">Mineurs/ </w:t>
      </w:r>
      <w:r>
        <w:t xml:space="preserve">(3)</w:t>
      </w:r>
    </w:p>
    <w:p>
      <w:pPr>
        <w:pStyle w:val="Paragraphedeliste"/>
        <w:numPr>
          <w:ilvl w:val="0"/>
          <w:numId w:val="93"/>
        </w:numPr>
        <w:tabs>
          <w:tab w:val="left" w:pos="712"/>
          <w:tab w:val="left" w:pos="713"/>
        </w:tabs>
        <w:ind w:hanging="553"/>
      </w:pPr>
      <w:r>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jeunes*).ti,ab,in,jn. </w:t>
      </w:r>
      <w:r>
        <w:t xml:space="preserve">(3672)</w:t>
      </w:r>
    </w:p>
    <w:p>
      <w:pPr>
        <w:pStyle w:val="Paragraphedeliste"/>
        <w:numPr>
          <w:ilvl w:val="0"/>
          <w:numId w:val="93"/>
        </w:numPr>
        <w:tabs>
          <w:tab w:val="left" w:pos="712"/>
          <w:tab w:val="left" w:pos="713"/>
        </w:tabs>
        <w:spacing w:before="40"/>
        <w:ind w:hanging="553"/>
      </w:pPr>
      <w:r>
        <w:t xml:space="preserve">exp </w:t>
      </w:r>
      <w:r>
        <w:t xml:space="preserve">pédiatrie/ </w:t>
      </w:r>
      <w:r>
        <w:t xml:space="preserve">(75)</w:t>
      </w:r>
    </w:p>
    <w:p>
      <w:pPr>
        <w:pStyle w:val="Paragraphedeliste"/>
        <w:numPr>
          <w:ilvl w:val="0"/>
          <w:numId w:val="93"/>
        </w:numPr>
        <w:tabs>
          <w:tab w:val="left" w:pos="712"/>
          <w:tab w:val="left" w:pos="713"/>
        </w:tabs>
        <w:spacing w:before="38"/>
        <w:ind w:hanging="553"/>
      </w:pPr>
      <w:r>
        <w:t xml:space="preserve">(pédiatrique* </w:t>
      </w:r>
      <w:r>
        <w:t xml:space="preserve">ou </w:t>
      </w:r>
      <w:r>
        <w:t xml:space="preserve">pédiatrique* </w:t>
      </w:r>
      <w:r>
        <w:t xml:space="preserve">ou </w:t>
      </w:r>
      <w:r>
        <w:t xml:space="preserve">peadiatrique*).ti,ab,in,jn. </w:t>
      </w:r>
      <w:r>
        <w:t xml:space="preserve">(1658)</w:t>
      </w:r>
    </w:p>
    <w:p>
      <w:pPr>
        <w:pStyle w:val="Paragraphedeliste"/>
        <w:numPr>
          <w:ilvl w:val="0"/>
          <w:numId w:val="93"/>
        </w:numPr>
        <w:tabs>
          <w:tab w:val="left" w:pos="712"/>
          <w:tab w:val="left" w:pos="713"/>
        </w:tabs>
        <w:ind w:hanging="553"/>
      </w:pPr>
      <w:r>
        <w:t xml:space="preserve">Adolescent/ </w:t>
      </w:r>
      <w:r>
        <w:t xml:space="preserve">ou </w:t>
      </w:r>
      <w:r>
        <w:t xml:space="preserve">Comportement de l'adolescent/ </w:t>
      </w:r>
      <w:r>
        <w:t xml:space="preserve">ou </w:t>
      </w:r>
      <w:r>
        <w:t xml:space="preserve">Santé de l'adolescent/ </w:t>
      </w:r>
      <w:r>
        <w:t xml:space="preserve">(2006)</w:t>
      </w:r>
    </w:p>
    <w:p>
      <w:pPr>
        <w:pStyle w:val="Paragraphedeliste"/>
        <w:numPr>
          <w:ilvl w:val="0"/>
          <w:numId w:val="93"/>
        </w:numPr>
        <w:tabs>
          <w:tab w:val="left" w:pos="712"/>
          <w:tab w:val="left" w:pos="713"/>
        </w:tabs>
        <w:spacing w:before="38"/>
        <w:ind w:hanging="553"/>
      </w:pPr>
      <w:r>
        <w:t xml:space="preserve">Puberté/ </w:t>
      </w:r>
      <w:r>
        <w:t xml:space="preserve">(8)</w:t>
      </w:r>
    </w:p>
    <w:p>
      <w:pPr>
        <w:pStyle w:val="Paragraphedeliste"/>
        <w:numPr>
          <w:ilvl w:val="0"/>
          <w:numId w:val="93"/>
        </w:numPr>
        <w:tabs>
          <w:tab w:val="left" w:pos="765"/>
        </w:tabs>
        <w:spacing w:line="276" w:lineRule="auto"/>
        <w:ind w:start="160" w:end="456" w:firstLine="0"/>
        <w:jc w:val="both"/>
      </w:pPr>
      <w:r>
        <w:t xml:space="preserve">(adolescen* ou pubescen* ou prépubescen* </w:t>
      </w:r>
      <w:r>
        <w:t xml:space="preserve">ou pré-pubescen* ou pubert* ou prépubert* </w:t>
      </w:r>
      <w:r>
        <w:t xml:space="preserve">ou pré-pubert* ou teen* ou preteen* ou pre-teen* ou juvenil* ou youth* ou under*age*).ti,ab,in,jn. </w:t>
      </w:r>
      <w:r>
        <w:t xml:space="preserve">(732)</w:t>
      </w:r>
    </w:p>
    <w:p>
      <w:pPr>
        <w:pStyle w:val="Paragraphedeliste"/>
        <w:numPr>
          <w:ilvl w:val="0"/>
          <w:numId w:val="93"/>
        </w:numPr>
        <w:tabs>
          <w:tab w:val="left" w:pos="713"/>
        </w:tabs>
        <w:spacing w:before="1"/>
        <w:ind w:hanging="553"/>
        <w:jc w:val="both"/>
      </w:pPr>
      <w:r>
        <w:t xml:space="preserve">Écoles/ </w:t>
      </w:r>
      <w:r>
        <w:t xml:space="preserve">(56)</w:t>
      </w:r>
    </w:p>
    <w:p>
      <w:pPr>
        <w:pStyle w:val="Paragraphedeliste"/>
        <w:numPr>
          <w:ilvl w:val="0"/>
          <w:numId w:val="93"/>
        </w:numPr>
        <w:tabs>
          <w:tab w:val="left" w:pos="713"/>
        </w:tabs>
        <w:spacing w:before="38"/>
        <w:ind w:hanging="553"/>
        <w:jc w:val="both"/>
      </w:pPr>
      <w:r>
        <w:t xml:space="preserve">Centres d'accueil de </w:t>
      </w:r>
      <w:r>
        <w:t xml:space="preserve">jour </w:t>
      </w:r>
      <w:r>
        <w:t xml:space="preserve">pour </w:t>
      </w:r>
      <w:r>
        <w:t xml:space="preserve">enfants/ </w:t>
      </w:r>
      <w:r>
        <w:t xml:space="preserve">ou </w:t>
      </w:r>
      <w:r>
        <w:t xml:space="preserve">crèches/ </w:t>
      </w:r>
      <w:r>
        <w:t xml:space="preserve">ou </w:t>
      </w:r>
      <w:r>
        <w:t xml:space="preserve">écoles </w:t>
      </w:r>
      <w:r>
        <w:t xml:space="preserve">maternelles/ </w:t>
      </w:r>
      <w:r>
        <w:t xml:space="preserve">(5)</w:t>
      </w:r>
    </w:p>
    <w:p>
      <w:pPr>
        <w:pStyle w:val="Paragraphedeliste"/>
        <w:numPr>
          <w:ilvl w:val="0"/>
          <w:numId w:val="93"/>
        </w:numPr>
        <w:tabs>
          <w:tab w:val="left" w:pos="715"/>
        </w:tabs>
        <w:spacing w:before="39" w:line="276" w:lineRule="auto"/>
        <w:ind w:start="160" w:end="453" w:firstLine="0"/>
        <w:jc w:val="both"/>
      </w:pPr>
      <w:r>
        <w:t xml:space="preserve">(école maternelle* ou préscolaire* ou jardin d'enfants* ou garderie ou crèche* ou école* ou </w:t>
      </w:r>
      <w:r>
        <w:t xml:space="preserve">élève* ou </w:t>
      </w:r>
      <w:r>
        <w:t xml:space="preserve">étudiant*).ti,ab,jn. </w:t>
      </w:r>
      <w:r>
        <w:t xml:space="preserve">(622)</w:t>
      </w:r>
    </w:p>
    <w:p>
      <w:pPr>
        <w:pStyle w:val="Paragraphedeliste"/>
        <w:numPr>
          <w:ilvl w:val="0"/>
          <w:numId w:val="93"/>
        </w:numPr>
        <w:tabs>
          <w:tab w:val="left" w:pos="708"/>
        </w:tabs>
        <w:spacing w:before="0" w:line="276" w:lineRule="auto"/>
        <w:ind w:start="160" w:end="458" w:firstLine="0"/>
        <w:jc w:val="both"/>
      </w:pP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"dix-sept" ou "dix-huit</w:t>
      </w:r>
      <w:r>
        <w:t xml:space="preserve">" ou "dix-neuf") adj2 (année ou années ou âge ou âges ou </w:t>
      </w:r>
      <w:r>
        <w:t xml:space="preserve">âgés)).ti,ab. </w:t>
      </w:r>
      <w:r>
        <w:t xml:space="preserve">(98)</w:t>
      </w:r>
    </w:p>
    <w:p>
      <w:pPr>
        <w:pStyle w:val="Corpsdetexte"/>
        <w:tabs>
          <w:tab w:val="left" w:pos="747"/>
        </w:tabs>
        <w:spacing w:before="1" w:line="276" w:lineRule="auto"/>
        <w:ind w:end="469"/>
      </w:pPr>
      <w:r>
        <w:t xml:space="preserve">28</w:t>
      </w:r>
      <w:r>
        <w:tab/>
        <w:t xml:space="preserve">(("8" </w:t>
      </w:r>
      <w:r>
        <w:t xml:space="preserve">ou </w:t>
      </w:r>
      <w:r>
        <w:t xml:space="preserve">"9" </w:t>
      </w:r>
      <w:r>
        <w:t xml:space="preserve">ou </w:t>
      </w:r>
      <w:r>
        <w:t xml:space="preserve">"10" </w:t>
      </w:r>
      <w:r>
        <w:t xml:space="preserve">ou </w:t>
      </w:r>
      <w:r>
        <w:t xml:space="preserve">"11" </w:t>
      </w:r>
      <w:r>
        <w:t xml:space="preserve">ou </w:t>
      </w:r>
      <w:r>
        <w:t xml:space="preserve">"12" </w:t>
      </w:r>
      <w:r>
        <w:t xml:space="preserve">ou </w:t>
      </w:r>
      <w:r>
        <w:t xml:space="preserve">"13" </w:t>
      </w:r>
      <w:r>
        <w:t xml:space="preserve">ou </w:t>
      </w:r>
      <w:r>
        <w:t xml:space="preserve">"14" </w:t>
      </w:r>
      <w:r>
        <w:t xml:space="preserve">ou </w:t>
      </w:r>
      <w:r>
        <w:t xml:space="preserve">"15" </w:t>
      </w:r>
      <w:r>
        <w:t xml:space="preserve">ou </w:t>
      </w:r>
      <w:r>
        <w:t xml:space="preserve">"16" </w:t>
      </w:r>
      <w:r>
        <w:t xml:space="preserve">ou </w:t>
      </w:r>
      <w:r>
        <w:t xml:space="preserve">"17" </w:t>
      </w:r>
      <w:r>
        <w:t xml:space="preserve">ou </w:t>
      </w:r>
      <w:r>
        <w:t xml:space="preserve">"18" </w:t>
      </w:r>
      <w:r>
        <w:t xml:space="preserve">ou </w:t>
      </w:r>
      <w:r>
        <w:t xml:space="preserve">"19") </w:t>
      </w:r>
      <w:r>
        <w:t xml:space="preserve">adj2 </w:t>
      </w:r>
      <w:r>
        <w:t xml:space="preserve">(année </w:t>
      </w:r>
      <w:r>
        <w:t xml:space="preserve">ou </w:t>
      </w:r>
      <w:r>
        <w:t xml:space="preserve">années </w:t>
      </w:r>
      <w:r>
        <w:t xml:space="preserve">ou </w:t>
      </w:r>
      <w:r>
        <w:t xml:space="preserve">âge </w:t>
      </w:r>
      <w:r>
        <w:t xml:space="preserve">ou </w:t>
      </w:r>
      <w:r>
        <w:t xml:space="preserve">âges </w:t>
      </w:r>
      <w:r>
        <w:t xml:space="preserve">ou </w:t>
      </w:r>
      <w:r>
        <w:t xml:space="preserve">âgés)).ti,ab. </w:t>
      </w:r>
      <w:r>
        <w:t xml:space="preserve">(1301)</w:t>
      </w:r>
    </w:p>
    <w:p>
      <w:pPr>
        <w:pStyle w:val="Corpsdetexte"/>
        <w:tabs>
          <w:tab w:val="left" w:pos="712"/>
        </w:tabs>
        <w:spacing w:before="0" w:line="252" w:lineRule="exact"/>
      </w:pPr>
      <w:r>
        <w:t xml:space="preserve">29or/14-28 </w:t>
      </w:r>
      <w:r>
        <w:t xml:space="preserve">(6705)</w:t>
      </w:r>
    </w:p>
    <w:p>
      <w:pPr>
        <w:pStyle w:val="Corpsdetexte"/>
        <w:tabs>
          <w:tab w:val="left" w:pos="712"/>
        </w:tabs>
      </w:pPr>
      <w:r>
        <w:t xml:space="preserve">30</w:t>
      </w:r>
      <w:r>
        <w:tab/>
      </w:r>
      <w:r>
        <w:t xml:space="preserve">13 </w:t>
      </w:r>
      <w:r>
        <w:t xml:space="preserve">et </w:t>
      </w:r>
      <w:r>
        <w:t xml:space="preserve">29 </w:t>
      </w:r>
      <w:r>
        <w:t xml:space="preserve">(130)</w:t>
      </w:r>
    </w:p>
    <w:p>
      <w:pPr>
        <w:pStyle w:val="Corpsdetexte"/>
        <w:tabs>
          <w:tab w:val="left" w:pos="681"/>
          <w:tab w:val="left" w:pos="712"/>
        </w:tabs>
        <w:spacing w:before="40" w:line="276" w:lineRule="auto"/>
        <w:ind w:end="456"/>
      </w:pPr>
      <w:r>
        <w:t xml:space="preserve">31</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(0) </w:t>
      </w:r>
      <w:r>
        <w:t xml:space="preserve">32</w:t>
      </w:r>
      <w:r>
        <w:tab/>
      </w:r>
      <w:r>
        <w:tab/>
        <w:t xml:space="preserve">30 </w:t>
      </w:r>
      <w:r>
        <w:t xml:space="preserve">ou </w:t>
      </w:r>
      <w:r>
        <w:t xml:space="preserve">31 </w:t>
      </w:r>
      <w:r>
        <w:t xml:space="preserve">(130)</w:t>
      </w:r>
    </w:p>
    <w:p>
      <w:pPr>
        <w:pStyle w:val="Paragraphedeliste"/>
        <w:numPr>
          <w:ilvl w:val="0"/>
          <w:numId w:val="92"/>
        </w:numPr>
        <w:tabs>
          <w:tab w:val="left" w:pos="712"/>
          <w:tab w:val="left" w:pos="713"/>
        </w:tabs>
        <w:spacing w:before="0" w:line="252" w:lineRule="exact"/>
        <w:ind w:hanging="553"/>
      </w:pPr>
      <w:r>
        <w:t xml:space="preserve">Hormone de </w:t>
      </w:r>
      <w:r>
        <w:t xml:space="preserve">libération des </w:t>
      </w:r>
      <w:r>
        <w:t xml:space="preserve">gonadotrophines/ </w:t>
      </w:r>
      <w:r>
        <w:t xml:space="preserve">(11)</w:t>
      </w:r>
    </w:p>
    <w:p w:rsidR="00432386" w:rsidRDefault="00432386">
      <w:pPr>
        <w:spacing w:line="252" w:lineRule="exact"/>
        <w:sectPr w:rsidR="00432386">
          <w:pgSz w:w="11910" w:h="16840"/>
          <w:pgMar w:top="1180" w:right="980" w:bottom="1460" w:left="1280" w:header="0" w:footer="1183" w:gutter="0"/>
          <w:cols w:space="720"/>
        </w:sectPr>
      </w:pPr>
    </w:p>
    <w:p>
      <w:pPr>
        <w:pStyle w:val="Paragraphedeliste"/>
        <w:numPr>
          <w:ilvl w:val="0"/>
          <w:numId w:val="92"/>
        </w:numPr>
        <w:tabs>
          <w:tab w:val="left" w:pos="712"/>
          <w:tab w:val="left" w:pos="713"/>
        </w:tabs>
        <w:spacing w:before="78"/>
        <w:ind w:hanging="553"/>
      </w:pPr>
      <w:r>
        <w:lastRenderedPageBreak/>
        <w:t xml:space="preserve">(pubert* </w:t>
      </w:r>
      <w:r>
        <w:t xml:space="preserve">adj3 </w:t>
      </w:r>
      <w:r>
        <w:t xml:space="preserve">bloc*).ti,ab. </w:t>
      </w:r>
      <w:r>
        <w:t xml:space="preserve">(0)</w:t>
      </w:r>
    </w:p>
    <w:p>
      <w:pPr>
        <w:pStyle w:val="Paragraphedeliste"/>
        <w:numPr>
          <w:ilvl w:val="0"/>
          <w:numId w:val="92"/>
        </w:numPr>
        <w:tabs>
          <w:tab w:val="left" w:pos="712"/>
          <w:tab w:val="left" w:pos="713"/>
        </w:tabs>
        <w:spacing w:before="38"/>
        <w:ind w:hanging="553"/>
      </w:pPr>
      <w:r>
        <w:t xml:space="preserve">((gonadotrophine </w:t>
      </w:r>
      <w:r>
        <w:t xml:space="preserve">ou </w:t>
      </w:r>
      <w:r>
        <w:t xml:space="preserve">gonadotrophine) </w:t>
      </w:r>
      <w:r>
        <w:t xml:space="preserve">et </w:t>
      </w:r>
      <w:r>
        <w:t xml:space="preserve">libération).ti,ab. </w:t>
      </w:r>
      <w:r>
        <w:t xml:space="preserve">(10)</w:t>
      </w:r>
    </w:p>
    <w:p>
      <w:pPr>
        <w:pStyle w:val="Paragraphedeliste"/>
        <w:numPr>
          <w:ilvl w:val="0"/>
          <w:numId w:val="92"/>
        </w:numPr>
        <w:tabs>
          <w:tab w:val="left" w:pos="712"/>
          <w:tab w:val="left" w:pos="713"/>
        </w:tabs>
        <w:ind w:hanging="553"/>
      </w:pPr>
      <w:r>
        <w:t xml:space="preserve">(GnRH </w:t>
      </w:r>
      <w:r>
        <w:t xml:space="preserve">adj2 </w:t>
      </w:r>
      <w:r>
        <w:t xml:space="preserve">analogue*).ti,ab. </w:t>
      </w:r>
      <w:r>
        <w:t xml:space="preserve">(2)</w:t>
      </w:r>
    </w:p>
    <w:p>
      <w:pPr>
        <w:pStyle w:val="Paragraphedeliste"/>
        <w:numPr>
          <w:ilvl w:val="0"/>
          <w:numId w:val="92"/>
        </w:numPr>
        <w:tabs>
          <w:tab w:val="left" w:pos="712"/>
          <w:tab w:val="left" w:pos="713"/>
        </w:tabs>
        <w:spacing w:before="38"/>
        <w:ind w:hanging="553"/>
      </w:pPr>
      <w:r>
        <w:t xml:space="preserve">GnRH*.ti,ab. </w:t>
      </w:r>
      <w:r>
        <w:t xml:space="preserve">(14)</w:t>
      </w:r>
    </w:p>
    <w:p>
      <w:pPr>
        <w:pStyle w:val="Paragraphedeliste"/>
        <w:numPr>
          <w:ilvl w:val="0"/>
          <w:numId w:val="92"/>
        </w:numPr>
        <w:tabs>
          <w:tab w:val="left" w:pos="712"/>
          <w:tab w:val="left" w:pos="713"/>
        </w:tabs>
        <w:spacing w:before="40"/>
        <w:ind w:hanging="553"/>
      </w:pPr>
      <w:r>
        <w:t xml:space="preserve">"</w:t>
      </w:r>
      <w:r>
        <w:t xml:space="preserve">agoniste de la GnRH*".ti,ab. </w:t>
      </w:r>
      <w:r>
        <w:t xml:space="preserve">(4)</w:t>
      </w:r>
    </w:p>
    <w:p>
      <w:pPr>
        <w:pStyle w:val="Paragraphedeliste"/>
        <w:numPr>
          <w:ilvl w:val="0"/>
          <w:numId w:val="92"/>
        </w:numPr>
        <w:tabs>
          <w:tab w:val="left" w:pos="712"/>
          <w:tab w:val="left" w:pos="713"/>
        </w:tabs>
        <w:ind w:hanging="553"/>
      </w:pPr>
      <w:r>
        <w:t xml:space="preserve">Pamoate de triptoréline/ </w:t>
      </w:r>
      <w:r>
        <w:t xml:space="preserve">(1)</w:t>
      </w:r>
    </w:p>
    <w:p>
      <w:pPr>
        <w:pStyle w:val="Paragraphedeliste"/>
        <w:numPr>
          <w:ilvl w:val="0"/>
          <w:numId w:val="92"/>
        </w:numPr>
        <w:tabs>
          <w:tab w:val="left" w:pos="712"/>
          <w:tab w:val="left" w:pos="713"/>
        </w:tabs>
        <w:ind w:hanging="553"/>
      </w:pPr>
      <w:r>
        <w:t xml:space="preserve">triptoréline.ti,ab. </w:t>
      </w:r>
      <w:r>
        <w:t xml:space="preserve">(1)</w:t>
      </w:r>
    </w:p>
    <w:p>
      <w:pPr>
        <w:pStyle w:val="Paragraphedeliste"/>
        <w:numPr>
          <w:ilvl w:val="0"/>
          <w:numId w:val="92"/>
        </w:numPr>
        <w:tabs>
          <w:tab w:val="left" w:pos="712"/>
          <w:tab w:val="left" w:pos="713"/>
        </w:tabs>
        <w:spacing w:before="38"/>
        <w:ind w:hanging="553"/>
      </w:pPr>
      <w:r>
        <w:t xml:space="preserve">arvekap.ti,ab. </w:t>
      </w:r>
      <w:r>
        <w:t xml:space="preserve">(0)</w:t>
      </w:r>
    </w:p>
    <w:p>
      <w:pPr>
        <w:pStyle w:val="Corpsdetexte"/>
        <w:tabs>
          <w:tab w:val="left" w:pos="712"/>
        </w:tabs>
      </w:pPr>
      <w:r>
        <w:t xml:space="preserve">42</w:t>
      </w:r>
      <w:r>
        <w:tab/>
        <w:t xml:space="preserve">("AY </w:t>
      </w:r>
      <w:r>
        <w:t xml:space="preserve">25650" </w:t>
      </w:r>
      <w:r>
        <w:t xml:space="preserve">ou </w:t>
      </w:r>
      <w:r>
        <w:t xml:space="preserve">AY25650).ti,ab. </w:t>
      </w:r>
      <w:r>
        <w:t xml:space="preserve">(0)</w:t>
      </w:r>
    </w:p>
    <w:p>
      <w:pPr>
        <w:pStyle w:val="Corpsdetexte"/>
        <w:tabs>
          <w:tab w:val="left" w:pos="712"/>
        </w:tabs>
        <w:spacing w:before="40"/>
      </w:pPr>
      <w:r>
        <w:t xml:space="preserve">43</w:t>
      </w:r>
      <w:r>
        <w:tab/>
        <w:t xml:space="preserve">("BIM </w:t>
      </w:r>
      <w:r>
        <w:t xml:space="preserve">21003" </w:t>
      </w:r>
      <w:r>
        <w:t xml:space="preserve">ou </w:t>
      </w:r>
      <w:r>
        <w:t xml:space="preserve">BIM21003).ti,ab. </w:t>
      </w:r>
      <w:r>
        <w:t xml:space="preserve">(0)</w:t>
      </w:r>
    </w:p>
    <w:p>
      <w:pPr>
        <w:pStyle w:val="Corpsdetexte"/>
        <w:tabs>
          <w:tab w:val="left" w:pos="712"/>
        </w:tabs>
        <w:spacing w:before="38"/>
      </w:pPr>
      <w:r>
        <w:t xml:space="preserve">44</w:t>
      </w:r>
      <w:r>
        <w:tab/>
        <w:t xml:space="preserve">("BN </w:t>
      </w:r>
      <w:r>
        <w:t xml:space="preserve">52014" </w:t>
      </w:r>
      <w:r>
        <w:t xml:space="preserve">ou </w:t>
      </w:r>
      <w:r>
        <w:t xml:space="preserve">BN52014).ti,ab. </w:t>
      </w:r>
      <w:r>
        <w:t xml:space="preserve">(0)</w:t>
      </w:r>
    </w:p>
    <w:p>
      <w:pPr>
        <w:pStyle w:val="Corpsdetexte"/>
        <w:tabs>
          <w:tab w:val="left" w:pos="712"/>
        </w:tabs>
      </w:pPr>
      <w:r>
        <w:t xml:space="preserve">45</w:t>
      </w:r>
      <w:r>
        <w:tab/>
        <w:t xml:space="preserve">("CL </w:t>
      </w:r>
      <w:r>
        <w:t xml:space="preserve">118532" </w:t>
      </w:r>
      <w:r>
        <w:t xml:space="preserve">ou </w:t>
      </w:r>
      <w:r>
        <w:t xml:space="preserve">CL118532).ti,ab. </w:t>
      </w:r>
      <w:r>
        <w:t xml:space="preserve">(0)</w:t>
      </w:r>
    </w:p>
    <w:p>
      <w:pPr>
        <w:pStyle w:val="Paragraphedeliste"/>
        <w:numPr>
          <w:ilvl w:val="0"/>
          <w:numId w:val="91"/>
        </w:numPr>
        <w:tabs>
          <w:tab w:val="left" w:pos="712"/>
          <w:tab w:val="left" w:pos="713"/>
        </w:tabs>
        <w:ind w:hanging="553"/>
      </w:pPr>
      <w:r>
        <w:t xml:space="preserve">Debio.ti,ab. </w:t>
      </w:r>
      <w:r>
        <w:t xml:space="preserve">(1)</w:t>
      </w:r>
    </w:p>
    <w:p>
      <w:pPr>
        <w:pStyle w:val="Paragraphedeliste"/>
        <w:numPr>
          <w:ilvl w:val="0"/>
          <w:numId w:val="91"/>
        </w:numPr>
        <w:tabs>
          <w:tab w:val="left" w:pos="712"/>
          <w:tab w:val="left" w:pos="713"/>
        </w:tabs>
        <w:spacing w:before="40"/>
        <w:ind w:hanging="553"/>
      </w:pPr>
      <w:r>
        <w:t xml:space="preserve">diphereline.ti,ab. </w:t>
      </w:r>
      <w:r>
        <w:t xml:space="preserve">(0)</w:t>
      </w:r>
    </w:p>
    <w:p>
      <w:pPr>
        <w:pStyle w:val="Paragraphedeliste"/>
        <w:numPr>
          <w:ilvl w:val="0"/>
          <w:numId w:val="91"/>
        </w:numPr>
        <w:tabs>
          <w:tab w:val="left" w:pos="712"/>
          <w:tab w:val="left" w:pos="713"/>
        </w:tabs>
        <w:spacing w:before="38"/>
        <w:ind w:hanging="553"/>
      </w:pPr>
      <w:r>
        <w:t xml:space="preserve">moapar.ti,ab. </w:t>
      </w:r>
      <w:r>
        <w:t xml:space="preserve">(0)</w:t>
      </w:r>
    </w:p>
    <w:p>
      <w:pPr>
        <w:pStyle w:val="Paragraphedeliste"/>
        <w:numPr>
          <w:ilvl w:val="0"/>
          <w:numId w:val="91"/>
        </w:numPr>
        <w:tabs>
          <w:tab w:val="left" w:pos="712"/>
          <w:tab w:val="left" w:pos="713"/>
        </w:tabs>
        <w:spacing w:before="38"/>
        <w:ind w:hanging="553"/>
      </w:pPr>
      <w:r>
        <w:t xml:space="preserve">pamorelin.ti,ab. </w:t>
      </w:r>
      <w:r>
        <w:t xml:space="preserve">(0)</w:t>
      </w:r>
    </w:p>
    <w:p>
      <w:pPr>
        <w:pStyle w:val="Paragraphedeliste"/>
        <w:numPr>
          <w:ilvl w:val="0"/>
          <w:numId w:val="91"/>
        </w:numPr>
        <w:tabs>
          <w:tab w:val="left" w:pos="712"/>
          <w:tab w:val="left" w:pos="713"/>
        </w:tabs>
        <w:ind w:hanging="553"/>
      </w:pPr>
      <w:r>
        <w:t xml:space="preserve">trelstar.ti,ab. </w:t>
      </w:r>
      <w:r>
        <w:t xml:space="preserve">(0)</w:t>
      </w:r>
    </w:p>
    <w:p>
      <w:pPr>
        <w:pStyle w:val="Paragraphedeliste"/>
        <w:numPr>
          <w:ilvl w:val="0"/>
          <w:numId w:val="91"/>
        </w:numPr>
        <w:tabs>
          <w:tab w:val="left" w:pos="712"/>
          <w:tab w:val="left" w:pos="713"/>
        </w:tabs>
        <w:spacing w:before="38"/>
        <w:ind w:hanging="553"/>
      </w:pPr>
      <w:r>
        <w:t xml:space="preserve">triptodur.ti,ab. </w:t>
      </w:r>
      <w:r>
        <w:t xml:space="preserve">(0)</w:t>
      </w:r>
    </w:p>
    <w:p>
      <w:pPr>
        <w:pStyle w:val="Corpsdetexte"/>
        <w:tabs>
          <w:tab w:val="left" w:pos="712"/>
        </w:tabs>
        <w:spacing w:before="39"/>
      </w:pPr>
      <w:r>
        <w:t xml:space="preserve">52</w:t>
      </w:r>
      <w:r>
        <w:tab/>
        <w:t xml:space="preserve">("WY </w:t>
      </w:r>
      <w:r>
        <w:t xml:space="preserve">42422" </w:t>
      </w:r>
      <w:r>
        <w:t xml:space="preserve">ou </w:t>
      </w:r>
      <w:r>
        <w:t xml:space="preserve">WY42422).ti,ab. </w:t>
      </w:r>
      <w:r>
        <w:t xml:space="preserve">(0)</w:t>
      </w:r>
    </w:p>
    <w:p>
      <w:pPr>
        <w:pStyle w:val="Corpsdetexte"/>
        <w:tabs>
          <w:tab w:val="left" w:pos="712"/>
        </w:tabs>
        <w:spacing w:before="38"/>
      </w:pPr>
      <w:r>
        <w:t xml:space="preserve">53</w:t>
      </w:r>
      <w:r>
        <w:tab/>
        <w:t xml:space="preserve">("WY </w:t>
      </w:r>
      <w:r>
        <w:t xml:space="preserve">42462" </w:t>
      </w:r>
      <w:r>
        <w:t xml:space="preserve">ou </w:t>
      </w:r>
      <w:r>
        <w:t xml:space="preserve">WY42462).ti,ab. </w:t>
      </w:r>
      <w:r>
        <w:t xml:space="preserve">(0)</w:t>
      </w:r>
    </w:p>
    <w:p>
      <w:pPr>
        <w:pStyle w:val="Paragraphedeliste"/>
        <w:numPr>
          <w:ilvl w:val="0"/>
          <w:numId w:val="90"/>
        </w:numPr>
        <w:tabs>
          <w:tab w:val="left" w:pos="712"/>
          <w:tab w:val="left" w:pos="713"/>
        </w:tabs>
        <w:ind w:hanging="553"/>
      </w:pPr>
      <w:r>
        <w:rPr>
          <w:spacing w:val="-1"/>
        </w:rPr>
        <w:t xml:space="preserve">gonapeptyl.ti,ab.</w:t>
      </w:r>
      <w:r>
        <w:t xml:space="preserve"> (0)</w:t>
      </w:r>
    </w:p>
    <w:p>
      <w:pPr>
        <w:pStyle w:val="Paragraphedeliste"/>
        <w:numPr>
          <w:ilvl w:val="0"/>
          <w:numId w:val="90"/>
        </w:numPr>
        <w:tabs>
          <w:tab w:val="left" w:pos="712"/>
          <w:tab w:val="left" w:pos="713"/>
        </w:tabs>
        <w:spacing w:before="38"/>
        <w:ind w:hanging="553"/>
      </w:pPr>
      <w:r>
        <w:t xml:space="preserve">décapeptyl.ti,ab. </w:t>
      </w:r>
      <w:r>
        <w:t xml:space="preserve">(0)</w:t>
      </w:r>
    </w:p>
    <w:p>
      <w:pPr>
        <w:pStyle w:val="Paragraphedeliste"/>
        <w:numPr>
          <w:ilvl w:val="0"/>
          <w:numId w:val="90"/>
        </w:numPr>
        <w:tabs>
          <w:tab w:val="left" w:pos="712"/>
          <w:tab w:val="left" w:pos="713"/>
        </w:tabs>
        <w:spacing w:before="39"/>
        <w:ind w:hanging="553"/>
      </w:pPr>
      <w:r>
        <w:t xml:space="preserve">salvacyl.ti,ab. </w:t>
      </w:r>
      <w:r>
        <w:t xml:space="preserve">(0)</w:t>
      </w:r>
    </w:p>
    <w:p>
      <w:pPr>
        <w:pStyle w:val="Paragraphedeliste"/>
        <w:numPr>
          <w:ilvl w:val="0"/>
          <w:numId w:val="90"/>
        </w:numPr>
        <w:tabs>
          <w:tab w:val="left" w:pos="712"/>
          <w:tab w:val="left" w:pos="713"/>
        </w:tabs>
        <w:spacing w:before="38"/>
        <w:ind w:hanging="553"/>
      </w:pPr>
      <w:r>
        <w:t xml:space="preserve">Buserelin/ </w:t>
      </w:r>
      <w:r>
        <w:t xml:space="preserve">(0)</w:t>
      </w:r>
    </w:p>
    <w:p>
      <w:pPr>
        <w:pStyle w:val="Paragraphedeliste"/>
        <w:numPr>
          <w:ilvl w:val="0"/>
          <w:numId w:val="90"/>
        </w:numPr>
        <w:tabs>
          <w:tab w:val="left" w:pos="712"/>
          <w:tab w:val="left" w:pos="713"/>
        </w:tabs>
        <w:ind w:hanging="553"/>
      </w:pPr>
      <w:r>
        <w:t xml:space="preserve">buséréline.ti,ab. </w:t>
      </w:r>
      <w:r>
        <w:t xml:space="preserve">(0)</w:t>
      </w:r>
    </w:p>
    <w:p>
      <w:pPr>
        <w:pStyle w:val="Paragraphedeliste"/>
        <w:numPr>
          <w:ilvl w:val="0"/>
          <w:numId w:val="90"/>
        </w:numPr>
        <w:tabs>
          <w:tab w:val="left" w:pos="712"/>
          <w:tab w:val="left" w:pos="713"/>
        </w:tabs>
        <w:spacing w:before="38"/>
        <w:ind w:hanging="553"/>
      </w:pPr>
      <w:r>
        <w:t xml:space="preserve">bigoniste.ti,ab. </w:t>
      </w:r>
      <w:r>
        <w:t xml:space="preserve">(0)</w:t>
      </w:r>
    </w:p>
    <w:p>
      <w:pPr>
        <w:pStyle w:val="Corpsdetexte"/>
        <w:tabs>
          <w:tab w:val="left" w:pos="712"/>
        </w:tabs>
      </w:pPr>
      <w:r>
        <w:t xml:space="preserve">60</w:t>
      </w:r>
      <w:r>
        <w:tab/>
        <w:t xml:space="preserve">("hoe </w:t>
      </w:r>
      <w:r>
        <w:t xml:space="preserve">766" </w:t>
      </w:r>
      <w:r>
        <w:t xml:space="preserve">ou </w:t>
      </w:r>
      <w:r>
        <w:t xml:space="preserve">hoe-766 </w:t>
      </w:r>
      <w:r>
        <w:t xml:space="preserve">ou </w:t>
      </w:r>
      <w:r>
        <w:t xml:space="preserve">hoe766).ti,ab. </w:t>
      </w:r>
      <w:r>
        <w:t xml:space="preserve">(0)</w:t>
      </w:r>
    </w:p>
    <w:p>
      <w:pPr>
        <w:pStyle w:val="Paragraphedeliste"/>
        <w:numPr>
          <w:ilvl w:val="0"/>
          <w:numId w:val="89"/>
        </w:numPr>
        <w:tabs>
          <w:tab w:val="left" w:pos="712"/>
          <w:tab w:val="left" w:pos="713"/>
        </w:tabs>
        <w:spacing w:before="40"/>
        <w:ind w:hanging="553"/>
      </w:pPr>
      <w:r>
        <w:t xml:space="preserve">profact.ti,ab. </w:t>
      </w:r>
      <w:r>
        <w:t xml:space="preserve">(0)</w:t>
      </w:r>
    </w:p>
    <w:p>
      <w:pPr>
        <w:pStyle w:val="Paragraphedeliste"/>
        <w:numPr>
          <w:ilvl w:val="0"/>
          <w:numId w:val="89"/>
        </w:numPr>
        <w:tabs>
          <w:tab w:val="left" w:pos="712"/>
          <w:tab w:val="left" w:pos="713"/>
        </w:tabs>
        <w:spacing w:before="38"/>
        <w:ind w:hanging="553"/>
      </w:pPr>
      <w:r>
        <w:t xml:space="preserve">réceptacle.ti,ab. </w:t>
      </w:r>
      <w:r>
        <w:t xml:space="preserve">(0)</w:t>
      </w:r>
    </w:p>
    <w:p>
      <w:pPr>
        <w:pStyle w:val="Paragraphedeliste"/>
        <w:numPr>
          <w:ilvl w:val="0"/>
          <w:numId w:val="89"/>
        </w:numPr>
        <w:tabs>
          <w:tab w:val="left" w:pos="712"/>
          <w:tab w:val="left" w:pos="713"/>
        </w:tabs>
        <w:ind w:hanging="553"/>
      </w:pPr>
      <w:r>
        <w:t xml:space="preserve">suprecur.ti,ab. </w:t>
      </w:r>
      <w:r>
        <w:t xml:space="preserve">(0)</w:t>
      </w:r>
    </w:p>
    <w:p>
      <w:pPr>
        <w:pStyle w:val="Paragraphedeliste"/>
        <w:numPr>
          <w:ilvl w:val="0"/>
          <w:numId w:val="89"/>
        </w:numPr>
        <w:tabs>
          <w:tab w:val="left" w:pos="712"/>
          <w:tab w:val="left" w:pos="713"/>
        </w:tabs>
        <w:spacing w:before="38"/>
        <w:ind w:hanging="553"/>
      </w:pPr>
      <w:r>
        <w:t xml:space="preserve">suprefact.ti,ab. </w:t>
      </w:r>
      <w:r>
        <w:t xml:space="preserve">(0)</w:t>
      </w:r>
    </w:p>
    <w:p>
      <w:pPr>
        <w:pStyle w:val="Paragraphedeliste"/>
        <w:numPr>
          <w:ilvl w:val="0"/>
          <w:numId w:val="89"/>
        </w:numPr>
        <w:tabs>
          <w:tab w:val="left" w:pos="712"/>
          <w:tab w:val="left" w:pos="713"/>
        </w:tabs>
        <w:ind w:hanging="553"/>
      </w:pPr>
      <w:r>
        <w:t xml:space="preserve">tiloryth.ti,ab. </w:t>
      </w:r>
      <w:r>
        <w:t xml:space="preserve">(0)</w:t>
      </w:r>
    </w:p>
    <w:p>
      <w:pPr>
        <w:pStyle w:val="Paragraphedeliste"/>
        <w:numPr>
          <w:ilvl w:val="0"/>
          <w:numId w:val="89"/>
        </w:numPr>
        <w:tabs>
          <w:tab w:val="left" w:pos="712"/>
          <w:tab w:val="left" w:pos="713"/>
        </w:tabs>
        <w:spacing w:before="40"/>
        <w:ind w:hanging="553"/>
      </w:pPr>
      <w:r>
        <w:t xml:space="preserve">histrelin.ti,ab. </w:t>
      </w:r>
      <w:r>
        <w:t xml:space="preserve">(0)</w:t>
      </w:r>
    </w:p>
    <w:p>
      <w:pPr>
        <w:pStyle w:val="Paragraphedeliste"/>
        <w:numPr>
          <w:ilvl w:val="0"/>
          <w:numId w:val="89"/>
        </w:numPr>
        <w:tabs>
          <w:tab w:val="left" w:pos="712"/>
          <w:tab w:val="left" w:pos="713"/>
        </w:tabs>
        <w:spacing w:line="276" w:lineRule="auto"/>
        <w:ind w:start="160" w:end="5621" w:firstLine="0"/>
      </w:pPr>
      <w:r>
        <w:t xml:space="preserve">"Implant de LHRH-hydrogel".ti,ab. (0) </w:t>
      </w:r>
      <w:r>
        <w:t xml:space="preserve">68</w:t>
      </w:r>
      <w:r>
        <w:tab/>
        <w:t xml:space="preserve">("RL 0903" ou RL0903).ti,ab. (0) </w:t>
      </w:r>
      <w:r>
        <w:t xml:space="preserve">69</w:t>
      </w:r>
      <w:r>
        <w:tab/>
        <w:t xml:space="preserve">("SPD </w:t>
      </w:r>
      <w:r>
        <w:t xml:space="preserve">424" </w:t>
      </w:r>
      <w:r>
        <w:t xml:space="preserve">ou </w:t>
      </w:r>
      <w:r>
        <w:t xml:space="preserve">SPD424).ti,ab. </w:t>
      </w:r>
      <w:r>
        <w:t xml:space="preserve">(0)</w:t>
      </w:r>
    </w:p>
    <w:p>
      <w:pPr>
        <w:pStyle w:val="Paragraphedeliste"/>
        <w:numPr>
          <w:ilvl w:val="0"/>
          <w:numId w:val="88"/>
        </w:numPr>
        <w:tabs>
          <w:tab w:val="left" w:pos="712"/>
          <w:tab w:val="left" w:pos="713"/>
        </w:tabs>
        <w:spacing w:before="1"/>
        <w:ind w:hanging="553"/>
      </w:pPr>
      <w:r>
        <w:t xml:space="preserve">goséréline.ti,ab. </w:t>
      </w:r>
      <w:r>
        <w:t xml:space="preserve">(1)</w:t>
      </w:r>
    </w:p>
    <w:p>
      <w:pPr>
        <w:pStyle w:val="Paragraphedeliste"/>
        <w:numPr>
          <w:ilvl w:val="0"/>
          <w:numId w:val="88"/>
        </w:numPr>
        <w:tabs>
          <w:tab w:val="left" w:pos="712"/>
          <w:tab w:val="left" w:pos="713"/>
        </w:tabs>
        <w:ind w:hanging="553"/>
      </w:pPr>
      <w:r>
        <w:t xml:space="preserve">Goséréline/ </w:t>
      </w:r>
      <w:r>
        <w:t xml:space="preserve">(2)</w:t>
      </w:r>
    </w:p>
    <w:p>
      <w:pPr>
        <w:pStyle w:val="Corpsdetexte"/>
        <w:tabs>
          <w:tab w:val="left" w:pos="712"/>
        </w:tabs>
        <w:spacing w:before="38"/>
      </w:pPr>
      <w:r>
        <w:t xml:space="preserve">72</w:t>
      </w:r>
      <w:r>
        <w:tab/>
        <w:t xml:space="preserve">("ici </w:t>
      </w:r>
      <w:r>
        <w:t xml:space="preserve">118630" </w:t>
      </w:r>
      <w:r>
        <w:t xml:space="preserve">ou </w:t>
      </w:r>
      <w:r>
        <w:t xml:space="preserve">ici118630).ti,ab. </w:t>
      </w:r>
      <w:r>
        <w:t xml:space="preserve">(0)</w:t>
      </w:r>
    </w:p>
    <w:p>
      <w:pPr>
        <w:pStyle w:val="Corpsdetexte"/>
        <w:tabs>
          <w:tab w:val="left" w:pos="712"/>
        </w:tabs>
      </w:pPr>
      <w:r>
        <w:t xml:space="preserve">73</w:t>
      </w:r>
      <w:r>
        <w:tab/>
        <w:t xml:space="preserve">("</w:t>
      </w:r>
      <w:r>
        <w:t xml:space="preserve">ZD-9393" </w:t>
      </w:r>
      <w:r>
        <w:t xml:space="preserve">ou </w:t>
      </w:r>
      <w:r>
        <w:t xml:space="preserve">ZD9393).ti,ab. </w:t>
      </w:r>
      <w:r>
        <w:t xml:space="preserve">(0)</w:t>
      </w:r>
    </w:p>
    <w:p>
      <w:pPr>
        <w:pStyle w:val="Paragraphedeliste"/>
        <w:numPr>
          <w:ilvl w:val="0"/>
          <w:numId w:val="87"/>
        </w:numPr>
        <w:tabs>
          <w:tab w:val="left" w:pos="712"/>
          <w:tab w:val="left" w:pos="713"/>
        </w:tabs>
        <w:spacing w:before="38"/>
        <w:ind w:hanging="553"/>
      </w:pPr>
      <w:r>
        <w:t xml:space="preserve">zoladex.ti,ab. </w:t>
      </w:r>
      <w:r>
        <w:t xml:space="preserve">(0)</w:t>
      </w:r>
    </w:p>
    <w:p>
      <w:pPr>
        <w:pStyle w:val="Paragraphedeliste"/>
        <w:numPr>
          <w:ilvl w:val="0"/>
          <w:numId w:val="87"/>
        </w:numPr>
        <w:tabs>
          <w:tab w:val="left" w:pos="712"/>
          <w:tab w:val="left" w:pos="713"/>
        </w:tabs>
        <w:spacing w:before="40"/>
        <w:ind w:hanging="553"/>
      </w:pPr>
      <w:r>
        <w:t xml:space="preserve">leuprorelin.ti,ab. </w:t>
      </w:r>
      <w:r>
        <w:t xml:space="preserve">(0)</w:t>
      </w:r>
    </w:p>
    <w:p>
      <w:pPr>
        <w:pStyle w:val="Paragraphedeliste"/>
        <w:numPr>
          <w:ilvl w:val="0"/>
          <w:numId w:val="87"/>
        </w:numPr>
        <w:tabs>
          <w:tab w:val="left" w:pos="712"/>
          <w:tab w:val="left" w:pos="713"/>
        </w:tabs>
        <w:spacing w:before="38"/>
        <w:ind w:hanging="553"/>
      </w:pPr>
      <w:r>
        <w:t xml:space="preserve">carcinil.ti,ab. </w:t>
      </w:r>
      <w:r>
        <w:t xml:space="preserve">(0)</w:t>
      </w:r>
    </w:p>
    <w:p>
      <w:pPr>
        <w:pStyle w:val="Paragraphedeliste"/>
        <w:numPr>
          <w:ilvl w:val="0"/>
          <w:numId w:val="87"/>
        </w:numPr>
        <w:tabs>
          <w:tab w:val="left" w:pos="712"/>
          <w:tab w:val="left" w:pos="713"/>
        </w:tabs>
        <w:ind w:hanging="553"/>
      </w:pPr>
      <w:r>
        <w:t xml:space="preserve">enanton*.ti,ab. </w:t>
      </w:r>
      <w:r>
        <w:t xml:space="preserve">(0)</w:t>
      </w:r>
    </w:p>
    <w:p>
      <w:pPr>
        <w:pStyle w:val="Paragraphedeliste"/>
        <w:numPr>
          <w:ilvl w:val="0"/>
          <w:numId w:val="87"/>
        </w:numPr>
        <w:tabs>
          <w:tab w:val="left" w:pos="712"/>
          <w:tab w:val="left" w:pos="713"/>
        </w:tabs>
        <w:ind w:hanging="553"/>
      </w:pPr>
      <w:r>
        <w:t xml:space="preserve">ginecrin.ti,ab. </w:t>
      </w:r>
      <w:r>
        <w:t xml:space="preserve">(0)</w:t>
      </w:r>
    </w:p>
    <w:p>
      <w:pPr>
        <w:pStyle w:val="Paragraphedeliste"/>
        <w:numPr>
          <w:ilvl w:val="0"/>
          <w:numId w:val="87"/>
        </w:numPr>
        <w:tabs>
          <w:tab w:val="left" w:pos="712"/>
          <w:tab w:val="left" w:pos="713"/>
        </w:tabs>
        <w:spacing w:before="40"/>
        <w:ind w:hanging="553"/>
      </w:pPr>
      <w:r>
        <w:t xml:space="preserve">leuplin.ti,ab. </w:t>
      </w:r>
      <w:r>
        <w:t xml:space="preserve">(0)</w:t>
      </w:r>
    </w:p>
    <w:p>
      <w:pPr>
        <w:pStyle w:val="Paragraphedeliste"/>
        <w:numPr>
          <w:ilvl w:val="0"/>
          <w:numId w:val="87"/>
        </w:numPr>
        <w:tabs>
          <w:tab w:val="left" w:pos="712"/>
          <w:tab w:val="left" w:pos="713"/>
        </w:tabs>
        <w:spacing w:before="38"/>
        <w:ind w:hanging="553"/>
      </w:pPr>
      <w:r>
        <w:t xml:space="preserve">Leuprolide/ </w:t>
      </w:r>
      <w:r>
        <w:t xml:space="preserve">(0)</w:t>
      </w:r>
    </w:p>
    <w:p>
      <w:pPr>
        <w:pStyle w:val="Paragraphedeliste"/>
        <w:numPr>
          <w:ilvl w:val="0"/>
          <w:numId w:val="87"/>
        </w:numPr>
        <w:tabs>
          <w:tab w:val="left" w:pos="712"/>
          <w:tab w:val="left" w:pos="713"/>
        </w:tabs>
        <w:ind w:hanging="553"/>
      </w:pPr>
      <w:r>
        <w:t xml:space="preserve">leuprolide.ti,ab.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87"/>
        </w:numPr>
        <w:tabs>
          <w:tab w:val="left" w:pos="712"/>
          <w:tab w:val="left" w:pos="713"/>
        </w:tabs>
        <w:spacing w:before="78"/>
        <w:ind w:hanging="553"/>
      </w:pPr>
      <w:r>
        <w:lastRenderedPageBreak/>
        <w:t xml:space="preserve">lucrin.ti,ab. </w:t>
      </w:r>
      <w:r>
        <w:t xml:space="preserve">(0)</w:t>
      </w:r>
    </w:p>
    <w:p>
      <w:pPr>
        <w:pStyle w:val="Paragraphedeliste"/>
        <w:numPr>
          <w:ilvl w:val="0"/>
          <w:numId w:val="87"/>
        </w:numPr>
        <w:tabs>
          <w:tab w:val="left" w:pos="712"/>
          <w:tab w:val="left" w:pos="713"/>
        </w:tabs>
        <w:spacing w:before="38"/>
        <w:ind w:hanging="553"/>
      </w:pPr>
      <w:r>
        <w:t xml:space="preserve">lupron.ti,ab. </w:t>
      </w:r>
      <w:r>
        <w:t xml:space="preserve">(0)</w:t>
      </w:r>
    </w:p>
    <w:p>
      <w:pPr>
        <w:pStyle w:val="Paragraphedeliste"/>
        <w:numPr>
          <w:ilvl w:val="0"/>
          <w:numId w:val="87"/>
        </w:numPr>
        <w:tabs>
          <w:tab w:val="left" w:pos="712"/>
          <w:tab w:val="left" w:pos="713"/>
        </w:tabs>
        <w:ind w:hanging="553"/>
      </w:pPr>
      <w:r>
        <w:t xml:space="preserve">provren.ti,ab. </w:t>
      </w:r>
      <w:r>
        <w:t xml:space="preserve">(0)</w:t>
      </w:r>
    </w:p>
    <w:p>
      <w:pPr>
        <w:pStyle w:val="Paragraphedeliste"/>
        <w:numPr>
          <w:ilvl w:val="0"/>
          <w:numId w:val="87"/>
        </w:numPr>
        <w:tabs>
          <w:tab w:val="left" w:pos="712"/>
          <w:tab w:val="left" w:pos="713"/>
        </w:tabs>
        <w:spacing w:before="38"/>
        <w:ind w:hanging="553"/>
      </w:pPr>
      <w:r>
        <w:t xml:space="preserve">procrine.ti,ab. </w:t>
      </w:r>
      <w:r>
        <w:t xml:space="preserve">(0)</w:t>
      </w:r>
    </w:p>
    <w:p>
      <w:pPr>
        <w:pStyle w:val="Corpsdetexte"/>
        <w:tabs>
          <w:tab w:val="left" w:pos="712"/>
        </w:tabs>
        <w:spacing w:before="40"/>
      </w:pPr>
      <w:r>
        <w:t xml:space="preserve">86</w:t>
      </w:r>
      <w:r>
        <w:tab/>
        <w:t xml:space="preserve">("tap </w:t>
      </w:r>
      <w:r>
        <w:t xml:space="preserve">144" </w:t>
      </w:r>
      <w:r>
        <w:t xml:space="preserve">ou </w:t>
      </w:r>
      <w:r>
        <w:t xml:space="preserve">tap144).ti,ab. </w:t>
      </w:r>
      <w:r>
        <w:t xml:space="preserve">(0)</w:t>
      </w:r>
    </w:p>
    <w:p>
      <w:pPr>
        <w:pStyle w:val="Corpsdetexte"/>
        <w:tabs>
          <w:tab w:val="left" w:pos="712"/>
        </w:tabs>
      </w:pPr>
      <w:r>
        <w:t xml:space="preserve">87</w:t>
      </w:r>
      <w:r>
        <w:tab/>
        <w:t xml:space="preserve">(a-43818 </w:t>
      </w:r>
      <w:r>
        <w:t xml:space="preserve">ou </w:t>
      </w:r>
      <w:r>
        <w:t xml:space="preserve">a43818).ti,ab. </w:t>
      </w:r>
      <w:r>
        <w:t xml:space="preserve">(0)</w:t>
      </w:r>
    </w:p>
    <w:p>
      <w:pPr>
        <w:pStyle w:val="Paragraphedeliste"/>
        <w:numPr>
          <w:ilvl w:val="0"/>
          <w:numId w:val="86"/>
        </w:numPr>
        <w:tabs>
          <w:tab w:val="left" w:pos="712"/>
          <w:tab w:val="left" w:pos="713"/>
        </w:tabs>
        <w:ind w:hanging="553"/>
      </w:pPr>
      <w:r>
        <w:t xml:space="preserve">Trenantone.ti,ab. </w:t>
      </w:r>
      <w:r>
        <w:t xml:space="preserve">(0)</w:t>
      </w:r>
    </w:p>
    <w:p>
      <w:pPr>
        <w:pStyle w:val="Paragraphedeliste"/>
        <w:numPr>
          <w:ilvl w:val="0"/>
          <w:numId w:val="86"/>
        </w:numPr>
        <w:tabs>
          <w:tab w:val="left" w:pos="712"/>
          <w:tab w:val="left" w:pos="713"/>
        </w:tabs>
        <w:spacing w:before="38"/>
        <w:ind w:hanging="553"/>
      </w:pPr>
      <w:r>
        <w:t xml:space="preserve">staladex.ti,ab. </w:t>
      </w:r>
      <w:r>
        <w:t xml:space="preserve">(0)</w:t>
      </w:r>
    </w:p>
    <w:p>
      <w:pPr>
        <w:pStyle w:val="Paragraphedeliste"/>
        <w:numPr>
          <w:ilvl w:val="0"/>
          <w:numId w:val="86"/>
        </w:numPr>
        <w:tabs>
          <w:tab w:val="left" w:pos="712"/>
          <w:tab w:val="left" w:pos="713"/>
        </w:tabs>
        <w:ind w:hanging="553"/>
      </w:pPr>
      <w:r>
        <w:t xml:space="preserve">prostap.ti,ab. </w:t>
      </w:r>
      <w:r>
        <w:t xml:space="preserve">(0)</w:t>
      </w:r>
    </w:p>
    <w:p>
      <w:pPr>
        <w:pStyle w:val="Paragraphedeliste"/>
        <w:numPr>
          <w:ilvl w:val="0"/>
          <w:numId w:val="86"/>
        </w:numPr>
        <w:tabs>
          <w:tab w:val="left" w:pos="712"/>
          <w:tab w:val="left" w:pos="713"/>
        </w:tabs>
        <w:spacing w:before="40"/>
        <w:ind w:hanging="553"/>
      </w:pPr>
      <w:r>
        <w:t xml:space="preserve">Nafarelin/ </w:t>
      </w:r>
      <w:r>
        <w:t xml:space="preserve">(0)</w:t>
      </w:r>
    </w:p>
    <w:p>
      <w:pPr>
        <w:pStyle w:val="Paragraphedeliste"/>
        <w:numPr>
          <w:ilvl w:val="0"/>
          <w:numId w:val="86"/>
        </w:numPr>
        <w:tabs>
          <w:tab w:val="left" w:pos="712"/>
          <w:tab w:val="left" w:pos="713"/>
        </w:tabs>
        <w:spacing w:before="38"/>
        <w:ind w:hanging="553"/>
      </w:pPr>
      <w:r>
        <w:t xml:space="preserve">nafarelin.ti,ab. </w:t>
      </w:r>
      <w:r>
        <w:t xml:space="preserve">(0)</w:t>
      </w:r>
    </w:p>
    <w:p>
      <w:pPr>
        <w:pStyle w:val="Corpsdetexte"/>
        <w:tabs>
          <w:tab w:val="left" w:pos="712"/>
        </w:tabs>
      </w:pPr>
      <w:r>
        <w:t xml:space="preserve">93</w:t>
      </w:r>
      <w:r>
        <w:tab/>
        <w:t xml:space="preserve">("76932-56-4" </w:t>
      </w:r>
      <w:r>
        <w:t xml:space="preserve">ou </w:t>
      </w:r>
      <w:r>
        <w:t xml:space="preserve">"76932564").ti,ab. </w:t>
      </w:r>
      <w:r>
        <w:t xml:space="preserve">(0)</w:t>
      </w:r>
    </w:p>
    <w:p>
      <w:pPr>
        <w:pStyle w:val="Corpsdetexte"/>
        <w:tabs>
          <w:tab w:val="left" w:pos="712"/>
        </w:tabs>
      </w:pPr>
      <w:r>
        <w:t xml:space="preserve">94</w:t>
      </w:r>
      <w:r>
        <w:tab/>
        <w:t xml:space="preserve">("</w:t>
      </w:r>
      <w:r>
        <w:t xml:space="preserve">76932-60-0" </w:t>
      </w:r>
      <w:r>
        <w:t xml:space="preserve">ou </w:t>
      </w:r>
      <w:r>
        <w:t xml:space="preserve">"76932600").ti,ab. </w:t>
      </w:r>
      <w:r>
        <w:t xml:space="preserve">(0)</w:t>
      </w:r>
    </w:p>
    <w:p>
      <w:pPr>
        <w:pStyle w:val="Corpsdetexte"/>
        <w:tabs>
          <w:tab w:val="left" w:pos="712"/>
        </w:tabs>
        <w:spacing w:before="40"/>
      </w:pPr>
      <w:r>
        <w:t xml:space="preserve">95</w:t>
      </w:r>
      <w:r>
        <w:tab/>
        <w:t xml:space="preserve">("86220-42-0" </w:t>
      </w:r>
      <w:r>
        <w:t xml:space="preserve">ou </w:t>
      </w:r>
      <w:r>
        <w:t xml:space="preserve">"86220420").ti,ab. </w:t>
      </w:r>
      <w:r>
        <w:t xml:space="preserve">(0)</w:t>
      </w:r>
    </w:p>
    <w:p>
      <w:pPr>
        <w:pStyle w:val="Corpsdetexte"/>
        <w:tabs>
          <w:tab w:val="left" w:pos="712"/>
        </w:tabs>
        <w:spacing w:before="38"/>
      </w:pPr>
      <w:r>
        <w:t xml:space="preserve">96</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85"/>
        </w:numPr>
        <w:tabs>
          <w:tab w:val="left" w:pos="712"/>
          <w:tab w:val="left" w:pos="713"/>
        </w:tabs>
        <w:spacing w:before="38"/>
        <w:ind w:hanging="553"/>
      </w:pPr>
      <w:r>
        <w:t xml:space="preserve">synarel.ti,ab. </w:t>
      </w:r>
      <w:r>
        <w:t xml:space="preserve">(0)</w:t>
      </w:r>
    </w:p>
    <w:p>
      <w:pPr>
        <w:pStyle w:val="Paragraphedeliste"/>
        <w:numPr>
          <w:ilvl w:val="0"/>
          <w:numId w:val="85"/>
        </w:numPr>
        <w:tabs>
          <w:tab w:val="left" w:pos="712"/>
          <w:tab w:val="left" w:pos="713"/>
        </w:tabs>
        <w:ind w:hanging="553"/>
      </w:pPr>
      <w:r>
        <w:t xml:space="preserve">deslorelin.ti,ab. </w:t>
      </w:r>
      <w:r>
        <w:t xml:space="preserve">(0)</w:t>
      </w:r>
    </w:p>
    <w:p>
      <w:pPr>
        <w:pStyle w:val="Paragraphedeliste"/>
        <w:numPr>
          <w:ilvl w:val="0"/>
          <w:numId w:val="85"/>
        </w:numPr>
        <w:tabs>
          <w:tab w:val="left" w:pos="712"/>
          <w:tab w:val="left" w:pos="713"/>
        </w:tabs>
        <w:spacing w:before="38"/>
        <w:ind w:hanging="553"/>
      </w:pPr>
      <w:r>
        <w:t xml:space="preserve">gonadorelin.ti,ab. </w:t>
      </w:r>
      <w:r>
        <w:t xml:space="preserve">(0)</w:t>
      </w:r>
    </w:p>
    <w:p>
      <w:pPr>
        <w:pStyle w:val="Corpsdetexte"/>
        <w:tabs>
          <w:tab w:val="left" w:pos="834"/>
        </w:tabs>
        <w:spacing w:before="39"/>
      </w:pPr>
      <w:r>
        <w:t xml:space="preserve">100</w:t>
      </w:r>
      <w:r>
        <w:tab/>
        <w:t xml:space="preserve">("33515-09-2" </w:t>
      </w:r>
      <w:r>
        <w:t xml:space="preserve">ou </w:t>
      </w:r>
      <w:r>
        <w:t xml:space="preserve">"33515092").ti,ab. </w:t>
      </w:r>
      <w:r>
        <w:t xml:space="preserve">(0)</w:t>
      </w:r>
    </w:p>
    <w:p>
      <w:pPr>
        <w:pStyle w:val="Corpsdetexte"/>
        <w:tabs>
          <w:tab w:val="left" w:pos="834"/>
        </w:tabs>
        <w:spacing w:before="38"/>
      </w:pPr>
      <w:r>
        <w:t xml:space="preserve">101</w:t>
      </w:r>
      <w:r>
        <w:tab/>
        <w:t xml:space="preserve">("51952-41-1" </w:t>
      </w:r>
      <w:r>
        <w:t xml:space="preserve">ou </w:t>
      </w:r>
      <w:r>
        <w:t xml:space="preserve">"</w:t>
      </w:r>
      <w:r>
        <w:t xml:space="preserve">51952411").ti,ab. </w:t>
      </w:r>
      <w:r>
        <w:t xml:space="preserve">(0)</w:t>
      </w:r>
    </w:p>
    <w:p>
      <w:pPr>
        <w:pStyle w:val="Corpsdetexte"/>
        <w:tabs>
          <w:tab w:val="left" w:pos="834"/>
        </w:tabs>
      </w:pPr>
      <w:r>
        <w:t xml:space="preserve">102</w:t>
      </w:r>
      <w:r>
        <w:tab/>
        <w:t xml:space="preserve">("52699-48-6" </w:t>
      </w:r>
      <w:r>
        <w:t xml:space="preserve">ou </w:t>
      </w:r>
      <w:r>
        <w:t xml:space="preserve">"52699486").ti,ab. </w:t>
      </w:r>
      <w:r>
        <w:t xml:space="preserve">(0)</w:t>
      </w:r>
    </w:p>
    <w:p>
      <w:pPr>
        <w:pStyle w:val="Paragraphedeliste"/>
        <w:numPr>
          <w:ilvl w:val="0"/>
          <w:numId w:val="84"/>
        </w:numPr>
        <w:tabs>
          <w:tab w:val="left" w:pos="834"/>
          <w:tab w:val="left" w:pos="835"/>
        </w:tabs>
        <w:spacing w:before="38"/>
      </w:pPr>
      <w:r>
        <w:t xml:space="preserve">cetrorelix.ti,ab. </w:t>
      </w:r>
      <w:r>
        <w:t xml:space="preserve">(0)</w:t>
      </w:r>
    </w:p>
    <w:p>
      <w:pPr>
        <w:pStyle w:val="Paragraphedeliste"/>
        <w:numPr>
          <w:ilvl w:val="0"/>
          <w:numId w:val="84"/>
        </w:numPr>
        <w:tabs>
          <w:tab w:val="left" w:pos="834"/>
          <w:tab w:val="left" w:pos="835"/>
        </w:tabs>
        <w:spacing w:before="39"/>
      </w:pPr>
      <w:r>
        <w:t xml:space="preserve">cetrotide.ti,ab. </w:t>
      </w:r>
      <w:r>
        <w:t xml:space="preserve">(0)</w:t>
      </w:r>
    </w:p>
    <w:p>
      <w:pPr>
        <w:pStyle w:val="Corpsdetexte"/>
        <w:tabs>
          <w:tab w:val="left" w:pos="834"/>
        </w:tabs>
        <w:spacing w:before="38"/>
      </w:pPr>
      <w:r>
        <w:t xml:space="preserve">105</w:t>
      </w:r>
      <w:r>
        <w:tab/>
        <w:t xml:space="preserve">("NS </w:t>
      </w:r>
      <w:r>
        <w:t xml:space="preserve">75A" </w:t>
      </w:r>
      <w:r>
        <w:t xml:space="preserve">ou </w:t>
      </w:r>
      <w:r>
        <w:t xml:space="preserve">NS75A).ti,ab. </w:t>
      </w:r>
      <w:r>
        <w:t xml:space="preserve">(0)</w:t>
      </w:r>
    </w:p>
    <w:p>
      <w:pPr>
        <w:pStyle w:val="Corpsdetexte"/>
        <w:tabs>
          <w:tab w:val="left" w:pos="834"/>
        </w:tabs>
      </w:pPr>
      <w:r>
        <w:t xml:space="preserve">106</w:t>
      </w:r>
      <w:r>
        <w:tab/>
        <w:t xml:space="preserve">("NS </w:t>
      </w:r>
      <w:r>
        <w:t xml:space="preserve">75B" </w:t>
      </w:r>
      <w:r>
        <w:t xml:space="preserve">ou </w:t>
      </w:r>
      <w:r>
        <w:t xml:space="preserve">NS75B).ti,ab. </w:t>
      </w:r>
      <w:r>
        <w:t xml:space="preserve">(0)</w:t>
      </w:r>
    </w:p>
    <w:p>
      <w:pPr>
        <w:pStyle w:val="Corpsdetexte"/>
        <w:tabs>
          <w:tab w:val="left" w:pos="834"/>
        </w:tabs>
        <w:spacing w:before="38"/>
      </w:pPr>
      <w:r>
        <w:t xml:space="preserve">107</w:t>
      </w:r>
      <w:r>
        <w:tab/>
        <w:t xml:space="preserve">("SB </w:t>
      </w:r>
      <w:r>
        <w:t xml:space="preserve">075" </w:t>
      </w:r>
      <w:r>
        <w:t xml:space="preserve">ou </w:t>
      </w:r>
      <w:r>
        <w:t xml:space="preserve">SB075).ti,ab. </w:t>
      </w:r>
      <w:r>
        <w:t xml:space="preserve">(0)</w:t>
      </w:r>
    </w:p>
    <w:p>
      <w:pPr>
        <w:pStyle w:val="Corpsdetexte"/>
        <w:tabs>
          <w:tab w:val="left" w:pos="834"/>
        </w:tabs>
      </w:pPr>
      <w:r>
        <w:t xml:space="preserve">108</w:t>
      </w:r>
      <w:r>
        <w:tab/>
        <w:t xml:space="preserve">("SB </w:t>
      </w:r>
      <w:r>
        <w:t xml:space="preserve">75" </w:t>
      </w:r>
      <w:r>
        <w:t xml:space="preserve">ou </w:t>
      </w:r>
      <w:r>
        <w:t xml:space="preserve">SB75).ti,ab. </w:t>
      </w:r>
      <w:r>
        <w:t xml:space="preserve">(0)</w:t>
      </w:r>
    </w:p>
    <w:p>
      <w:pPr>
        <w:pStyle w:val="Paragraphedeliste"/>
        <w:numPr>
          <w:ilvl w:val="0"/>
          <w:numId w:val="83"/>
        </w:numPr>
        <w:tabs>
          <w:tab w:val="left" w:pos="834"/>
          <w:tab w:val="left" w:pos="835"/>
        </w:tabs>
        <w:spacing w:before="40"/>
      </w:pPr>
      <w:r>
        <w:t xml:space="preserve">gonadoliberin.ti,ab. </w:t>
      </w:r>
      <w:r>
        <w:t xml:space="preserve">(0)</w:t>
      </w:r>
    </w:p>
    <w:p>
      <w:pPr>
        <w:pStyle w:val="Paragraphedeliste"/>
        <w:numPr>
          <w:ilvl w:val="0"/>
          <w:numId w:val="83"/>
        </w:numPr>
        <w:tabs>
          <w:tab w:val="left" w:pos="834"/>
          <w:tab w:val="left" w:pos="835"/>
        </w:tabs>
        <w:spacing w:before="38"/>
      </w:pPr>
      <w:r>
        <w:t xml:space="preserve">kryptocur.ti,ab. </w:t>
      </w:r>
      <w:r>
        <w:t xml:space="preserve">(0)</w:t>
      </w:r>
    </w:p>
    <w:p>
      <w:pPr>
        <w:pStyle w:val="Paragraphedeliste"/>
        <w:numPr>
          <w:ilvl w:val="0"/>
          <w:numId w:val="83"/>
        </w:numPr>
        <w:tabs>
          <w:tab w:val="left" w:pos="834"/>
          <w:tab w:val="left" w:pos="835"/>
        </w:tabs>
      </w:pPr>
      <w:r>
        <w:t xml:space="preserve">cetrorelix.ti,ab. </w:t>
      </w:r>
      <w:r>
        <w:t xml:space="preserve">(0)</w:t>
      </w:r>
    </w:p>
    <w:p>
      <w:pPr>
        <w:pStyle w:val="Paragraphedeliste"/>
        <w:numPr>
          <w:ilvl w:val="0"/>
          <w:numId w:val="83"/>
        </w:numPr>
        <w:tabs>
          <w:tab w:val="left" w:pos="834"/>
          <w:tab w:val="left" w:pos="835"/>
        </w:tabs>
        <w:spacing w:before="38"/>
      </w:pPr>
      <w:r>
        <w:t xml:space="preserve">cetrotide.ti,ab. </w:t>
      </w:r>
      <w:r>
        <w:t xml:space="preserve">(0)</w:t>
      </w:r>
    </w:p>
    <w:p>
      <w:pPr>
        <w:pStyle w:val="Paragraphedeliste"/>
        <w:numPr>
          <w:ilvl w:val="0"/>
          <w:numId w:val="83"/>
        </w:numPr>
        <w:tabs>
          <w:tab w:val="left" w:pos="834"/>
          <w:tab w:val="left" w:pos="835"/>
        </w:tabs>
      </w:pPr>
      <w:r>
        <w:t xml:space="preserve">antagoniste.ti,ab. </w:t>
      </w:r>
      <w:r>
        <w:t xml:space="preserve">(0)</w:t>
      </w:r>
    </w:p>
    <w:p>
      <w:pPr>
        <w:pStyle w:val="Paragraphedeliste"/>
        <w:numPr>
          <w:ilvl w:val="0"/>
          <w:numId w:val="83"/>
        </w:numPr>
        <w:tabs>
          <w:tab w:val="left" w:pos="834"/>
          <w:tab w:val="left" w:pos="835"/>
        </w:tabs>
        <w:spacing w:before="40"/>
      </w:pPr>
      <w:r>
        <w:t xml:space="preserve">ganirelix.ti,ab. </w:t>
      </w:r>
      <w:r>
        <w:t xml:space="preserve">(0)</w:t>
      </w:r>
    </w:p>
    <w:p>
      <w:pPr>
        <w:pStyle w:val="Corpsdetexte"/>
        <w:tabs>
          <w:tab w:val="left" w:pos="834"/>
        </w:tabs>
      </w:pPr>
      <w:r>
        <w:t xml:space="preserve">115</w:t>
      </w:r>
      <w:r>
        <w:tab/>
        <w:t xml:space="preserve">("ORG </w:t>
      </w:r>
      <w:r>
        <w:t xml:space="preserve">37462" </w:t>
      </w:r>
      <w:r>
        <w:t xml:space="preserve">ou </w:t>
      </w:r>
      <w:r>
        <w:t xml:space="preserve">ORG37462).ti,ab. </w:t>
      </w:r>
      <w:r>
        <w:t xml:space="preserve">(0)</w:t>
      </w:r>
    </w:p>
    <w:p>
      <w:pPr>
        <w:pStyle w:val="Corpsdetexte"/>
        <w:tabs>
          <w:tab w:val="left" w:pos="834"/>
        </w:tabs>
        <w:spacing w:before="38"/>
      </w:pPr>
      <w:r>
        <w:t xml:space="preserve">116orgalutran</w:t>
      </w:r>
      <w:r>
        <w:tab/>
        <w:t xml:space="preserve">.ti,ab. </w:t>
      </w:r>
      <w:r>
        <w:t xml:space="preserve">(0)</w:t>
      </w:r>
    </w:p>
    <w:p>
      <w:pPr>
        <w:pStyle w:val="Corpsdetexte"/>
        <w:tabs>
          <w:tab w:val="left" w:pos="834"/>
        </w:tabs>
      </w:pPr>
      <w:r>
        <w:t xml:space="preserve">117</w:t>
      </w:r>
      <w:r>
        <w:tab/>
        <w:t xml:space="preserve">("RS </w:t>
      </w:r>
      <w:r>
        <w:t xml:space="preserve">26306" </w:t>
      </w:r>
      <w:r>
        <w:t xml:space="preserve">ou </w:t>
      </w:r>
      <w:r>
        <w:t xml:space="preserve">RS26306).ti,ab. </w:t>
      </w:r>
      <w:r>
        <w:t xml:space="preserve">(0)</w:t>
      </w:r>
    </w:p>
    <w:p>
      <w:pPr>
        <w:pStyle w:val="Corpsdetexte"/>
        <w:tabs>
          <w:tab w:val="left" w:pos="834"/>
        </w:tabs>
        <w:spacing w:before="40"/>
      </w:pPr>
      <w:r>
        <w:t xml:space="preserve">118</w:t>
      </w:r>
      <w:r>
        <w:tab/>
        <w:t xml:space="preserve">("AY </w:t>
      </w:r>
      <w:r>
        <w:t xml:space="preserve">24031" </w:t>
      </w:r>
      <w:r>
        <w:t xml:space="preserve">ou </w:t>
      </w:r>
      <w:r>
        <w:t xml:space="preserve">AY24031).ti,ab. </w:t>
      </w:r>
      <w:r>
        <w:t xml:space="preserve">(0)</w:t>
      </w:r>
    </w:p>
    <w:p>
      <w:pPr>
        <w:pStyle w:val="Paragraphedeliste"/>
        <w:numPr>
          <w:ilvl w:val="0"/>
          <w:numId w:val="82"/>
        </w:numPr>
        <w:tabs>
          <w:tab w:val="left" w:pos="834"/>
          <w:tab w:val="left" w:pos="835"/>
        </w:tabs>
      </w:pPr>
      <w:r>
        <w:t xml:space="preserve">factrel.ti,ab. </w:t>
      </w:r>
      <w:r>
        <w:t xml:space="preserve">(0)</w:t>
      </w:r>
    </w:p>
    <w:p>
      <w:pPr>
        <w:pStyle w:val="Paragraphedeliste"/>
        <w:numPr>
          <w:ilvl w:val="0"/>
          <w:numId w:val="82"/>
        </w:numPr>
        <w:tabs>
          <w:tab w:val="left" w:pos="834"/>
          <w:tab w:val="left" w:pos="835"/>
        </w:tabs>
        <w:spacing w:before="38"/>
      </w:pPr>
      <w:r>
        <w:t xml:space="preserve">fertagyl.ti,ab. </w:t>
      </w:r>
      <w:r>
        <w:t xml:space="preserve">(0)</w:t>
      </w:r>
    </w:p>
    <w:p>
      <w:pPr>
        <w:pStyle w:val="Paragraphedeliste"/>
        <w:numPr>
          <w:ilvl w:val="0"/>
          <w:numId w:val="82"/>
        </w:numPr>
        <w:tabs>
          <w:tab w:val="left" w:pos="834"/>
          <w:tab w:val="left" w:pos="835"/>
        </w:tabs>
      </w:pPr>
      <w:r>
        <w:t xml:space="preserve">lutrelef.ti,ab. </w:t>
      </w:r>
      <w:r>
        <w:t xml:space="preserve">(0)</w:t>
      </w:r>
    </w:p>
    <w:p>
      <w:pPr>
        <w:pStyle w:val="Paragraphedeliste"/>
        <w:numPr>
          <w:ilvl w:val="0"/>
          <w:numId w:val="82"/>
        </w:numPr>
        <w:tabs>
          <w:tab w:val="left" w:pos="834"/>
          <w:tab w:val="left" w:pos="835"/>
        </w:tabs>
        <w:spacing w:before="38"/>
      </w:pPr>
      <w:r>
        <w:t xml:space="preserve">lutrepulse.ti,ab. </w:t>
      </w:r>
      <w:r>
        <w:t xml:space="preserve">(0)</w:t>
      </w:r>
    </w:p>
    <w:p>
      <w:pPr>
        <w:pStyle w:val="Paragraphedeliste"/>
        <w:numPr>
          <w:ilvl w:val="0"/>
          <w:numId w:val="82"/>
        </w:numPr>
        <w:tabs>
          <w:tab w:val="left" w:pos="834"/>
          <w:tab w:val="left" w:pos="835"/>
        </w:tabs>
        <w:spacing w:before="40"/>
      </w:pPr>
      <w:r>
        <w:t xml:space="preserve">relefact.ti,ab. </w:t>
      </w:r>
      <w:r>
        <w:t xml:space="preserve">(0)</w:t>
      </w:r>
    </w:p>
    <w:p>
      <w:pPr>
        <w:pStyle w:val="Paragraphedeliste"/>
        <w:numPr>
          <w:ilvl w:val="0"/>
          <w:numId w:val="82"/>
        </w:numPr>
        <w:tabs>
          <w:tab w:val="left" w:pos="834"/>
          <w:tab w:val="left" w:pos="835"/>
        </w:tabs>
      </w:pPr>
      <w:r>
        <w:t xml:space="preserve">fertiral.ti,ab. </w:t>
      </w:r>
      <w:r>
        <w:t xml:space="preserve">(0)</w:t>
      </w:r>
    </w:p>
    <w:p>
      <w:pPr>
        <w:pStyle w:val="Corpsdetexte"/>
        <w:tabs>
          <w:tab w:val="left" w:pos="834"/>
        </w:tabs>
        <w:spacing w:before="38"/>
      </w:pPr>
      <w:r>
        <w:t xml:space="preserve">125</w:t>
      </w:r>
      <w:r>
        <w:tab/>
        <w:t xml:space="preserve">(hoe471 </w:t>
      </w:r>
      <w:r>
        <w:t xml:space="preserve">ou </w:t>
      </w:r>
      <w:r>
        <w:t xml:space="preserve">"hoe </w:t>
      </w:r>
      <w:r>
        <w:t xml:space="preserve">471").ti,ab. </w:t>
      </w:r>
      <w:r>
        <w:t xml:space="preserve">(0)</w:t>
      </w:r>
    </w:p>
    <w:p>
      <w:pPr>
        <w:pStyle w:val="Paragraphedeliste"/>
        <w:numPr>
          <w:ilvl w:val="0"/>
          <w:numId w:val="81"/>
        </w:numPr>
        <w:tabs>
          <w:tab w:val="left" w:pos="834"/>
          <w:tab w:val="left" w:pos="835"/>
        </w:tabs>
      </w:pPr>
      <w:r>
        <w:t xml:space="preserve">relisorm.ti,ab. </w:t>
      </w:r>
      <w:r>
        <w:t xml:space="preserve">(0)</w:t>
      </w:r>
    </w:p>
    <w:p>
      <w:pPr>
        <w:pStyle w:val="Paragraphedeliste"/>
        <w:numPr>
          <w:ilvl w:val="0"/>
          <w:numId w:val="81"/>
        </w:numPr>
        <w:tabs>
          <w:tab w:val="left" w:pos="834"/>
          <w:tab w:val="left" w:pos="835"/>
        </w:tabs>
        <w:spacing w:before="40"/>
      </w:pPr>
      <w:r>
        <w:t xml:space="preserve">cystorelin.ti,ab. </w:t>
      </w:r>
      <w:r>
        <w:t xml:space="preserve">(0)</w:t>
      </w:r>
    </w:p>
    <w:p>
      <w:pPr>
        <w:pStyle w:val="Paragraphedeliste"/>
        <w:numPr>
          <w:ilvl w:val="0"/>
          <w:numId w:val="81"/>
        </w:numPr>
        <w:tabs>
          <w:tab w:val="left" w:pos="834"/>
          <w:tab w:val="left" w:pos="835"/>
        </w:tabs>
        <w:spacing w:line="276" w:lineRule="auto"/>
        <w:ind w:start="160" w:end="6914" w:firstLine="0"/>
      </w:pPr>
      <w:r>
        <w:t xml:space="preserve">dirigestran.ti,ab. (0) </w:t>
      </w:r>
      <w:r>
        <w:t xml:space="preserve">129ou/33-128 </w:t>
      </w:r>
      <w:r>
        <w:t xml:space="preserve">(23)</w:t>
      </w:r>
    </w:p>
    <w:p w:rsidR="00432386" w:rsidRDefault="00432386">
      <w:pPr>
        <w:spacing w:line="276" w:lineRule="auto"/>
        <w:sectPr w:rsidR="00432386">
          <w:pgSz w:w="11910" w:h="16840"/>
          <w:pgMar w:top="1180" w:right="980" w:bottom="1460" w:left="1280" w:header="0" w:footer="1183" w:gutter="0"/>
          <w:cols w:space="720"/>
        </w:sectPr>
      </w:pPr>
    </w:p>
    <w:p>
      <w:pPr>
        <w:pStyle w:val="Corpsdetexte"/>
        <w:tabs>
          <w:tab w:val="left" w:pos="834"/>
        </w:tabs>
        <w:spacing w:before="78"/>
      </w:pPr>
      <w:r>
        <w:lastRenderedPageBreak/>
        <w:t xml:space="preserve">13032 </w:t>
      </w:r>
      <w:r>
        <w:t xml:space="preserve">et </w:t>
      </w:r>
      <w:r>
        <w:t xml:space="preserve">129 </w:t>
      </w:r>
      <w:r>
        <w:t xml:space="preserve">(1)</w:t>
      </w:r>
    </w:p>
    <w:p>
      <w:pPr>
        <w:pStyle w:val="Paragraphedeliste"/>
        <w:numPr>
          <w:ilvl w:val="0"/>
          <w:numId w:val="80"/>
        </w:numPr>
        <w:tabs>
          <w:tab w:val="left" w:pos="834"/>
          <w:tab w:val="left" w:pos="835"/>
        </w:tabs>
        <w:spacing w:before="38"/>
      </w:pPr>
      <w:r>
        <w:t xml:space="preserve">limite </w:t>
      </w:r>
      <w:r>
        <w:t xml:space="preserve">130 </w:t>
      </w:r>
      <w:r>
        <w:t xml:space="preserve">à la </w:t>
      </w:r>
      <w:r>
        <w:t xml:space="preserve">langue </w:t>
      </w:r>
      <w:r>
        <w:t xml:space="preserve">anglaise </w:t>
      </w:r>
      <w:r>
        <w:t xml:space="preserve">(1)</w:t>
      </w:r>
    </w:p>
    <w:p>
      <w:pPr>
        <w:pStyle w:val="Paragraphedeliste"/>
        <w:numPr>
          <w:ilvl w:val="0"/>
          <w:numId w:val="80"/>
        </w:numPr>
        <w:tabs>
          <w:tab w:val="left" w:pos="834"/>
          <w:tab w:val="left" w:pos="835"/>
        </w:tabs>
      </w:pPr>
      <w:r>
        <w:t xml:space="preserve">limiter </w:t>
      </w:r>
      <w:r>
        <w:t xml:space="preserve">131 </w:t>
      </w:r>
      <w:r>
        <w:t xml:space="preserve">à </w:t>
      </w:r>
      <w:r>
        <w:t xml:space="preserve">yr="2000 </w:t>
      </w:r>
      <w:r>
        <w:t xml:space="preserve">-Current" </w:t>
      </w:r>
      <w:r>
        <w:t xml:space="preserve">(1)</w:t>
      </w:r>
    </w:p>
    <w:p w:rsidR="00432386" w:rsidRDefault="00432386">
      <w:pPr>
        <w:pStyle w:val="Corpsdetexte"/>
        <w:spacing w:before="8"/>
        <w:ind w:start="0"/>
        <w:rPr>
          <w:sz w:val="28"/>
        </w:rPr>
      </w:pPr>
    </w:p>
    <w:p>
      <w:pPr>
        <w:pStyle w:val="Titre2"/>
        <w:spacing w:before="1"/>
      </w:pPr>
      <w:r>
        <w:t xml:space="preserve">Base de données : </w:t>
      </w:r>
      <w:r>
        <w:t xml:space="preserve">Embase</w:t>
      </w:r>
    </w:p>
    <w:p>
      <w:pPr>
        <w:pStyle w:val="Corpsdetexte"/>
      </w:pPr>
      <w:r>
        <w:t xml:space="preserve">Plate-forme : </w:t>
      </w:r>
      <w:r>
        <w:t xml:space="preserve">Ovid</w:t>
      </w:r>
    </w:p>
    <w:p>
      <w:pPr>
        <w:pStyle w:val="Corpsdetexte"/>
        <w:spacing w:line="276" w:lineRule="auto"/>
        <w:ind w:end="5433"/>
      </w:pPr>
      <w:r>
        <w:t xml:space="preserve">Version : Embase &lt;1974 à 2020 22 juillet&gt; </w:t>
      </w:r>
      <w:r>
        <w:t xml:space="preserve">Date de </w:t>
      </w:r>
      <w:r>
        <w:rPr>
          <w:spacing w:val="-59"/>
        </w:rPr>
        <w:t xml:space="preserve">recherche </w:t>
      </w:r>
      <w:r>
        <w:t xml:space="preserve">: </w:t>
      </w:r>
      <w:r>
        <w:t xml:space="preserve">23/7/2020</w:t>
      </w:r>
    </w:p>
    <w:p>
      <w:pPr>
        <w:pStyle w:val="Corpsdetexte"/>
        <w:spacing w:before="0" w:line="278" w:lineRule="auto"/>
        <w:ind w:end="6327"/>
      </w:pPr>
      <w:r>
        <w:t xml:space="preserve">Nombre de résultats récupérés : 367 </w:t>
      </w:r>
      <w:r>
        <w:t xml:space="preserve">Stratégie de </w:t>
      </w:r>
      <w:r>
        <w:t xml:space="preserve">recherche </w:t>
      </w:r>
      <w:r>
        <w:t xml:space="preserve">:</w:t>
      </w:r>
    </w:p>
    <w:p w:rsidR="00432386" w:rsidRDefault="00432386">
      <w:pPr>
        <w:pStyle w:val="Corpsdetexte"/>
        <w:spacing w:before="10"/>
        <w:ind w:start="0"/>
        <w:rPr>
          <w:sz w:val="24"/>
        </w:rPr>
      </w:pPr>
    </w:p>
    <w:p>
      <w:pPr>
        <w:pStyle w:val="Paragraphedeliste"/>
        <w:numPr>
          <w:ilvl w:val="0"/>
          <w:numId w:val="79"/>
        </w:numPr>
        <w:tabs>
          <w:tab w:val="left" w:pos="589"/>
          <w:tab w:val="left" w:pos="590"/>
        </w:tabs>
        <w:spacing w:before="0"/>
      </w:pPr>
      <w:r>
        <w:t xml:space="preserve">exp </w:t>
      </w:r>
      <w:r>
        <w:t xml:space="preserve">Dysphorie de genre/ </w:t>
      </w:r>
      <w:r>
        <w:t xml:space="preserve">(5399)</w:t>
      </w:r>
    </w:p>
    <w:p>
      <w:pPr>
        <w:pStyle w:val="Paragraphedeliste"/>
        <w:numPr>
          <w:ilvl w:val="0"/>
          <w:numId w:val="79"/>
        </w:numPr>
        <w:tabs>
          <w:tab w:val="left" w:pos="589"/>
          <w:tab w:val="left" w:pos="590"/>
        </w:tabs>
        <w:spacing w:before="38"/>
      </w:pPr>
      <w:r>
        <w:t xml:space="preserve">Identité de genre/ </w:t>
      </w:r>
      <w:r>
        <w:t xml:space="preserve">(16820)</w:t>
      </w:r>
    </w:p>
    <w:p>
      <w:pPr>
        <w:pStyle w:val="Paragraphedeliste"/>
        <w:numPr>
          <w:ilvl w:val="0"/>
          <w:numId w:val="79"/>
        </w:numPr>
        <w:tabs>
          <w:tab w:val="left" w:pos="589"/>
          <w:tab w:val="left" w:pos="590"/>
        </w:tabs>
        <w:spacing w:before="39"/>
      </w:pPr>
      <w:r>
        <w:t xml:space="preserve">"</w:t>
      </w:r>
      <w:r>
        <w:t xml:space="preserve">Troubles </w:t>
      </w:r>
      <w:r>
        <w:t xml:space="preserve">sexuels </w:t>
      </w:r>
      <w:r>
        <w:t xml:space="preserve">et de </w:t>
      </w:r>
      <w:r>
        <w:t xml:space="preserve">genre</w:t>
      </w:r>
      <w:r>
        <w:t xml:space="preserve">"/ </w:t>
      </w:r>
      <w:r>
        <w:t xml:space="preserve">(24689)</w:t>
      </w:r>
    </w:p>
    <w:p>
      <w:pPr>
        <w:pStyle w:val="Paragraphedeliste"/>
        <w:numPr>
          <w:ilvl w:val="0"/>
          <w:numId w:val="79"/>
        </w:numPr>
        <w:tabs>
          <w:tab w:val="left" w:pos="589"/>
          <w:tab w:val="left" w:pos="590"/>
        </w:tabs>
        <w:spacing w:before="38"/>
      </w:pPr>
      <w:r>
        <w:t xml:space="preserve">Transsexualisme/ </w:t>
      </w:r>
      <w:r>
        <w:t xml:space="preserve">(3869)</w:t>
      </w:r>
    </w:p>
    <w:p>
      <w:pPr>
        <w:pStyle w:val="Paragraphedeliste"/>
        <w:numPr>
          <w:ilvl w:val="0"/>
          <w:numId w:val="79"/>
        </w:numPr>
        <w:tabs>
          <w:tab w:val="left" w:pos="589"/>
          <w:tab w:val="left" w:pos="590"/>
        </w:tabs>
        <w:spacing w:before="38"/>
      </w:pPr>
      <w:r>
        <w:t xml:space="preserve">exp </w:t>
      </w:r>
      <w:r>
        <w:t xml:space="preserve">Transgenre/ </w:t>
      </w:r>
      <w:r>
        <w:t xml:space="preserve">(6597)</w:t>
      </w:r>
    </w:p>
    <w:p>
      <w:pPr>
        <w:pStyle w:val="Paragraphedeliste"/>
        <w:numPr>
          <w:ilvl w:val="0"/>
          <w:numId w:val="79"/>
        </w:numPr>
        <w:tabs>
          <w:tab w:val="left" w:pos="589"/>
          <w:tab w:val="left" w:pos="590"/>
        </w:tabs>
      </w:pPr>
      <w:r>
        <w:t xml:space="preserve">Services de </w:t>
      </w:r>
      <w:r>
        <w:t xml:space="preserve">santé </w:t>
      </w:r>
      <w:r>
        <w:t xml:space="preserve">pour les </w:t>
      </w:r>
      <w:r>
        <w:t xml:space="preserve">personnes transgenres/ </w:t>
      </w:r>
      <w:r>
        <w:t xml:space="preserve">(158848)</w:t>
      </w:r>
    </w:p>
    <w:p>
      <w:pPr>
        <w:pStyle w:val="Paragraphedeliste"/>
        <w:numPr>
          <w:ilvl w:val="0"/>
          <w:numId w:val="79"/>
        </w:numPr>
        <w:tabs>
          <w:tab w:val="left" w:pos="589"/>
          <w:tab w:val="left" w:pos="590"/>
        </w:tabs>
        <w:spacing w:before="38"/>
      </w:pPr>
      <w:r>
        <w:t xml:space="preserve">exp </w:t>
      </w:r>
      <w:r>
        <w:t xml:space="preserve">Procédures de </w:t>
      </w:r>
      <w:r>
        <w:t xml:space="preserve">réassignation </w:t>
      </w:r>
      <w:r>
        <w:t xml:space="preserve">sexuelle/ </w:t>
      </w:r>
      <w:r>
        <w:t xml:space="preserve">ou </w:t>
      </w:r>
      <w:r>
        <w:t xml:space="preserve">transformation sexuelle/ </w:t>
      </w:r>
      <w:r>
        <w:t xml:space="preserve">(3058)</w:t>
      </w:r>
    </w:p>
    <w:p>
      <w:pPr>
        <w:pStyle w:val="Paragraphedeliste"/>
        <w:numPr>
          <w:ilvl w:val="0"/>
          <w:numId w:val="79"/>
        </w:numPr>
        <w:tabs>
          <w:tab w:val="left" w:pos="532"/>
          <w:tab w:val="left" w:pos="533"/>
        </w:tabs>
        <w:spacing w:before="39" w:line="276" w:lineRule="auto"/>
        <w:ind w:start="160" w:end="459" w:firstLine="0"/>
      </w:pPr>
      <w:r>
        <w:rPr>
          <w:spacing w:val="-1"/>
        </w:rPr>
        <w:t xml:space="preserve">(gender* </w:t>
      </w:r>
      <w:r>
        <w:rPr>
          <w:spacing w:val="-1"/>
        </w:rPr>
        <w:t xml:space="preserve">adj3 </w:t>
      </w:r>
      <w:r>
        <w:rPr>
          <w:spacing w:val="-1"/>
        </w:rPr>
        <w:t xml:space="preserve">(dysphori* </w:t>
      </w:r>
      <w:r>
        <w:rPr>
          <w:spacing w:val="-1"/>
        </w:rPr>
        <w:t xml:space="preserve">ou </w:t>
      </w:r>
      <w:r>
        <w:rPr>
          <w:spacing w:val="-1"/>
        </w:rPr>
        <w:t xml:space="preserve">affirm* </w:t>
      </w:r>
      <w:r>
        <w:rPr>
          <w:spacing w:val="-1"/>
        </w:rPr>
        <w:t xml:space="preserve">ou </w:t>
      </w:r>
      <w:r>
        <w:rPr>
          <w:spacing w:val="-1"/>
        </w:rPr>
        <w:t xml:space="preserve">incongru* </w:t>
      </w:r>
      <w:r>
        <w:rPr>
          <w:spacing w:val="-1"/>
        </w:rPr>
        <w:t xml:space="preserve">ou </w:t>
      </w:r>
      <w:r>
        <w:t xml:space="preserve">identi* </w:t>
      </w:r>
      <w:r>
        <w:t xml:space="preserve">ou </w:t>
      </w:r>
      <w:r>
        <w:t xml:space="preserve">trouble* </w:t>
      </w:r>
      <w:r>
        <w:t xml:space="preserve">ou </w:t>
      </w:r>
      <w:r>
        <w:t xml:space="preserve">confus* </w:t>
      </w:r>
      <w:r>
        <w:t xml:space="preserve">ou </w:t>
      </w:r>
      <w:r>
        <w:t xml:space="preserve">minorit* </w:t>
      </w:r>
      <w:r>
        <w:t xml:space="preserve">ou queer*)).tw. </w:t>
      </w:r>
      <w:r>
        <w:t xml:space="preserve">(13005)</w:t>
      </w:r>
    </w:p>
    <w:p>
      <w:pPr>
        <w:pStyle w:val="Paragraphedeliste"/>
        <w:numPr>
          <w:ilvl w:val="0"/>
          <w:numId w:val="79"/>
        </w:numPr>
        <w:tabs>
          <w:tab w:val="left" w:pos="580"/>
          <w:tab w:val="left" w:pos="581"/>
        </w:tabs>
        <w:spacing w:before="0" w:line="276" w:lineRule="auto"/>
        <w:ind w:start="160" w:end="457"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(22509)</w:t>
      </w:r>
    </w:p>
    <w:p>
      <w:pPr>
        <w:pStyle w:val="Paragraphedeliste"/>
        <w:numPr>
          <w:ilvl w:val="0"/>
          <w:numId w:val="79"/>
        </w:numPr>
        <w:tabs>
          <w:tab w:val="left" w:pos="723"/>
          <w:tab w:val="left" w:pos="724"/>
        </w:tabs>
        <w:spacing w:before="1" w:line="276" w:lineRule="auto"/>
        <w:ind w:start="160" w:end="456" w:firstLine="0"/>
      </w:pPr>
      <w:r>
        <w:t xml:space="preserve">(trans ou crossgender* ou cross-gender* ou crossex* ou cross-sex* ou genderqueer*).tw. </w:t>
      </w:r>
      <w:r>
        <w:t xml:space="preserve">(154446)</w:t>
      </w:r>
    </w:p>
    <w:p>
      <w:pPr>
        <w:pStyle w:val="Paragraphedeliste"/>
        <w:numPr>
          <w:ilvl w:val="0"/>
          <w:numId w:val="79"/>
        </w:numPr>
        <w:tabs>
          <w:tab w:val="left" w:pos="712"/>
          <w:tab w:val="left" w:pos="713"/>
        </w:tabs>
        <w:spacing w:before="0" w:line="252" w:lineRule="exact"/>
        <w:ind w:start="712" w:hanging="553"/>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ou </w:t>
      </w:r>
      <w:r>
        <w:t xml:space="preserve">transition*)).tw. </w:t>
      </w:r>
      <w:r>
        <w:t xml:space="preserve">(10327)</w:t>
      </w:r>
    </w:p>
    <w:p>
      <w:pPr>
        <w:pStyle w:val="Paragraphedeliste"/>
        <w:numPr>
          <w:ilvl w:val="0"/>
          <w:numId w:val="79"/>
        </w:numPr>
        <w:tabs>
          <w:tab w:val="left" w:pos="712"/>
          <w:tab w:val="left" w:pos="713"/>
        </w:tabs>
        <w:spacing w:line="276" w:lineRule="auto"/>
        <w:ind w:start="160" w:end="2878" w:firstLine="0"/>
      </w:pPr>
      <w:r>
        <w:t xml:space="preserve">(homme-à-femme ou m2f ou femme-à-mâle ou f2m).tw. (200166) </w:t>
      </w:r>
      <w:r>
        <w:t xml:space="preserve">13</w:t>
      </w:r>
      <w:r>
        <w:tab/>
      </w:r>
      <w:r>
        <w:t xml:space="preserve">ou/1-12 </w:t>
      </w:r>
      <w:r>
        <w:t xml:space="preserve">(582812)</w:t>
      </w:r>
    </w:p>
    <w:p>
      <w:pPr>
        <w:pStyle w:val="Paragraphedeliste"/>
        <w:numPr>
          <w:ilvl w:val="0"/>
          <w:numId w:val="78"/>
        </w:numPr>
        <w:tabs>
          <w:tab w:val="left" w:pos="771"/>
          <w:tab w:val="left" w:pos="772"/>
        </w:tabs>
        <w:spacing w:before="2" w:line="276" w:lineRule="auto"/>
        <w:ind w:end="460" w:firstLine="0"/>
      </w:pPr>
      <w:r>
        <w:t xml:space="preserve">exp </w:t>
      </w:r>
      <w:r>
        <w:t xml:space="preserve">mineur/ </w:t>
      </w:r>
      <w:r>
        <w:t xml:space="preserve">ou </w:t>
      </w:r>
      <w:r>
        <w:t xml:space="preserve">comportement de l'enfant/ </w:t>
      </w:r>
      <w:r>
        <w:t xml:space="preserve">ou </w:t>
      </w:r>
      <w:r>
        <w:t xml:space="preserve">bien-être de l'enfant/ </w:t>
      </w:r>
      <w:r>
        <w:t xml:space="preserve">ou </w:t>
      </w:r>
      <w:r>
        <w:t xml:space="preserve">santé de </w:t>
      </w:r>
      <w:r>
        <w:t xml:space="preserve">l</w:t>
      </w:r>
      <w:r>
        <w:t xml:space="preserve">'enfant/ </w:t>
      </w:r>
      <w:r>
        <w:t xml:space="preserve">ou </w:t>
      </w:r>
      <w:r>
        <w:t xml:space="preserve">bien-être de l'enfant/ </w:t>
      </w:r>
      <w:r>
        <w:t xml:space="preserve">ou </w:t>
      </w:r>
      <w:r>
        <w:t xml:space="preserve">"mineur </w:t>
      </w:r>
      <w:r>
        <w:t xml:space="preserve">(personne)"/ </w:t>
      </w:r>
      <w:r>
        <w:t xml:space="preserve">ou </w:t>
      </w:r>
      <w:r>
        <w:t xml:space="preserve">élève </w:t>
      </w:r>
      <w:r>
        <w:t xml:space="preserve">du </w:t>
      </w:r>
      <w:r>
        <w:t xml:space="preserve">primaire/ </w:t>
      </w:r>
      <w:r>
        <w:t xml:space="preserve">(3437324)</w:t>
      </w:r>
    </w:p>
    <w:p>
      <w:pPr>
        <w:pStyle w:val="Paragraphedeliste"/>
        <w:numPr>
          <w:ilvl w:val="0"/>
          <w:numId w:val="78"/>
        </w:numPr>
        <w:tabs>
          <w:tab w:val="left" w:pos="705"/>
          <w:tab w:val="left" w:pos="706"/>
        </w:tabs>
        <w:spacing w:before="0" w:line="276" w:lineRule="auto"/>
        <w:ind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rPr>
          <w:spacing w:val="-1"/>
        </w:rPr>
        <w:t xml:space="preserve">périnat* </w:t>
      </w:r>
      <w:r>
        <w:rPr>
          <w:spacing w:val="-1"/>
        </w:rPr>
        <w:t xml:space="preserve">ou </w:t>
      </w:r>
      <w:r>
        <w:rPr>
          <w:spacing w:val="-1"/>
        </w:rPr>
        <w:t xml:space="preserve">péri-nat* </w:t>
      </w:r>
      <w:r>
        <w:rPr>
          <w:spacing w:val="-1"/>
        </w:rPr>
        <w:t xml:space="preserve">ou </w:t>
      </w:r>
      <w:r>
        <w:rPr>
          <w:spacing w:val="-1"/>
        </w:rPr>
        <w:t xml:space="preserve">néonat* </w:t>
      </w:r>
      <w:r>
        <w:rPr>
          <w:spacing w:val="-1"/>
        </w:rPr>
        <w:t xml:space="preserve">ou </w:t>
      </w:r>
      <w:r>
        <w:rPr>
          <w:spacing w:val="-1"/>
        </w:rPr>
        <w:t xml:space="preserve">néo-nat* </w:t>
      </w:r>
      <w:r>
        <w:rPr>
          <w:spacing w:val="-1"/>
        </w:rPr>
        <w:t xml:space="preserve">ou </w:t>
      </w:r>
      <w:r>
        <w:rPr>
          <w:spacing w:val="-1"/>
        </w:rPr>
        <w:t xml:space="preserve">bébé* </w:t>
      </w:r>
      <w:r>
        <w:rPr>
          <w:spacing w:val="-1"/>
        </w:rPr>
        <w:t xml:space="preserve">ou </w:t>
      </w:r>
      <w:r>
        <w:rPr>
          <w:spacing w:val="-1"/>
        </w:rPr>
        <w:t xml:space="preserve">bébés </w:t>
      </w:r>
      <w:r>
        <w:rPr>
          <w:spacing w:val="-1"/>
        </w:rPr>
        <w:t xml:space="preserve">ou </w:t>
      </w:r>
      <w:r>
        <w:rPr>
          <w:spacing w:val="-1"/>
        </w:rPr>
        <w:t xml:space="preserve">bambin*).ti,ab,in,jn. </w:t>
      </w:r>
      <w:r>
        <w:t xml:space="preserve">(1186161)</w:t>
      </w:r>
    </w:p>
    <w:p>
      <w:pPr>
        <w:pStyle w:val="Paragraphedeliste"/>
        <w:numPr>
          <w:ilvl w:val="0"/>
          <w:numId w:val="78"/>
        </w:numPr>
        <w:tabs>
          <w:tab w:val="left" w:pos="712"/>
          <w:tab w:val="left" w:pos="713"/>
        </w:tabs>
        <w:spacing w:before="0" w:line="252" w:lineRule="exact"/>
        <w:ind w:start="712" w:hanging="553"/>
      </w:pPr>
      <w:r>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jeunes*).ti,ab,in,jn. </w:t>
      </w:r>
      <w:r>
        <w:t xml:space="preserve">(3586795)</w:t>
      </w:r>
    </w:p>
    <w:p>
      <w:pPr>
        <w:pStyle w:val="Paragraphedeliste"/>
        <w:numPr>
          <w:ilvl w:val="0"/>
          <w:numId w:val="78"/>
        </w:numPr>
        <w:tabs>
          <w:tab w:val="left" w:pos="712"/>
          <w:tab w:val="left" w:pos="713"/>
        </w:tabs>
        <w:spacing w:before="39"/>
        <w:ind w:start="712" w:hanging="553"/>
      </w:pPr>
      <w:r>
        <w:t xml:space="preserve">exp </w:t>
      </w:r>
      <w:r>
        <w:t xml:space="preserve">pédiatrie/ </w:t>
      </w:r>
      <w:r>
        <w:t xml:space="preserve">(106214)</w:t>
      </w:r>
    </w:p>
    <w:p>
      <w:pPr>
        <w:pStyle w:val="Paragraphedeliste"/>
        <w:numPr>
          <w:ilvl w:val="0"/>
          <w:numId w:val="78"/>
        </w:numPr>
        <w:tabs>
          <w:tab w:val="left" w:pos="712"/>
          <w:tab w:val="left" w:pos="713"/>
        </w:tabs>
        <w:ind w:start="712" w:hanging="553"/>
      </w:pPr>
      <w:r>
        <w:t xml:space="preserve">(pédiatrique* </w:t>
      </w:r>
      <w:r>
        <w:t xml:space="preserve">ou </w:t>
      </w:r>
      <w:r>
        <w:t xml:space="preserve">pédiatrique* </w:t>
      </w:r>
      <w:r>
        <w:t xml:space="preserve">ou </w:t>
      </w:r>
      <w:r>
        <w:t xml:space="preserve">peadiatrique*).ti,ab,in,jn. </w:t>
      </w:r>
      <w:r>
        <w:t xml:space="preserve">(1491597)</w:t>
      </w:r>
    </w:p>
    <w:p>
      <w:pPr>
        <w:pStyle w:val="Paragraphedeliste"/>
        <w:numPr>
          <w:ilvl w:val="0"/>
          <w:numId w:val="78"/>
        </w:numPr>
        <w:tabs>
          <w:tab w:val="left" w:pos="858"/>
        </w:tabs>
        <w:spacing w:before="38" w:line="276" w:lineRule="auto"/>
        <w:ind w:end="461" w:firstLine="0"/>
        <w:jc w:val="both"/>
      </w:pPr>
      <w:r>
        <w:t xml:space="preserve">exp adolescence/ ou exp comportement de l'adolescent/ ou santé de l'adolescent/ ou </w:t>
      </w:r>
      <w:r>
        <w:t xml:space="preserve">élève du secondaire/ </w:t>
      </w:r>
      <w:r>
        <w:t xml:space="preserve">ou </w:t>
      </w:r>
      <w:r>
        <w:t xml:space="preserve">élève du collège/ </w:t>
      </w:r>
      <w:r>
        <w:t xml:space="preserve">(105108)</w:t>
      </w:r>
    </w:p>
    <w:p>
      <w:pPr>
        <w:pStyle w:val="Paragraphedeliste"/>
        <w:numPr>
          <w:ilvl w:val="0"/>
          <w:numId w:val="78"/>
        </w:numPr>
        <w:tabs>
          <w:tab w:val="left" w:pos="765"/>
        </w:tabs>
        <w:spacing w:before="1" w:line="276" w:lineRule="auto"/>
        <w:ind w:end="456" w:firstLine="0"/>
        <w:jc w:val="both"/>
      </w:pPr>
      <w:r>
        <w:t xml:space="preserve">(adolescen* ou pubescen* ou prépubescen* ou pré-pubescen* ou pubert* ou prépubert* </w:t>
      </w:r>
      <w:r>
        <w:t xml:space="preserve">ou pré-pubert* ou teen* ou preteen* ou pre-teen* ou juvenil* ou youth* ou under*age*).ti,ab,in,jn. </w:t>
      </w:r>
      <w:r>
        <w:t xml:space="preserve">(641660)</w:t>
      </w:r>
    </w:p>
    <w:p>
      <w:pPr>
        <w:pStyle w:val="Paragraphedeliste"/>
        <w:numPr>
          <w:ilvl w:val="0"/>
          <w:numId w:val="78"/>
        </w:numPr>
        <w:tabs>
          <w:tab w:val="left" w:pos="740"/>
        </w:tabs>
        <w:spacing w:before="0" w:line="276" w:lineRule="auto"/>
        <w:ind w:end="460" w:firstLine="0"/>
        <w:jc w:val="both"/>
      </w:pPr>
      <w:r>
        <w:t xml:space="preserve">école/ ou lycée/ ou jardin d'enfants/ ou collège/ ou école primaire/ ou </w:t>
      </w:r>
      <w:r>
        <w:t xml:space="preserve">école maternelle/ </w:t>
      </w:r>
      <w:r>
        <w:t xml:space="preserve">ou </w:t>
      </w:r>
      <w:r>
        <w:t xml:space="preserve">garderie/ </w:t>
      </w:r>
      <w:r>
        <w:t xml:space="preserve">(103791)</w:t>
      </w:r>
    </w:p>
    <w:p>
      <w:pPr>
        <w:pStyle w:val="Paragraphedeliste"/>
        <w:numPr>
          <w:ilvl w:val="0"/>
          <w:numId w:val="78"/>
        </w:numPr>
        <w:tabs>
          <w:tab w:val="left" w:pos="715"/>
        </w:tabs>
        <w:spacing w:before="0" w:line="276" w:lineRule="auto"/>
        <w:ind w:end="453" w:firstLine="0"/>
        <w:jc w:val="both"/>
      </w:pPr>
      <w:r>
        <w:t xml:space="preserve">(préscolaire* ou préscolaire* ou </w:t>
      </w:r>
      <w:r>
        <w:t xml:space="preserve">jardin d'enfants* ou garderie ou crèche* ou école* ou </w:t>
      </w:r>
      <w:r>
        <w:t xml:space="preserve">élève* ou </w:t>
      </w:r>
      <w:r>
        <w:t xml:space="preserve">étudiant*).ti,ab,jn. </w:t>
      </w:r>
      <w:r>
        <w:t xml:space="preserve">(687437)</w:t>
      </w:r>
    </w:p>
    <w:p>
      <w:pPr>
        <w:pStyle w:val="Paragraphedeliste"/>
        <w:numPr>
          <w:ilvl w:val="0"/>
          <w:numId w:val="78"/>
        </w:numPr>
        <w:tabs>
          <w:tab w:val="left" w:pos="708"/>
        </w:tabs>
        <w:spacing w:before="0" w:line="276" w:lineRule="auto"/>
        <w:ind w:end="462" w:firstLine="0"/>
        <w:jc w:val="both"/>
      </w:pP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"dix-sept" ou "dix-huit" ou "dix-neuf") adj2 (</w:t>
      </w:r>
      <w:r>
        <w:t xml:space="preserve">année ou années ou âge ou âges ou </w:t>
      </w:r>
      <w:r>
        <w:t xml:space="preserve">âgés)).ti,ab. </w:t>
      </w:r>
      <w:r>
        <w:t xml:space="preserve">(138908)</w:t>
      </w:r>
    </w:p>
    <w:p>
      <w:pPr>
        <w:pStyle w:val="Corpsdetexte"/>
        <w:spacing w:before="0" w:line="276" w:lineRule="auto"/>
        <w:ind w:end="460"/>
        <w:jc w:val="both"/>
      </w:pPr>
      <w:r>
        <w:t xml:space="preserve">24 </w:t>
      </w:r>
      <w:r>
        <w:t xml:space="preserve">(("8" ou "9" ou "10" ou "11" ou "12" ou "13" ou "14" ou "15" ou "16" ou "17" ou "18" ou "19") </w:t>
      </w:r>
      <w:r>
        <w:t xml:space="preserve">adj2 </w:t>
      </w:r>
      <w:r>
        <w:t xml:space="preserve">(année </w:t>
      </w:r>
      <w:r>
        <w:t xml:space="preserve">ou </w:t>
      </w:r>
      <w:r>
        <w:t xml:space="preserve">années </w:t>
      </w:r>
      <w:r>
        <w:t xml:space="preserve">ou âge ou </w:t>
      </w:r>
      <w:r>
        <w:t xml:space="preserve">âges </w:t>
      </w:r>
      <w:r>
        <w:t xml:space="preserve">ou </w:t>
      </w:r>
      <w:r>
        <w:t xml:space="preserve">âgés)).ti,ab. </w:t>
      </w:r>
      <w:r>
        <w:t xml:space="preserve">(1562903)</w:t>
      </w:r>
    </w:p>
    <w:p w:rsidR="00432386" w:rsidRDefault="00432386">
      <w:pPr>
        <w:spacing w:line="276" w:lineRule="auto"/>
        <w:jc w:val="both"/>
        <w:sectPr w:rsidR="00432386">
          <w:pgSz w:w="11910" w:h="16840"/>
          <w:pgMar w:top="1180" w:right="980" w:bottom="1460" w:left="1280" w:header="0" w:footer="1183" w:gutter="0"/>
          <w:cols w:space="720"/>
        </w:sectPr>
      </w:pPr>
    </w:p>
    <w:p>
      <w:pPr>
        <w:pStyle w:val="Corpsdetexte"/>
        <w:tabs>
          <w:tab w:val="left" w:pos="712"/>
        </w:tabs>
        <w:spacing w:before="78"/>
      </w:pPr>
      <w:r>
        <w:lastRenderedPageBreak/>
        <w:t xml:space="preserve">25or/14-24 </w:t>
      </w:r>
      <w:r>
        <w:t xml:space="preserve">(7130881)</w:t>
      </w:r>
    </w:p>
    <w:p>
      <w:pPr>
        <w:pStyle w:val="Corpsdetexte"/>
        <w:tabs>
          <w:tab w:val="left" w:pos="712"/>
        </w:tabs>
        <w:spacing w:before="38"/>
      </w:pPr>
      <w:r>
        <w:t xml:space="preserve">2613 </w:t>
      </w:r>
      <w:r>
        <w:t xml:space="preserve">et </w:t>
      </w:r>
      <w:r>
        <w:t xml:space="preserve">25 </w:t>
      </w:r>
      <w:r>
        <w:t xml:space="preserve">(182161)</w:t>
      </w:r>
    </w:p>
    <w:p>
      <w:pPr>
        <w:pStyle w:val="Corpsdetexte"/>
        <w:tabs>
          <w:tab w:val="left" w:pos="788"/>
        </w:tabs>
        <w:spacing w:line="276" w:lineRule="auto"/>
        <w:ind w:end="456"/>
      </w:pPr>
      <w:r>
        <w:t xml:space="preserve">27</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(17)</w:t>
      </w:r>
    </w:p>
    <w:p>
      <w:pPr>
        <w:pStyle w:val="Corpsdetexte"/>
        <w:tabs>
          <w:tab w:val="left" w:pos="712"/>
        </w:tabs>
        <w:spacing w:before="2"/>
      </w:pPr>
      <w:r>
        <w:t xml:space="preserve">2826 </w:t>
      </w:r>
      <w:r>
        <w:t xml:space="preserve">ou </w:t>
      </w:r>
      <w:r>
        <w:t xml:space="preserve">27 </w:t>
      </w:r>
      <w:r>
        <w:t xml:space="preserve">(182161)</w:t>
      </w:r>
    </w:p>
    <w:p>
      <w:pPr>
        <w:pStyle w:val="Paragraphedeliste"/>
        <w:numPr>
          <w:ilvl w:val="0"/>
          <w:numId w:val="77"/>
        </w:numPr>
        <w:tabs>
          <w:tab w:val="left" w:pos="712"/>
          <w:tab w:val="left" w:pos="713"/>
        </w:tabs>
        <w:ind w:hanging="553"/>
      </w:pPr>
      <w:r>
        <w:t xml:space="preserve">gonadorelin/ </w:t>
      </w:r>
      <w:r>
        <w:t xml:space="preserve">(37580)</w:t>
      </w:r>
    </w:p>
    <w:p>
      <w:pPr>
        <w:pStyle w:val="Paragraphedeliste"/>
        <w:numPr>
          <w:ilvl w:val="0"/>
          <w:numId w:val="77"/>
        </w:numPr>
        <w:tabs>
          <w:tab w:val="left" w:pos="712"/>
          <w:tab w:val="left" w:pos="713"/>
        </w:tabs>
        <w:spacing w:before="38"/>
        <w:ind w:hanging="553"/>
      </w:pPr>
      <w:r>
        <w:t xml:space="preserve">(pubert* </w:t>
      </w:r>
      <w:r>
        <w:t xml:space="preserve">adj3 </w:t>
      </w:r>
      <w:r>
        <w:t xml:space="preserve">bloc*).ti,ab. </w:t>
      </w:r>
      <w:r>
        <w:t xml:space="preserve">(142)</w:t>
      </w:r>
    </w:p>
    <w:p>
      <w:pPr>
        <w:pStyle w:val="Paragraphedeliste"/>
        <w:numPr>
          <w:ilvl w:val="0"/>
          <w:numId w:val="77"/>
        </w:numPr>
        <w:tabs>
          <w:tab w:val="left" w:pos="712"/>
          <w:tab w:val="left" w:pos="713"/>
        </w:tabs>
        <w:ind w:hanging="553"/>
      </w:pPr>
      <w:r>
        <w:t xml:space="preserve">((gonadotrophine </w:t>
      </w:r>
      <w:r>
        <w:t xml:space="preserve">ou </w:t>
      </w:r>
      <w:r>
        <w:t xml:space="preserve">gonadotrophine) </w:t>
      </w:r>
      <w:r>
        <w:t xml:space="preserve">et </w:t>
      </w:r>
      <w:r>
        <w:t xml:space="preserve">libération).ti,ab. </w:t>
      </w:r>
      <w:r>
        <w:t xml:space="preserve">(21450)</w:t>
      </w:r>
    </w:p>
    <w:p>
      <w:pPr>
        <w:pStyle w:val="Paragraphedeliste"/>
        <w:numPr>
          <w:ilvl w:val="0"/>
          <w:numId w:val="77"/>
        </w:numPr>
        <w:tabs>
          <w:tab w:val="left" w:pos="712"/>
          <w:tab w:val="left" w:pos="713"/>
        </w:tabs>
        <w:spacing w:line="278" w:lineRule="auto"/>
        <w:ind w:start="160" w:end="5655" w:firstLine="0"/>
      </w:pPr>
      <w:r>
        <w:t xml:space="preserve">(GnRH adj2 analogue*).ti,ab. (4013) </w:t>
      </w:r>
      <w:r>
        <w:t xml:space="preserve">33GnRH*</w:t>
      </w:r>
      <w:r>
        <w:tab/>
        <w:t xml:space="preserve">.ti,ab. </w:t>
      </w:r>
      <w:r>
        <w:t xml:space="preserve">(29862)</w:t>
      </w:r>
    </w:p>
    <w:p>
      <w:pPr>
        <w:pStyle w:val="Paragraphedeliste"/>
        <w:numPr>
          <w:ilvl w:val="0"/>
          <w:numId w:val="76"/>
        </w:numPr>
        <w:tabs>
          <w:tab w:val="left" w:pos="712"/>
          <w:tab w:val="left" w:pos="713"/>
        </w:tabs>
        <w:spacing w:before="0" w:line="249" w:lineRule="exact"/>
        <w:ind w:hanging="553"/>
      </w:pPr>
      <w:r>
        <w:t xml:space="preserve">"</w:t>
      </w:r>
      <w:r>
        <w:t xml:space="preserve">Agoniste de la GnRH*".ti,ab. </w:t>
      </w:r>
      <w:r>
        <w:t xml:space="preserve">(6719)</w:t>
      </w:r>
    </w:p>
    <w:p>
      <w:pPr>
        <w:pStyle w:val="Paragraphedeliste"/>
        <w:numPr>
          <w:ilvl w:val="0"/>
          <w:numId w:val="76"/>
        </w:numPr>
        <w:tabs>
          <w:tab w:val="left" w:pos="712"/>
          <w:tab w:val="left" w:pos="713"/>
        </w:tabs>
        <w:spacing w:before="38"/>
        <w:ind w:hanging="553"/>
      </w:pPr>
      <w:r>
        <w:t xml:space="preserve">exp </w:t>
      </w:r>
      <w:r>
        <w:t xml:space="preserve">gonadoréline </w:t>
      </w:r>
      <w:r>
        <w:t xml:space="preserve">agoniste/ </w:t>
      </w:r>
      <w:r>
        <w:t xml:space="preserve">ou </w:t>
      </w:r>
      <w:r>
        <w:t xml:space="preserve">gonadoréline </w:t>
      </w:r>
      <w:r>
        <w:t xml:space="preserve">dérivée/ </w:t>
      </w:r>
      <w:r>
        <w:t xml:space="preserve">ou </w:t>
      </w:r>
      <w:r>
        <w:t xml:space="preserve">gonadoréline </w:t>
      </w:r>
      <w:r>
        <w:t xml:space="preserve">acétate/ </w:t>
      </w:r>
      <w:r>
        <w:t xml:space="preserve">(23304)</w:t>
      </w:r>
    </w:p>
    <w:p>
      <w:pPr>
        <w:pStyle w:val="Paragraphedeliste"/>
        <w:numPr>
          <w:ilvl w:val="0"/>
          <w:numId w:val="76"/>
        </w:numPr>
        <w:tabs>
          <w:tab w:val="left" w:pos="712"/>
          <w:tab w:val="left" w:pos="713"/>
        </w:tabs>
        <w:ind w:hanging="553"/>
      </w:pPr>
      <w:r>
        <w:t xml:space="preserve">Triptoréline/ </w:t>
      </w:r>
      <w:r>
        <w:t xml:space="preserve">(5427)</w:t>
      </w:r>
    </w:p>
    <w:p>
      <w:pPr>
        <w:pStyle w:val="Paragraphedeliste"/>
        <w:numPr>
          <w:ilvl w:val="0"/>
          <w:numId w:val="76"/>
        </w:numPr>
        <w:tabs>
          <w:tab w:val="left" w:pos="712"/>
          <w:tab w:val="left" w:pos="713"/>
        </w:tabs>
        <w:spacing w:before="40"/>
        <w:ind w:hanging="553"/>
      </w:pPr>
      <w:r>
        <w:t xml:space="preserve">triptoréline.ti,ab. </w:t>
      </w:r>
      <w:r>
        <w:t xml:space="preserve">(1182)</w:t>
      </w:r>
    </w:p>
    <w:p>
      <w:pPr>
        <w:pStyle w:val="Paragraphedeliste"/>
        <w:numPr>
          <w:ilvl w:val="0"/>
          <w:numId w:val="76"/>
        </w:numPr>
        <w:tabs>
          <w:tab w:val="left" w:pos="712"/>
          <w:tab w:val="left" w:pos="713"/>
        </w:tabs>
        <w:spacing w:before="38"/>
        <w:ind w:hanging="553"/>
      </w:pPr>
      <w:r>
        <w:t xml:space="preserve">arvekap.ti,ab. </w:t>
      </w:r>
      <w:r>
        <w:t xml:space="preserve">(3)</w:t>
      </w:r>
    </w:p>
    <w:p>
      <w:pPr>
        <w:pStyle w:val="Corpsdetexte"/>
        <w:tabs>
          <w:tab w:val="left" w:pos="712"/>
        </w:tabs>
        <w:spacing w:before="38"/>
      </w:pPr>
      <w:r>
        <w:t xml:space="preserve">39</w:t>
      </w:r>
      <w:r>
        <w:tab/>
        <w:t xml:space="preserve">("AY </w:t>
      </w:r>
      <w:r>
        <w:t xml:space="preserve">25650" </w:t>
      </w:r>
      <w:r>
        <w:t xml:space="preserve">ou </w:t>
      </w:r>
      <w:r>
        <w:t xml:space="preserve">AY25650).ti,ab. </w:t>
      </w:r>
      <w:r>
        <w:t xml:space="preserve">(1)</w:t>
      </w:r>
    </w:p>
    <w:p>
      <w:pPr>
        <w:pStyle w:val="Corpsdetexte"/>
        <w:tabs>
          <w:tab w:val="left" w:pos="712"/>
        </w:tabs>
      </w:pPr>
      <w:r>
        <w:t xml:space="preserve">40</w:t>
      </w:r>
      <w:r>
        <w:tab/>
        <w:t xml:space="preserve">("BIM </w:t>
      </w:r>
      <w:r>
        <w:t xml:space="preserve">21003" </w:t>
      </w:r>
      <w:r>
        <w:t xml:space="preserve">ou </w:t>
      </w:r>
      <w:r>
        <w:t xml:space="preserve">BIM21003).ti,ab. </w:t>
      </w:r>
      <w:r>
        <w:t xml:space="preserve">(0)</w:t>
      </w:r>
    </w:p>
    <w:p>
      <w:pPr>
        <w:pStyle w:val="Corpsdetexte"/>
        <w:tabs>
          <w:tab w:val="left" w:pos="712"/>
        </w:tabs>
      </w:pPr>
      <w:r>
        <w:t xml:space="preserve">41</w:t>
      </w:r>
      <w:r>
        <w:tab/>
        <w:t xml:space="preserve">("BN </w:t>
      </w:r>
      <w:r>
        <w:t xml:space="preserve">52014" </w:t>
      </w:r>
      <w:r>
        <w:t xml:space="preserve">ou </w:t>
      </w:r>
      <w:r>
        <w:t xml:space="preserve">BN52014).ti,ab. </w:t>
      </w:r>
      <w:r>
        <w:t xml:space="preserve">(0)</w:t>
      </w:r>
    </w:p>
    <w:p>
      <w:pPr>
        <w:pStyle w:val="Corpsdetexte"/>
        <w:tabs>
          <w:tab w:val="left" w:pos="712"/>
        </w:tabs>
        <w:spacing w:before="40"/>
      </w:pPr>
      <w:r>
        <w:t xml:space="preserve">42</w:t>
      </w:r>
      <w:r>
        <w:tab/>
        <w:t xml:space="preserve">("CL </w:t>
      </w:r>
      <w:r>
        <w:t xml:space="preserve">118532" </w:t>
      </w:r>
      <w:r>
        <w:t xml:space="preserve">ou </w:t>
      </w:r>
      <w:r>
        <w:t xml:space="preserve">CL118532).ti,ab. </w:t>
      </w:r>
      <w:r>
        <w:t xml:space="preserve">(0)</w:t>
      </w:r>
    </w:p>
    <w:p>
      <w:pPr>
        <w:pStyle w:val="Paragraphedeliste"/>
        <w:numPr>
          <w:ilvl w:val="0"/>
          <w:numId w:val="75"/>
        </w:numPr>
        <w:tabs>
          <w:tab w:val="left" w:pos="712"/>
          <w:tab w:val="left" w:pos="713"/>
        </w:tabs>
        <w:spacing w:before="38"/>
        <w:ind w:hanging="553"/>
      </w:pPr>
      <w:r>
        <w:t xml:space="preserve">Debio.ti,ab. </w:t>
      </w:r>
      <w:r>
        <w:t xml:space="preserve">(185)</w:t>
      </w:r>
    </w:p>
    <w:p>
      <w:pPr>
        <w:pStyle w:val="Paragraphedeliste"/>
        <w:numPr>
          <w:ilvl w:val="0"/>
          <w:numId w:val="75"/>
        </w:numPr>
        <w:tabs>
          <w:tab w:val="left" w:pos="712"/>
          <w:tab w:val="left" w:pos="713"/>
        </w:tabs>
        <w:ind w:hanging="553"/>
      </w:pPr>
      <w:r>
        <w:t xml:space="preserve">diphereline.ti,ab. </w:t>
      </w:r>
      <w:r>
        <w:t xml:space="preserve">(51)</w:t>
      </w:r>
    </w:p>
    <w:p>
      <w:pPr>
        <w:pStyle w:val="Paragraphedeliste"/>
        <w:numPr>
          <w:ilvl w:val="0"/>
          <w:numId w:val="75"/>
        </w:numPr>
        <w:tabs>
          <w:tab w:val="left" w:pos="712"/>
          <w:tab w:val="left" w:pos="713"/>
        </w:tabs>
        <w:ind w:hanging="553"/>
      </w:pPr>
      <w:r>
        <w:t xml:space="preserve">moapar.ti,ab. </w:t>
      </w:r>
      <w:r>
        <w:t xml:space="preserve">(0)</w:t>
      </w:r>
    </w:p>
    <w:p>
      <w:pPr>
        <w:pStyle w:val="Paragraphedeliste"/>
        <w:numPr>
          <w:ilvl w:val="0"/>
          <w:numId w:val="75"/>
        </w:numPr>
        <w:tabs>
          <w:tab w:val="left" w:pos="712"/>
          <w:tab w:val="left" w:pos="713"/>
        </w:tabs>
        <w:spacing w:before="40"/>
        <w:ind w:hanging="553"/>
      </w:pPr>
      <w:r>
        <w:t xml:space="preserve">pamorelin.ti,ab. </w:t>
      </w:r>
      <w:r>
        <w:t xml:space="preserve">(0)</w:t>
      </w:r>
    </w:p>
    <w:p>
      <w:pPr>
        <w:pStyle w:val="Paragraphedeliste"/>
        <w:numPr>
          <w:ilvl w:val="0"/>
          <w:numId w:val="75"/>
        </w:numPr>
        <w:tabs>
          <w:tab w:val="left" w:pos="712"/>
          <w:tab w:val="left" w:pos="713"/>
        </w:tabs>
        <w:spacing w:before="38"/>
        <w:ind w:hanging="553"/>
      </w:pPr>
      <w:r>
        <w:t xml:space="preserve">trelstar.ti,ab. </w:t>
      </w:r>
      <w:r>
        <w:t xml:space="preserve">(5)</w:t>
      </w:r>
    </w:p>
    <w:p>
      <w:pPr>
        <w:pStyle w:val="Paragraphedeliste"/>
        <w:numPr>
          <w:ilvl w:val="0"/>
          <w:numId w:val="75"/>
        </w:numPr>
        <w:tabs>
          <w:tab w:val="left" w:pos="712"/>
          <w:tab w:val="left" w:pos="713"/>
        </w:tabs>
        <w:ind w:hanging="553"/>
      </w:pPr>
      <w:r>
        <w:t xml:space="preserve">triptodur.ti,ab. </w:t>
      </w:r>
      <w:r>
        <w:t xml:space="preserve">(1)</w:t>
      </w:r>
    </w:p>
    <w:p>
      <w:pPr>
        <w:pStyle w:val="Corpsdetexte"/>
        <w:tabs>
          <w:tab w:val="left" w:pos="712"/>
        </w:tabs>
        <w:spacing w:before="38"/>
      </w:pPr>
      <w:r>
        <w:t xml:space="preserve">49</w:t>
      </w:r>
      <w:r>
        <w:tab/>
        <w:t xml:space="preserve">("WY </w:t>
      </w:r>
      <w:r>
        <w:t xml:space="preserve">42422" </w:t>
      </w:r>
      <w:r>
        <w:t xml:space="preserve">ou </w:t>
      </w:r>
      <w:r>
        <w:t xml:space="preserve">WY42422).ti,ab. </w:t>
      </w:r>
      <w:r>
        <w:t xml:space="preserve">(0)</w:t>
      </w:r>
    </w:p>
    <w:p>
      <w:pPr>
        <w:pStyle w:val="Corpsdetexte"/>
        <w:tabs>
          <w:tab w:val="left" w:pos="712"/>
        </w:tabs>
      </w:pPr>
      <w:r>
        <w:t xml:space="preserve">50</w:t>
      </w:r>
      <w:r>
        <w:tab/>
        <w:t xml:space="preserve">("WY </w:t>
      </w:r>
      <w:r>
        <w:t xml:space="preserve">42462" </w:t>
      </w:r>
      <w:r>
        <w:t xml:space="preserve">ou </w:t>
      </w:r>
      <w:r>
        <w:t xml:space="preserve">WY42462).ti,ab. </w:t>
      </w:r>
      <w:r>
        <w:t xml:space="preserve">(0)</w:t>
      </w:r>
    </w:p>
    <w:p>
      <w:pPr>
        <w:pStyle w:val="Paragraphedeliste"/>
        <w:numPr>
          <w:ilvl w:val="0"/>
          <w:numId w:val="74"/>
        </w:numPr>
        <w:tabs>
          <w:tab w:val="left" w:pos="712"/>
          <w:tab w:val="left" w:pos="713"/>
        </w:tabs>
        <w:spacing w:before="40"/>
        <w:ind w:hanging="553"/>
      </w:pPr>
      <w:r>
        <w:t xml:space="preserve">gonapeptyl.ti,ab. </w:t>
      </w:r>
      <w:r>
        <w:t xml:space="preserve">(10)</w:t>
      </w:r>
    </w:p>
    <w:p>
      <w:pPr>
        <w:pStyle w:val="Paragraphedeliste"/>
        <w:numPr>
          <w:ilvl w:val="0"/>
          <w:numId w:val="74"/>
        </w:numPr>
        <w:tabs>
          <w:tab w:val="left" w:pos="712"/>
          <w:tab w:val="left" w:pos="713"/>
        </w:tabs>
        <w:spacing w:before="38"/>
        <w:ind w:hanging="553"/>
      </w:pPr>
      <w:r>
        <w:t xml:space="preserve">décapeptyl.ti,ab. </w:t>
      </w:r>
      <w:r>
        <w:t xml:space="preserve">(307)</w:t>
      </w:r>
    </w:p>
    <w:p>
      <w:pPr>
        <w:pStyle w:val="Paragraphedeliste"/>
        <w:numPr>
          <w:ilvl w:val="0"/>
          <w:numId w:val="74"/>
        </w:numPr>
        <w:tabs>
          <w:tab w:val="left" w:pos="712"/>
          <w:tab w:val="left" w:pos="713"/>
        </w:tabs>
        <w:ind w:hanging="553"/>
      </w:pPr>
      <w:r>
        <w:t xml:space="preserve">salvacyl.ti,ab. </w:t>
      </w:r>
      <w:r>
        <w:t xml:space="preserve">(1)</w:t>
      </w:r>
    </w:p>
    <w:p>
      <w:pPr>
        <w:pStyle w:val="Paragraphedeliste"/>
        <w:numPr>
          <w:ilvl w:val="0"/>
          <w:numId w:val="74"/>
        </w:numPr>
        <w:tabs>
          <w:tab w:val="left" w:pos="712"/>
          <w:tab w:val="left" w:pos="713"/>
        </w:tabs>
        <w:ind w:hanging="553"/>
      </w:pPr>
      <w:r>
        <w:t xml:space="preserve">acétate de buséréline/ </w:t>
      </w:r>
      <w:r>
        <w:t xml:space="preserve">ou </w:t>
      </w:r>
      <w:r>
        <w:t xml:space="preserve">buséréline/ </w:t>
      </w:r>
      <w:r>
        <w:t xml:space="preserve">(5164)</w:t>
      </w:r>
    </w:p>
    <w:p>
      <w:pPr>
        <w:pStyle w:val="Paragraphedeliste"/>
        <w:numPr>
          <w:ilvl w:val="0"/>
          <w:numId w:val="74"/>
        </w:numPr>
        <w:tabs>
          <w:tab w:val="left" w:pos="712"/>
          <w:tab w:val="left" w:pos="713"/>
        </w:tabs>
        <w:spacing w:before="38"/>
        <w:ind w:hanging="553"/>
      </w:pPr>
      <w:r>
        <w:t xml:space="preserve">buséréline.ti,ab. </w:t>
      </w:r>
      <w:r>
        <w:t xml:space="preserve">(1604)</w:t>
      </w:r>
    </w:p>
    <w:p>
      <w:pPr>
        <w:pStyle w:val="Paragraphedeliste"/>
        <w:numPr>
          <w:ilvl w:val="0"/>
          <w:numId w:val="74"/>
        </w:numPr>
        <w:tabs>
          <w:tab w:val="left" w:pos="712"/>
          <w:tab w:val="left" w:pos="713"/>
        </w:tabs>
        <w:spacing w:before="40"/>
        <w:ind w:hanging="553"/>
      </w:pPr>
      <w:r>
        <w:t xml:space="preserve">bigoniste.ti,ab. </w:t>
      </w:r>
      <w:r>
        <w:t xml:space="preserve">(1)</w:t>
      </w:r>
    </w:p>
    <w:p>
      <w:pPr>
        <w:pStyle w:val="Corpsdetexte"/>
        <w:tabs>
          <w:tab w:val="left" w:pos="712"/>
        </w:tabs>
      </w:pPr>
      <w:r>
        <w:t xml:space="preserve">57</w:t>
      </w:r>
      <w:r>
        <w:tab/>
        <w:t xml:space="preserve">("hoe </w:t>
      </w:r>
      <w:r>
        <w:t xml:space="preserve">766" </w:t>
      </w:r>
      <w:r>
        <w:t xml:space="preserve">ou </w:t>
      </w:r>
      <w:r>
        <w:t xml:space="preserve">hoe-766 </w:t>
      </w:r>
      <w:r>
        <w:t xml:space="preserve">ou </w:t>
      </w:r>
      <w:r>
        <w:t xml:space="preserve">hoe766).ti,ab. </w:t>
      </w:r>
      <w:r>
        <w:t xml:space="preserve">(89)</w:t>
      </w:r>
    </w:p>
    <w:p>
      <w:pPr>
        <w:pStyle w:val="Paragraphedeliste"/>
        <w:numPr>
          <w:ilvl w:val="0"/>
          <w:numId w:val="73"/>
        </w:numPr>
        <w:tabs>
          <w:tab w:val="left" w:pos="712"/>
          <w:tab w:val="left" w:pos="713"/>
        </w:tabs>
        <w:spacing w:before="38"/>
        <w:ind w:hanging="553"/>
      </w:pPr>
      <w:r>
        <w:t xml:space="preserve">profact.ti,ab. </w:t>
      </w:r>
      <w:r>
        <w:t xml:space="preserve">(4)</w:t>
      </w:r>
    </w:p>
    <w:p>
      <w:pPr>
        <w:pStyle w:val="Paragraphedeliste"/>
        <w:numPr>
          <w:ilvl w:val="0"/>
          <w:numId w:val="73"/>
        </w:numPr>
        <w:tabs>
          <w:tab w:val="left" w:pos="712"/>
          <w:tab w:val="left" w:pos="713"/>
        </w:tabs>
        <w:ind w:hanging="553"/>
      </w:pPr>
      <w:r>
        <w:t xml:space="preserve">réceptacle.ti,ab. </w:t>
      </w:r>
      <w:r>
        <w:t xml:space="preserve">(37)</w:t>
      </w:r>
    </w:p>
    <w:p>
      <w:pPr>
        <w:pStyle w:val="Paragraphedeliste"/>
        <w:numPr>
          <w:ilvl w:val="0"/>
          <w:numId w:val="73"/>
        </w:numPr>
        <w:tabs>
          <w:tab w:val="left" w:pos="712"/>
          <w:tab w:val="left" w:pos="713"/>
        </w:tabs>
        <w:spacing w:before="40"/>
        <w:ind w:hanging="553"/>
      </w:pPr>
      <w:r>
        <w:t xml:space="preserve">suprecur.ti,ab. </w:t>
      </w:r>
      <w:r>
        <w:t xml:space="preserve">(8)</w:t>
      </w:r>
    </w:p>
    <w:p>
      <w:pPr>
        <w:pStyle w:val="Paragraphedeliste"/>
        <w:numPr>
          <w:ilvl w:val="0"/>
          <w:numId w:val="73"/>
        </w:numPr>
        <w:tabs>
          <w:tab w:val="left" w:pos="712"/>
          <w:tab w:val="left" w:pos="713"/>
        </w:tabs>
        <w:ind w:hanging="553"/>
      </w:pPr>
      <w:r>
        <w:t xml:space="preserve">suprefact.ti,ab. </w:t>
      </w:r>
      <w:r>
        <w:t xml:space="preserve">(30)</w:t>
      </w:r>
    </w:p>
    <w:p>
      <w:pPr>
        <w:pStyle w:val="Paragraphedeliste"/>
        <w:numPr>
          <w:ilvl w:val="0"/>
          <w:numId w:val="73"/>
        </w:numPr>
        <w:tabs>
          <w:tab w:val="left" w:pos="712"/>
          <w:tab w:val="left" w:pos="713"/>
        </w:tabs>
        <w:spacing w:before="38"/>
        <w:ind w:hanging="553"/>
      </w:pPr>
      <w:r>
        <w:t xml:space="preserve">tiloryth.ti,ab. </w:t>
      </w:r>
      <w:r>
        <w:t xml:space="preserve">(0)</w:t>
      </w:r>
    </w:p>
    <w:p>
      <w:pPr>
        <w:pStyle w:val="Paragraphedeliste"/>
        <w:numPr>
          <w:ilvl w:val="0"/>
          <w:numId w:val="73"/>
        </w:numPr>
        <w:tabs>
          <w:tab w:val="left" w:pos="712"/>
          <w:tab w:val="left" w:pos="713"/>
        </w:tabs>
        <w:ind w:hanging="553"/>
      </w:pPr>
      <w:r>
        <w:t xml:space="preserve">histrelin/ </w:t>
      </w:r>
      <w:r>
        <w:t xml:space="preserve">(446)</w:t>
      </w:r>
    </w:p>
    <w:p>
      <w:pPr>
        <w:pStyle w:val="Paragraphedeliste"/>
        <w:numPr>
          <w:ilvl w:val="0"/>
          <w:numId w:val="73"/>
        </w:numPr>
        <w:tabs>
          <w:tab w:val="left" w:pos="712"/>
          <w:tab w:val="left" w:pos="713"/>
        </w:tabs>
        <w:ind w:hanging="553"/>
      </w:pPr>
      <w:r>
        <w:t xml:space="preserve">histrelin.ti,ab. </w:t>
      </w:r>
      <w:r>
        <w:t xml:space="preserve">(107)</w:t>
      </w:r>
    </w:p>
    <w:p>
      <w:pPr>
        <w:pStyle w:val="Paragraphedeliste"/>
        <w:numPr>
          <w:ilvl w:val="0"/>
          <w:numId w:val="73"/>
        </w:numPr>
        <w:tabs>
          <w:tab w:val="left" w:pos="712"/>
          <w:tab w:val="left" w:pos="713"/>
        </w:tabs>
        <w:spacing w:before="41" w:line="276" w:lineRule="auto"/>
        <w:ind w:start="160" w:end="5621" w:firstLine="0"/>
      </w:pPr>
      <w:r>
        <w:t xml:space="preserve">"Implant de LHRH-hydrogel".ti,ab. (1) </w:t>
      </w:r>
      <w:r>
        <w:t xml:space="preserve">66</w:t>
      </w:r>
      <w:r>
        <w:tab/>
        <w:t xml:space="preserve">("RL 0903" ou RL0903).ti,ab. (1) </w:t>
      </w:r>
      <w:r>
        <w:t xml:space="preserve">67</w:t>
      </w:r>
      <w:r>
        <w:tab/>
      </w:r>
      <w:r>
        <w:t xml:space="preserve">("SPD </w:t>
      </w:r>
      <w:r>
        <w:t xml:space="preserve">424" </w:t>
      </w:r>
      <w:r>
        <w:t xml:space="preserve">ou </w:t>
      </w:r>
      <w:r>
        <w:t xml:space="preserve">SPD424).ti,ab. </w:t>
      </w:r>
      <w:r>
        <w:t xml:space="preserve">(1)</w:t>
      </w:r>
    </w:p>
    <w:p>
      <w:pPr>
        <w:pStyle w:val="Paragraphedeliste"/>
        <w:numPr>
          <w:ilvl w:val="0"/>
          <w:numId w:val="72"/>
        </w:numPr>
        <w:tabs>
          <w:tab w:val="left" w:pos="712"/>
          <w:tab w:val="left" w:pos="713"/>
        </w:tabs>
        <w:spacing w:before="0" w:line="251" w:lineRule="exact"/>
        <w:ind w:hanging="553"/>
      </w:pPr>
      <w:r>
        <w:t xml:space="preserve">goséréline.ti,ab. </w:t>
      </w:r>
      <w:r>
        <w:t xml:space="preserve">(1487)</w:t>
      </w:r>
    </w:p>
    <w:p>
      <w:pPr>
        <w:pStyle w:val="Paragraphedeliste"/>
        <w:numPr>
          <w:ilvl w:val="0"/>
          <w:numId w:val="72"/>
        </w:numPr>
        <w:tabs>
          <w:tab w:val="left" w:pos="712"/>
          <w:tab w:val="left" w:pos="713"/>
        </w:tabs>
        <w:spacing w:before="40"/>
        <w:ind w:hanging="553"/>
      </w:pPr>
      <w:r>
        <w:t xml:space="preserve">Goséréline/ </w:t>
      </w:r>
      <w:r>
        <w:t xml:space="preserve">(7128)</w:t>
      </w:r>
    </w:p>
    <w:p>
      <w:pPr>
        <w:pStyle w:val="Corpsdetexte"/>
        <w:tabs>
          <w:tab w:val="left" w:pos="712"/>
        </w:tabs>
      </w:pPr>
      <w:r>
        <w:t xml:space="preserve">70</w:t>
      </w:r>
      <w:r>
        <w:tab/>
        <w:t xml:space="preserve">("ici </w:t>
      </w:r>
      <w:r>
        <w:t xml:space="preserve">118630" </w:t>
      </w:r>
      <w:r>
        <w:t xml:space="preserve">ou </w:t>
      </w:r>
      <w:r>
        <w:t xml:space="preserve">ici118630).ti,ab. </w:t>
      </w:r>
      <w:r>
        <w:t xml:space="preserve">(49)</w:t>
      </w:r>
    </w:p>
    <w:p>
      <w:pPr>
        <w:pStyle w:val="Corpsdetexte"/>
        <w:tabs>
          <w:tab w:val="left" w:pos="712"/>
        </w:tabs>
      </w:pPr>
      <w:r>
        <w:t xml:space="preserve">71</w:t>
      </w:r>
      <w:r>
        <w:tab/>
        <w:t xml:space="preserve">("ZD-9393" </w:t>
      </w:r>
      <w:r>
        <w:t xml:space="preserve">ou </w:t>
      </w:r>
      <w:r>
        <w:t xml:space="preserve">ZD9393).ti,ab. </w:t>
      </w:r>
      <w:r>
        <w:t xml:space="preserve">(0)</w:t>
      </w:r>
    </w:p>
    <w:p w:rsidR="00432386" w:rsidRDefault="00432386">
      <w:pPr>
        <w:sectPr w:rsidR="00432386">
          <w:pgSz w:w="11910" w:h="16840"/>
          <w:pgMar w:top="1180" w:right="980" w:bottom="1460" w:left="1280" w:header="0" w:footer="1183" w:gutter="0"/>
          <w:cols w:space="720"/>
        </w:sectPr>
      </w:pPr>
    </w:p>
    <w:p>
      <w:pPr>
        <w:pStyle w:val="Paragraphedeliste"/>
        <w:numPr>
          <w:ilvl w:val="0"/>
          <w:numId w:val="71"/>
        </w:numPr>
        <w:tabs>
          <w:tab w:val="left" w:pos="712"/>
          <w:tab w:val="left" w:pos="713"/>
        </w:tabs>
        <w:spacing w:before="78"/>
        <w:ind w:hanging="553"/>
      </w:pPr>
      <w:r>
        <w:lastRenderedPageBreak/>
        <w:t xml:space="preserve">zoladex.ti,ab. </w:t>
      </w:r>
      <w:r>
        <w:t xml:space="preserve">(501)</w:t>
      </w:r>
    </w:p>
    <w:p>
      <w:pPr>
        <w:pStyle w:val="Paragraphedeliste"/>
        <w:numPr>
          <w:ilvl w:val="0"/>
          <w:numId w:val="71"/>
        </w:numPr>
        <w:tabs>
          <w:tab w:val="left" w:pos="712"/>
          <w:tab w:val="left" w:pos="713"/>
        </w:tabs>
        <w:spacing w:before="38"/>
        <w:ind w:hanging="553"/>
      </w:pPr>
      <w:r>
        <w:t xml:space="preserve">leuprorelin/ </w:t>
      </w:r>
      <w:r>
        <w:t xml:space="preserve">(11312)</w:t>
      </w:r>
    </w:p>
    <w:p>
      <w:pPr>
        <w:pStyle w:val="Paragraphedeliste"/>
        <w:numPr>
          <w:ilvl w:val="0"/>
          <w:numId w:val="71"/>
        </w:numPr>
        <w:tabs>
          <w:tab w:val="left" w:pos="712"/>
          <w:tab w:val="left" w:pos="713"/>
        </w:tabs>
        <w:ind w:hanging="553"/>
      </w:pPr>
      <w:r>
        <w:t xml:space="preserve">leuprorelin.ti,ab. </w:t>
      </w:r>
      <w:r>
        <w:t xml:space="preserve">(727)</w:t>
      </w:r>
    </w:p>
    <w:p>
      <w:pPr>
        <w:pStyle w:val="Paragraphedeliste"/>
        <w:numPr>
          <w:ilvl w:val="0"/>
          <w:numId w:val="71"/>
        </w:numPr>
        <w:tabs>
          <w:tab w:val="left" w:pos="712"/>
          <w:tab w:val="left" w:pos="713"/>
        </w:tabs>
        <w:spacing w:before="38"/>
        <w:ind w:hanging="553"/>
      </w:pPr>
      <w:r>
        <w:t xml:space="preserve">carcinil.ti,ab. </w:t>
      </w:r>
      <w:r>
        <w:t xml:space="preserve">(0)</w:t>
      </w:r>
    </w:p>
    <w:p>
      <w:pPr>
        <w:pStyle w:val="Paragraphedeliste"/>
        <w:numPr>
          <w:ilvl w:val="0"/>
          <w:numId w:val="71"/>
        </w:numPr>
        <w:tabs>
          <w:tab w:val="left" w:pos="712"/>
          <w:tab w:val="left" w:pos="713"/>
        </w:tabs>
        <w:spacing w:before="40"/>
        <w:ind w:hanging="553"/>
      </w:pPr>
      <w:r>
        <w:t xml:space="preserve">enanton*.ti,ab. </w:t>
      </w:r>
      <w:r>
        <w:t xml:space="preserve">(38)</w:t>
      </w:r>
    </w:p>
    <w:p>
      <w:pPr>
        <w:pStyle w:val="Paragraphedeliste"/>
        <w:numPr>
          <w:ilvl w:val="0"/>
          <w:numId w:val="71"/>
        </w:numPr>
        <w:tabs>
          <w:tab w:val="left" w:pos="712"/>
          <w:tab w:val="left" w:pos="713"/>
        </w:tabs>
        <w:ind w:hanging="553"/>
      </w:pPr>
      <w:r>
        <w:t xml:space="preserve">ginecrin.ti,ab. </w:t>
      </w:r>
      <w:r>
        <w:t xml:space="preserve">(1)</w:t>
      </w:r>
    </w:p>
    <w:p>
      <w:pPr>
        <w:pStyle w:val="Paragraphedeliste"/>
        <w:numPr>
          <w:ilvl w:val="0"/>
          <w:numId w:val="71"/>
        </w:numPr>
        <w:tabs>
          <w:tab w:val="left" w:pos="712"/>
          <w:tab w:val="left" w:pos="713"/>
        </w:tabs>
        <w:ind w:hanging="553"/>
      </w:pPr>
      <w:r>
        <w:t xml:space="preserve">leuplin.ti,ab. </w:t>
      </w:r>
      <w:r>
        <w:t xml:space="preserve">(26)</w:t>
      </w:r>
    </w:p>
    <w:p>
      <w:pPr>
        <w:pStyle w:val="Paragraphedeliste"/>
        <w:numPr>
          <w:ilvl w:val="0"/>
          <w:numId w:val="71"/>
        </w:numPr>
        <w:tabs>
          <w:tab w:val="left" w:pos="712"/>
          <w:tab w:val="left" w:pos="713"/>
        </w:tabs>
        <w:spacing w:before="38"/>
        <w:ind w:hanging="553"/>
      </w:pPr>
      <w:r>
        <w:t xml:space="preserve">leuprolide.ti,ab. </w:t>
      </w:r>
      <w:r>
        <w:t xml:space="preserve">(2788)</w:t>
      </w:r>
    </w:p>
    <w:p>
      <w:pPr>
        <w:pStyle w:val="Paragraphedeliste"/>
        <w:numPr>
          <w:ilvl w:val="0"/>
          <w:numId w:val="71"/>
        </w:numPr>
        <w:tabs>
          <w:tab w:val="left" w:pos="712"/>
          <w:tab w:val="left" w:pos="713"/>
        </w:tabs>
        <w:ind w:hanging="553"/>
      </w:pPr>
      <w:r>
        <w:t xml:space="preserve">lucrin.ti,ab. </w:t>
      </w:r>
      <w:r>
        <w:t xml:space="preserve">(47)</w:t>
      </w:r>
    </w:p>
    <w:p>
      <w:pPr>
        <w:pStyle w:val="Paragraphedeliste"/>
        <w:numPr>
          <w:ilvl w:val="0"/>
          <w:numId w:val="71"/>
        </w:numPr>
        <w:tabs>
          <w:tab w:val="left" w:pos="712"/>
          <w:tab w:val="left" w:pos="713"/>
        </w:tabs>
        <w:spacing w:before="40"/>
        <w:ind w:hanging="553"/>
      </w:pPr>
      <w:r>
        <w:t xml:space="preserve">lupron.ti,ab. </w:t>
      </w:r>
      <w:r>
        <w:t xml:space="preserve">(361)</w:t>
      </w:r>
    </w:p>
    <w:p>
      <w:pPr>
        <w:pStyle w:val="Paragraphedeliste"/>
        <w:numPr>
          <w:ilvl w:val="0"/>
          <w:numId w:val="71"/>
        </w:numPr>
        <w:tabs>
          <w:tab w:val="left" w:pos="712"/>
          <w:tab w:val="left" w:pos="713"/>
        </w:tabs>
        <w:spacing w:before="38"/>
        <w:ind w:hanging="553"/>
      </w:pPr>
      <w:r>
        <w:t xml:space="preserve">provren.ti,ab. </w:t>
      </w:r>
      <w:r>
        <w:t xml:space="preserve">(0)</w:t>
      </w:r>
    </w:p>
    <w:p>
      <w:pPr>
        <w:pStyle w:val="Paragraphedeliste"/>
        <w:numPr>
          <w:ilvl w:val="0"/>
          <w:numId w:val="71"/>
        </w:numPr>
        <w:tabs>
          <w:tab w:val="left" w:pos="712"/>
          <w:tab w:val="left" w:pos="713"/>
        </w:tabs>
        <w:ind w:hanging="553"/>
      </w:pPr>
      <w:r>
        <w:t xml:space="preserve">procrine.ti,ab. </w:t>
      </w:r>
      <w:r>
        <w:t xml:space="preserve">(11)</w:t>
      </w:r>
    </w:p>
    <w:p>
      <w:pPr>
        <w:pStyle w:val="Corpsdetexte"/>
        <w:tabs>
          <w:tab w:val="left" w:pos="712"/>
        </w:tabs>
      </w:pPr>
      <w:r>
        <w:t xml:space="preserve">84</w:t>
      </w:r>
      <w:r>
        <w:tab/>
        <w:t xml:space="preserve">("tap </w:t>
      </w:r>
      <w:r>
        <w:t xml:space="preserve">144" </w:t>
      </w:r>
      <w:r>
        <w:t xml:space="preserve">ou </w:t>
      </w:r>
      <w:r>
        <w:t xml:space="preserve">tap144).ti,ab. </w:t>
      </w:r>
      <w:r>
        <w:t xml:space="preserve">(63)</w:t>
      </w:r>
    </w:p>
    <w:p>
      <w:pPr>
        <w:pStyle w:val="Corpsdetexte"/>
        <w:tabs>
          <w:tab w:val="left" w:pos="712"/>
        </w:tabs>
        <w:spacing w:before="40"/>
      </w:pPr>
      <w:r>
        <w:t xml:space="preserve">85</w:t>
      </w:r>
      <w:r>
        <w:tab/>
        <w:t xml:space="preserve">(a-43818 </w:t>
      </w:r>
      <w:r>
        <w:t xml:space="preserve">ou </w:t>
      </w:r>
      <w:r>
        <w:t xml:space="preserve">a43818).ti,ab. </w:t>
      </w:r>
      <w:r>
        <w:t xml:space="preserve">(3)</w:t>
      </w:r>
    </w:p>
    <w:p>
      <w:pPr>
        <w:pStyle w:val="Paragraphedeliste"/>
        <w:numPr>
          <w:ilvl w:val="0"/>
          <w:numId w:val="70"/>
        </w:numPr>
        <w:tabs>
          <w:tab w:val="left" w:pos="712"/>
          <w:tab w:val="left" w:pos="713"/>
        </w:tabs>
        <w:spacing w:before="38"/>
        <w:ind w:hanging="553"/>
      </w:pPr>
      <w:r>
        <w:t xml:space="preserve">Trenantone.ti,ab. </w:t>
      </w:r>
      <w:r>
        <w:t xml:space="preserve">(7)</w:t>
      </w:r>
    </w:p>
    <w:p>
      <w:pPr>
        <w:pStyle w:val="Paragraphedeliste"/>
        <w:numPr>
          <w:ilvl w:val="0"/>
          <w:numId w:val="70"/>
        </w:numPr>
        <w:tabs>
          <w:tab w:val="left" w:pos="712"/>
          <w:tab w:val="left" w:pos="713"/>
        </w:tabs>
        <w:spacing w:before="38"/>
        <w:ind w:hanging="553"/>
      </w:pPr>
      <w:r>
        <w:t xml:space="preserve">staladex.ti,ab. </w:t>
      </w:r>
      <w:r>
        <w:t xml:space="preserve">(0)</w:t>
      </w:r>
    </w:p>
    <w:p>
      <w:pPr>
        <w:pStyle w:val="Paragraphedeliste"/>
        <w:numPr>
          <w:ilvl w:val="0"/>
          <w:numId w:val="70"/>
        </w:numPr>
        <w:tabs>
          <w:tab w:val="left" w:pos="712"/>
          <w:tab w:val="left" w:pos="713"/>
        </w:tabs>
        <w:ind w:hanging="553"/>
      </w:pPr>
      <w:r>
        <w:t xml:space="preserve">prostap.ti,ab. </w:t>
      </w:r>
      <w:r>
        <w:t xml:space="preserve">(11)</w:t>
      </w:r>
    </w:p>
    <w:p>
      <w:pPr>
        <w:pStyle w:val="Paragraphedeliste"/>
        <w:numPr>
          <w:ilvl w:val="0"/>
          <w:numId w:val="70"/>
        </w:numPr>
        <w:tabs>
          <w:tab w:val="left" w:pos="712"/>
          <w:tab w:val="left" w:pos="713"/>
        </w:tabs>
        <w:spacing w:before="38"/>
        <w:ind w:hanging="553"/>
      </w:pPr>
      <w:r>
        <w:t xml:space="preserve">acétate de nafaréline/ </w:t>
      </w:r>
      <w:r>
        <w:t xml:space="preserve">ou </w:t>
      </w:r>
      <w:r>
        <w:t xml:space="preserve">nafaréline/ </w:t>
      </w:r>
      <w:r>
        <w:t xml:space="preserve">(1441)</w:t>
      </w:r>
    </w:p>
    <w:p>
      <w:pPr>
        <w:pStyle w:val="Paragraphedeliste"/>
        <w:numPr>
          <w:ilvl w:val="0"/>
          <w:numId w:val="70"/>
        </w:numPr>
        <w:tabs>
          <w:tab w:val="left" w:pos="712"/>
          <w:tab w:val="left" w:pos="713"/>
        </w:tabs>
        <w:spacing w:before="39"/>
        <w:ind w:hanging="553"/>
      </w:pPr>
      <w:r>
        <w:t xml:space="preserve">nafarelin.ti,ab. </w:t>
      </w:r>
      <w:r>
        <w:t xml:space="preserve">(324)</w:t>
      </w:r>
    </w:p>
    <w:p>
      <w:pPr>
        <w:pStyle w:val="Corpsdetexte"/>
        <w:tabs>
          <w:tab w:val="left" w:pos="712"/>
        </w:tabs>
        <w:spacing w:before="38"/>
      </w:pPr>
      <w:r>
        <w:t xml:space="preserve">91</w:t>
      </w:r>
      <w:r>
        <w:tab/>
        <w:t xml:space="preserve">("76932-56-4" </w:t>
      </w:r>
      <w:r>
        <w:t xml:space="preserve">ou </w:t>
      </w:r>
      <w:r>
        <w:t xml:space="preserve">"76932564").ti,ab. </w:t>
      </w:r>
      <w:r>
        <w:t xml:space="preserve">(0)</w:t>
      </w:r>
    </w:p>
    <w:p>
      <w:pPr>
        <w:pStyle w:val="Corpsdetexte"/>
        <w:tabs>
          <w:tab w:val="left" w:pos="712"/>
        </w:tabs>
      </w:pPr>
      <w:r>
        <w:t xml:space="preserve">92</w:t>
      </w:r>
      <w:r>
        <w:tab/>
        <w:t xml:space="preserve">("76932-60-0" </w:t>
      </w:r>
      <w:r>
        <w:t xml:space="preserve">ou </w:t>
      </w:r>
      <w:r>
        <w:t xml:space="preserve">"76932600").ti,ab. </w:t>
      </w:r>
      <w:r>
        <w:t xml:space="preserve">(0)</w:t>
      </w:r>
    </w:p>
    <w:p>
      <w:pPr>
        <w:pStyle w:val="Corpsdetexte"/>
        <w:tabs>
          <w:tab w:val="left" w:pos="712"/>
        </w:tabs>
        <w:spacing w:before="38"/>
      </w:pPr>
      <w:r>
        <w:t xml:space="preserve">93</w:t>
      </w:r>
      <w:r>
        <w:tab/>
        <w:t xml:space="preserve">("86220-42-0" </w:t>
      </w:r>
      <w:r>
        <w:t xml:space="preserve">ou </w:t>
      </w:r>
      <w:r>
        <w:t xml:space="preserve">"86220420").ti,ab. </w:t>
      </w:r>
      <w:r>
        <w:t xml:space="preserve">(0)</w:t>
      </w:r>
    </w:p>
    <w:p>
      <w:pPr>
        <w:pStyle w:val="Corpsdetexte"/>
        <w:tabs>
          <w:tab w:val="left" w:pos="712"/>
        </w:tabs>
        <w:spacing w:before="39"/>
      </w:pPr>
      <w:r>
        <w:t xml:space="preserve">94</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69"/>
        </w:numPr>
        <w:tabs>
          <w:tab w:val="left" w:pos="712"/>
          <w:tab w:val="left" w:pos="713"/>
        </w:tabs>
        <w:spacing w:before="38"/>
        <w:ind w:hanging="553"/>
      </w:pPr>
      <w:r>
        <w:t xml:space="preserve">synarel.ti,ab. </w:t>
      </w:r>
      <w:r>
        <w:t xml:space="preserve">(28)</w:t>
      </w:r>
    </w:p>
    <w:p>
      <w:pPr>
        <w:pStyle w:val="Paragraphedeliste"/>
        <w:numPr>
          <w:ilvl w:val="0"/>
          <w:numId w:val="69"/>
        </w:numPr>
        <w:tabs>
          <w:tab w:val="left" w:pos="712"/>
          <w:tab w:val="left" w:pos="713"/>
        </w:tabs>
        <w:ind w:hanging="553"/>
      </w:pPr>
      <w:r>
        <w:t xml:space="preserve">desloréline/ </w:t>
      </w:r>
      <w:r>
        <w:t xml:space="preserve">(452)</w:t>
      </w:r>
    </w:p>
    <w:p>
      <w:pPr>
        <w:pStyle w:val="Paragraphedeliste"/>
        <w:numPr>
          <w:ilvl w:val="0"/>
          <w:numId w:val="69"/>
        </w:numPr>
        <w:tabs>
          <w:tab w:val="left" w:pos="712"/>
          <w:tab w:val="left" w:pos="713"/>
        </w:tabs>
        <w:spacing w:before="38"/>
        <w:ind w:hanging="553"/>
      </w:pPr>
      <w:r>
        <w:t xml:space="preserve">deslorelin.ti,ab. </w:t>
      </w:r>
      <w:r>
        <w:t xml:space="preserve">(324)</w:t>
      </w:r>
    </w:p>
    <w:p>
      <w:pPr>
        <w:pStyle w:val="Paragraphedeliste"/>
        <w:numPr>
          <w:ilvl w:val="0"/>
          <w:numId w:val="69"/>
        </w:numPr>
        <w:tabs>
          <w:tab w:val="left" w:pos="712"/>
          <w:tab w:val="left" w:pos="713"/>
        </w:tabs>
        <w:ind w:hanging="553"/>
      </w:pPr>
      <w:r>
        <w:t xml:space="preserve">gonadorelin.ti,ab. </w:t>
      </w:r>
      <w:r>
        <w:t xml:space="preserve">(338)</w:t>
      </w:r>
    </w:p>
    <w:p>
      <w:pPr>
        <w:pStyle w:val="Corpsdetexte"/>
        <w:tabs>
          <w:tab w:val="left" w:pos="712"/>
        </w:tabs>
        <w:spacing w:before="40"/>
      </w:pPr>
      <w:r>
        <w:t xml:space="preserve">99</w:t>
      </w:r>
      <w:r>
        <w:tab/>
        <w:t xml:space="preserve">("33515-09-2" </w:t>
      </w:r>
      <w:r>
        <w:t xml:space="preserve">ou </w:t>
      </w:r>
      <w:r>
        <w:t xml:space="preserve">"33515092").ti,ab. </w:t>
      </w:r>
      <w:r>
        <w:t xml:space="preserve">(0)</w:t>
      </w:r>
    </w:p>
    <w:p>
      <w:pPr>
        <w:pStyle w:val="Corpsdetexte"/>
        <w:tabs>
          <w:tab w:val="left" w:pos="834"/>
        </w:tabs>
        <w:spacing w:before="38"/>
      </w:pPr>
      <w:r>
        <w:t xml:space="preserve">100</w:t>
      </w:r>
      <w:r>
        <w:tab/>
        <w:t xml:space="preserve">("51952-41-1" </w:t>
      </w:r>
      <w:r>
        <w:t xml:space="preserve">ou </w:t>
      </w:r>
      <w:r>
        <w:t xml:space="preserve">"51952411").ti,ab. </w:t>
      </w:r>
      <w:r>
        <w:t xml:space="preserve">(0)</w:t>
      </w:r>
    </w:p>
    <w:p>
      <w:pPr>
        <w:pStyle w:val="Corpsdetexte"/>
        <w:tabs>
          <w:tab w:val="left" w:pos="834"/>
        </w:tabs>
      </w:pPr>
      <w:r>
        <w:t xml:space="preserve">101</w:t>
      </w:r>
      <w:r>
        <w:tab/>
        <w:t xml:space="preserve">("52699-48-6" </w:t>
      </w:r>
      <w:r>
        <w:t xml:space="preserve">ou </w:t>
      </w:r>
      <w:r>
        <w:t xml:space="preserve">"52699486").ti,ab. </w:t>
      </w:r>
      <w:r>
        <w:t xml:space="preserve">(0)</w:t>
      </w:r>
    </w:p>
    <w:p>
      <w:pPr>
        <w:pStyle w:val="Paragraphedeliste"/>
        <w:numPr>
          <w:ilvl w:val="0"/>
          <w:numId w:val="68"/>
        </w:numPr>
        <w:tabs>
          <w:tab w:val="left" w:pos="834"/>
          <w:tab w:val="left" w:pos="835"/>
        </w:tabs>
        <w:spacing w:before="38"/>
      </w:pPr>
      <w:r>
        <w:t xml:space="preserve">cetrorelix/ </w:t>
      </w:r>
      <w:r>
        <w:t xml:space="preserve">(2278)</w:t>
      </w:r>
    </w:p>
    <w:p>
      <w:pPr>
        <w:pStyle w:val="Paragraphedeliste"/>
        <w:numPr>
          <w:ilvl w:val="0"/>
          <w:numId w:val="68"/>
        </w:numPr>
        <w:tabs>
          <w:tab w:val="left" w:pos="834"/>
          <w:tab w:val="left" w:pos="835"/>
        </w:tabs>
      </w:pPr>
      <w:r>
        <w:t xml:space="preserve">cetrorelix.ti,ab. </w:t>
      </w:r>
      <w:r>
        <w:t xml:space="preserve">(717)</w:t>
      </w:r>
    </w:p>
    <w:p>
      <w:pPr>
        <w:pStyle w:val="Paragraphedeliste"/>
        <w:numPr>
          <w:ilvl w:val="0"/>
          <w:numId w:val="68"/>
        </w:numPr>
        <w:tabs>
          <w:tab w:val="left" w:pos="834"/>
          <w:tab w:val="left" w:pos="835"/>
        </w:tabs>
        <w:spacing w:before="40"/>
      </w:pPr>
      <w:r>
        <w:t xml:space="preserve">cetrotide.ti,ab. </w:t>
      </w:r>
      <w:r>
        <w:t xml:space="preserve">(113)</w:t>
      </w:r>
    </w:p>
    <w:p>
      <w:pPr>
        <w:pStyle w:val="Corpsdetexte"/>
        <w:tabs>
          <w:tab w:val="left" w:pos="834"/>
        </w:tabs>
      </w:pPr>
      <w:r>
        <w:t xml:space="preserve">105</w:t>
      </w:r>
      <w:r>
        <w:tab/>
        <w:t xml:space="preserve">("NS </w:t>
      </w:r>
      <w:r>
        <w:t xml:space="preserve">75A" </w:t>
      </w:r>
      <w:r>
        <w:t xml:space="preserve">ou </w:t>
      </w:r>
      <w:r>
        <w:t xml:space="preserve">NS75A).ti,ab. </w:t>
      </w:r>
      <w:r>
        <w:t xml:space="preserve">(0)</w:t>
      </w:r>
    </w:p>
    <w:p>
      <w:pPr>
        <w:pStyle w:val="Corpsdetexte"/>
        <w:tabs>
          <w:tab w:val="left" w:pos="834"/>
        </w:tabs>
        <w:spacing w:before="38"/>
      </w:pPr>
      <w:r>
        <w:t xml:space="preserve">106</w:t>
      </w:r>
      <w:r>
        <w:tab/>
        <w:t xml:space="preserve">("NS </w:t>
      </w:r>
      <w:r>
        <w:t xml:space="preserve">75B" </w:t>
      </w:r>
      <w:r>
        <w:t xml:space="preserve">ou </w:t>
      </w:r>
      <w:r>
        <w:t xml:space="preserve">NS75B).ti,ab. </w:t>
      </w:r>
      <w:r>
        <w:t xml:space="preserve">(0)</w:t>
      </w:r>
    </w:p>
    <w:p>
      <w:pPr>
        <w:pStyle w:val="Corpsdetexte"/>
        <w:tabs>
          <w:tab w:val="left" w:pos="834"/>
        </w:tabs>
      </w:pPr>
      <w:r>
        <w:t xml:space="preserve">107</w:t>
      </w:r>
      <w:r>
        <w:tab/>
        <w:t xml:space="preserve">("SB </w:t>
      </w:r>
      <w:r>
        <w:t xml:space="preserve">075" </w:t>
      </w:r>
      <w:r>
        <w:t xml:space="preserve">ou </w:t>
      </w:r>
      <w:r>
        <w:t xml:space="preserve">SB075).ti,ab. </w:t>
      </w:r>
      <w:r>
        <w:t xml:space="preserve">(1)</w:t>
      </w:r>
    </w:p>
    <w:p>
      <w:pPr>
        <w:pStyle w:val="Corpsdetexte"/>
        <w:tabs>
          <w:tab w:val="left" w:pos="834"/>
        </w:tabs>
        <w:spacing w:before="40"/>
      </w:pPr>
      <w:r>
        <w:t xml:space="preserve">108</w:t>
      </w:r>
      <w:r>
        <w:tab/>
        <w:t xml:space="preserve">("SB </w:t>
      </w:r>
      <w:r>
        <w:t xml:space="preserve">75" </w:t>
      </w:r>
      <w:r>
        <w:t xml:space="preserve">ou </w:t>
      </w:r>
      <w:r>
        <w:t xml:space="preserve">SB75).ti,ab. </w:t>
      </w:r>
      <w:r>
        <w:t xml:space="preserve">(76)</w:t>
      </w:r>
    </w:p>
    <w:p>
      <w:pPr>
        <w:pStyle w:val="Paragraphedeliste"/>
        <w:numPr>
          <w:ilvl w:val="0"/>
          <w:numId w:val="67"/>
        </w:numPr>
        <w:tabs>
          <w:tab w:val="left" w:pos="834"/>
          <w:tab w:val="left" w:pos="835"/>
        </w:tabs>
      </w:pPr>
      <w:r>
        <w:t xml:space="preserve">gonadoliberin.ti,ab. </w:t>
      </w:r>
      <w:r>
        <w:t xml:space="preserve">(152)</w:t>
      </w:r>
    </w:p>
    <w:p>
      <w:pPr>
        <w:pStyle w:val="Paragraphedeliste"/>
        <w:numPr>
          <w:ilvl w:val="0"/>
          <w:numId w:val="67"/>
        </w:numPr>
        <w:tabs>
          <w:tab w:val="left" w:pos="834"/>
          <w:tab w:val="left" w:pos="835"/>
        </w:tabs>
        <w:spacing w:before="38"/>
      </w:pPr>
      <w:r>
        <w:t xml:space="preserve">kryptocur.ti,ab. </w:t>
      </w:r>
      <w:r>
        <w:t xml:space="preserve">(6)</w:t>
      </w:r>
    </w:p>
    <w:p>
      <w:pPr>
        <w:pStyle w:val="Paragraphedeliste"/>
        <w:numPr>
          <w:ilvl w:val="0"/>
          <w:numId w:val="67"/>
        </w:numPr>
        <w:tabs>
          <w:tab w:val="left" w:pos="834"/>
          <w:tab w:val="left" w:pos="835"/>
        </w:tabs>
      </w:pPr>
      <w:r>
        <w:t xml:space="preserve">cetrorelix.ti,ab. </w:t>
      </w:r>
      <w:r>
        <w:t xml:space="preserve">(717)</w:t>
      </w:r>
    </w:p>
    <w:p>
      <w:pPr>
        <w:pStyle w:val="Paragraphedeliste"/>
        <w:numPr>
          <w:ilvl w:val="0"/>
          <w:numId w:val="67"/>
        </w:numPr>
        <w:tabs>
          <w:tab w:val="left" w:pos="834"/>
          <w:tab w:val="left" w:pos="835"/>
        </w:tabs>
        <w:spacing w:before="38"/>
      </w:pPr>
      <w:r>
        <w:t xml:space="preserve">cetrotide.ti,ab. </w:t>
      </w:r>
      <w:r>
        <w:t xml:space="preserve">(113)</w:t>
      </w:r>
    </w:p>
    <w:p>
      <w:pPr>
        <w:pStyle w:val="Paragraphedeliste"/>
        <w:numPr>
          <w:ilvl w:val="0"/>
          <w:numId w:val="67"/>
        </w:numPr>
        <w:tabs>
          <w:tab w:val="left" w:pos="834"/>
          <w:tab w:val="left" w:pos="835"/>
        </w:tabs>
        <w:spacing w:before="40"/>
      </w:pPr>
      <w:r>
        <w:t xml:space="preserve">antagoniste.ti,ab. </w:t>
      </w:r>
      <w:r>
        <w:t xml:space="preserve">(32)</w:t>
      </w:r>
    </w:p>
    <w:p>
      <w:pPr>
        <w:pStyle w:val="Paragraphedeliste"/>
        <w:numPr>
          <w:ilvl w:val="0"/>
          <w:numId w:val="67"/>
        </w:numPr>
        <w:tabs>
          <w:tab w:val="left" w:pos="834"/>
          <w:tab w:val="left" w:pos="835"/>
        </w:tabs>
      </w:pPr>
      <w:r>
        <w:t xml:space="preserve">ganirelix/ </w:t>
      </w:r>
      <w:r>
        <w:t xml:space="preserve">(1284)</w:t>
      </w:r>
    </w:p>
    <w:p>
      <w:pPr>
        <w:pStyle w:val="Paragraphedeliste"/>
        <w:numPr>
          <w:ilvl w:val="0"/>
          <w:numId w:val="67"/>
        </w:numPr>
        <w:tabs>
          <w:tab w:val="left" w:pos="834"/>
          <w:tab w:val="left" w:pos="835"/>
        </w:tabs>
        <w:spacing w:before="38"/>
      </w:pPr>
      <w:r>
        <w:t xml:space="preserve">ganirelix.ti,ab. </w:t>
      </w:r>
      <w:r>
        <w:t xml:space="preserve">(293)</w:t>
      </w:r>
    </w:p>
    <w:p>
      <w:pPr>
        <w:pStyle w:val="Corpsdetexte"/>
        <w:tabs>
          <w:tab w:val="left" w:pos="834"/>
        </w:tabs>
      </w:pPr>
      <w:r>
        <w:t xml:space="preserve">116</w:t>
      </w:r>
      <w:r>
        <w:tab/>
        <w:t xml:space="preserve">("ORG </w:t>
      </w:r>
      <w:r>
        <w:t xml:space="preserve">37462" </w:t>
      </w:r>
      <w:r>
        <w:t xml:space="preserve">ou </w:t>
      </w:r>
      <w:r>
        <w:t xml:space="preserve">ORG37462).ti,ab. </w:t>
      </w:r>
      <w:r>
        <w:t xml:space="preserve">(4)</w:t>
      </w:r>
    </w:p>
    <w:p>
      <w:pPr>
        <w:pStyle w:val="Paragraphedeliste"/>
        <w:numPr>
          <w:ilvl w:val="0"/>
          <w:numId w:val="66"/>
        </w:numPr>
        <w:tabs>
          <w:tab w:val="left" w:pos="834"/>
          <w:tab w:val="left" w:pos="835"/>
        </w:tabs>
        <w:spacing w:before="40"/>
      </w:pPr>
      <w:r>
        <w:t xml:space="preserve">orgalutran/ </w:t>
      </w:r>
      <w:r>
        <w:t xml:space="preserve">(1284)</w:t>
      </w:r>
    </w:p>
    <w:p>
      <w:pPr>
        <w:pStyle w:val="Paragraphedeliste"/>
        <w:numPr>
          <w:ilvl w:val="0"/>
          <w:numId w:val="66"/>
        </w:numPr>
        <w:tabs>
          <w:tab w:val="left" w:pos="834"/>
          <w:tab w:val="left" w:pos="835"/>
        </w:tabs>
      </w:pPr>
      <w:r>
        <w:t xml:space="preserve">orgalutran.ti,ab. </w:t>
      </w:r>
      <w:r>
        <w:t xml:space="preserve">(68)</w:t>
      </w:r>
    </w:p>
    <w:p>
      <w:pPr>
        <w:pStyle w:val="Corpsdetexte"/>
        <w:tabs>
          <w:tab w:val="left" w:pos="834"/>
        </w:tabs>
        <w:spacing w:before="38"/>
      </w:pPr>
      <w:r>
        <w:t xml:space="preserve">119</w:t>
      </w:r>
      <w:r>
        <w:tab/>
        <w:t xml:space="preserve">("RS </w:t>
      </w:r>
      <w:r>
        <w:t xml:space="preserve">26306" </w:t>
      </w:r>
      <w:r>
        <w:t xml:space="preserve">ou </w:t>
      </w:r>
      <w:r>
        <w:t xml:space="preserve">RS26306).ti,ab. </w:t>
      </w:r>
      <w:r>
        <w:t xml:space="preserve">(6)</w:t>
      </w:r>
    </w:p>
    <w:p w:rsidR="00432386" w:rsidRDefault="00432386">
      <w:pPr>
        <w:sectPr w:rsidR="00432386">
          <w:pgSz w:w="11910" w:h="16840"/>
          <w:pgMar w:top="1180" w:right="980" w:bottom="1460" w:left="1280" w:header="0" w:footer="1183" w:gutter="0"/>
          <w:cols w:space="720"/>
        </w:sectPr>
      </w:pPr>
    </w:p>
    <w:p>
      <w:pPr>
        <w:pStyle w:val="Corpsdetexte"/>
        <w:tabs>
          <w:tab w:val="left" w:pos="834"/>
        </w:tabs>
        <w:spacing w:before="78"/>
      </w:pPr>
      <w:r>
        <w:lastRenderedPageBreak/>
        <w:t xml:space="preserve">120</w:t>
      </w:r>
      <w:r>
        <w:tab/>
        <w:t xml:space="preserve">("AY </w:t>
      </w:r>
      <w:r>
        <w:t xml:space="preserve">24031" </w:t>
      </w:r>
      <w:r>
        <w:t xml:space="preserve">ou </w:t>
      </w:r>
      <w:r>
        <w:t xml:space="preserve">AY24031).ti,ab. </w:t>
      </w:r>
      <w:r>
        <w:t xml:space="preserve">(0)</w:t>
      </w:r>
    </w:p>
    <w:p>
      <w:pPr>
        <w:pStyle w:val="Paragraphedeliste"/>
        <w:numPr>
          <w:ilvl w:val="0"/>
          <w:numId w:val="65"/>
        </w:numPr>
        <w:tabs>
          <w:tab w:val="left" w:pos="834"/>
          <w:tab w:val="left" w:pos="835"/>
        </w:tabs>
        <w:spacing w:before="38"/>
      </w:pPr>
      <w:r>
        <w:t xml:space="preserve">factrel.ti,ab. </w:t>
      </w:r>
      <w:r>
        <w:t xml:space="preserve">(14)</w:t>
      </w:r>
    </w:p>
    <w:p>
      <w:pPr>
        <w:pStyle w:val="Paragraphedeliste"/>
        <w:numPr>
          <w:ilvl w:val="0"/>
          <w:numId w:val="65"/>
        </w:numPr>
        <w:tabs>
          <w:tab w:val="left" w:pos="834"/>
          <w:tab w:val="left" w:pos="835"/>
        </w:tabs>
      </w:pPr>
      <w:r>
        <w:t xml:space="preserve">fertagyl.ti,ab. </w:t>
      </w:r>
      <w:r>
        <w:t xml:space="preserve">(20)</w:t>
      </w:r>
    </w:p>
    <w:p>
      <w:pPr>
        <w:pStyle w:val="Paragraphedeliste"/>
        <w:numPr>
          <w:ilvl w:val="0"/>
          <w:numId w:val="65"/>
        </w:numPr>
        <w:tabs>
          <w:tab w:val="left" w:pos="834"/>
          <w:tab w:val="left" w:pos="835"/>
        </w:tabs>
        <w:spacing w:before="38"/>
      </w:pPr>
      <w:r>
        <w:t xml:space="preserve">lutrelef.ti,ab. </w:t>
      </w:r>
      <w:r>
        <w:t xml:space="preserve">(7)</w:t>
      </w:r>
    </w:p>
    <w:p>
      <w:pPr>
        <w:pStyle w:val="Paragraphedeliste"/>
        <w:numPr>
          <w:ilvl w:val="0"/>
          <w:numId w:val="65"/>
        </w:numPr>
        <w:tabs>
          <w:tab w:val="left" w:pos="834"/>
          <w:tab w:val="left" w:pos="835"/>
        </w:tabs>
        <w:spacing w:before="40"/>
      </w:pPr>
      <w:r>
        <w:t xml:space="preserve">lutrepulse.ti,ab. </w:t>
      </w:r>
      <w:r>
        <w:t xml:space="preserve">(6)</w:t>
      </w:r>
    </w:p>
    <w:p>
      <w:pPr>
        <w:pStyle w:val="Paragraphedeliste"/>
        <w:numPr>
          <w:ilvl w:val="0"/>
          <w:numId w:val="65"/>
        </w:numPr>
        <w:tabs>
          <w:tab w:val="left" w:pos="834"/>
          <w:tab w:val="left" w:pos="835"/>
        </w:tabs>
      </w:pPr>
      <w:r>
        <w:t xml:space="preserve">relefact.ti,ab. </w:t>
      </w:r>
      <w:r>
        <w:t xml:space="preserve">(10)</w:t>
      </w:r>
    </w:p>
    <w:p>
      <w:pPr>
        <w:pStyle w:val="Paragraphedeliste"/>
        <w:numPr>
          <w:ilvl w:val="0"/>
          <w:numId w:val="65"/>
        </w:numPr>
        <w:tabs>
          <w:tab w:val="left" w:pos="834"/>
          <w:tab w:val="left" w:pos="835"/>
        </w:tabs>
      </w:pPr>
      <w:r>
        <w:t xml:space="preserve">fertiral.ti,ab. </w:t>
      </w:r>
      <w:r>
        <w:t xml:space="preserve">(0)</w:t>
      </w:r>
    </w:p>
    <w:p>
      <w:pPr>
        <w:pStyle w:val="Corpsdetexte"/>
        <w:tabs>
          <w:tab w:val="left" w:pos="834"/>
        </w:tabs>
        <w:spacing w:before="38"/>
      </w:pPr>
      <w:r>
        <w:t xml:space="preserve">127</w:t>
      </w:r>
      <w:r>
        <w:tab/>
        <w:t xml:space="preserve">(hoe471 </w:t>
      </w:r>
      <w:r>
        <w:t xml:space="preserve">ou </w:t>
      </w:r>
      <w:r>
        <w:t xml:space="preserve">"hoe </w:t>
      </w:r>
      <w:r>
        <w:t xml:space="preserve">471").ti,ab. </w:t>
      </w:r>
      <w:r>
        <w:t xml:space="preserve">(4)</w:t>
      </w:r>
    </w:p>
    <w:p>
      <w:pPr>
        <w:pStyle w:val="Paragraphedeliste"/>
        <w:numPr>
          <w:ilvl w:val="0"/>
          <w:numId w:val="64"/>
        </w:numPr>
        <w:tabs>
          <w:tab w:val="left" w:pos="834"/>
          <w:tab w:val="left" w:pos="835"/>
        </w:tabs>
      </w:pPr>
      <w:r>
        <w:t xml:space="preserve">relisorm.ti,ab. </w:t>
      </w:r>
      <w:r>
        <w:t xml:space="preserve">(6)</w:t>
      </w:r>
    </w:p>
    <w:p>
      <w:pPr>
        <w:pStyle w:val="Paragraphedeliste"/>
        <w:numPr>
          <w:ilvl w:val="0"/>
          <w:numId w:val="64"/>
        </w:numPr>
        <w:tabs>
          <w:tab w:val="left" w:pos="834"/>
          <w:tab w:val="left" w:pos="835"/>
        </w:tabs>
        <w:spacing w:before="40"/>
      </w:pPr>
      <w:r>
        <w:t xml:space="preserve">cystorelin.ti,ab. </w:t>
      </w:r>
      <w:r>
        <w:t xml:space="preserve">(26)</w:t>
      </w:r>
    </w:p>
    <w:p>
      <w:pPr>
        <w:pStyle w:val="Paragraphedeliste"/>
        <w:numPr>
          <w:ilvl w:val="0"/>
          <w:numId w:val="64"/>
        </w:numPr>
        <w:tabs>
          <w:tab w:val="left" w:pos="834"/>
          <w:tab w:val="left" w:pos="835"/>
        </w:tabs>
        <w:spacing w:before="38" w:line="276" w:lineRule="auto"/>
        <w:ind w:start="160" w:end="6914" w:firstLine="0"/>
      </w:pPr>
      <w:r>
        <w:t xml:space="preserve">dirigestran.ti,ab. (5) </w:t>
      </w:r>
      <w:r>
        <w:t xml:space="preserve">131ou/29-130 </w:t>
      </w:r>
      <w:r>
        <w:tab/>
        <w:t xml:space="preserve">(80790) </w:t>
      </w:r>
      <w:r>
        <w:t xml:space="preserve">13228 </w:t>
      </w:r>
      <w:r>
        <w:t xml:space="preserve">et </w:t>
      </w:r>
      <w:r>
        <w:t xml:space="preserve">131 </w:t>
      </w:r>
      <w:r>
        <w:t xml:space="preserve">(988)</w:t>
      </w:r>
    </w:p>
    <w:p>
      <w:pPr>
        <w:pStyle w:val="Paragraphedeliste"/>
        <w:numPr>
          <w:ilvl w:val="0"/>
          <w:numId w:val="63"/>
        </w:numPr>
        <w:tabs>
          <w:tab w:val="left" w:pos="834"/>
          <w:tab w:val="left" w:pos="835"/>
        </w:tabs>
        <w:spacing w:before="0"/>
      </w:pPr>
      <w:r>
        <w:t xml:space="preserve">limiter </w:t>
      </w:r>
      <w:r>
        <w:t xml:space="preserve">132 </w:t>
      </w:r>
      <w:r>
        <w:t xml:space="preserve">à la </w:t>
      </w:r>
      <w:r>
        <w:t xml:space="preserve">langue </w:t>
      </w:r>
      <w:r>
        <w:t xml:space="preserve">anglaise </w:t>
      </w:r>
      <w:r>
        <w:t xml:space="preserve">(940)</w:t>
      </w:r>
    </w:p>
    <w:p>
      <w:pPr>
        <w:pStyle w:val="Paragraphedeliste"/>
        <w:numPr>
          <w:ilvl w:val="0"/>
          <w:numId w:val="63"/>
        </w:numPr>
        <w:tabs>
          <w:tab w:val="left" w:pos="834"/>
          <w:tab w:val="left" w:pos="835"/>
        </w:tabs>
        <w:spacing w:before="38"/>
      </w:pPr>
      <w:r>
        <w:t xml:space="preserve">133 </w:t>
      </w:r>
      <w:r>
        <w:t xml:space="preserve">pas </w:t>
      </w:r>
      <w:r>
        <w:t xml:space="preserve">(lettre </w:t>
      </w:r>
      <w:r>
        <w:t xml:space="preserve">ou </w:t>
      </w:r>
      <w:r>
        <w:t xml:space="preserve">éditorial).pt. </w:t>
      </w:r>
      <w:r>
        <w:t xml:space="preserve">(924)</w:t>
      </w:r>
    </w:p>
    <w:p>
      <w:pPr>
        <w:pStyle w:val="Paragraphedeliste"/>
        <w:numPr>
          <w:ilvl w:val="0"/>
          <w:numId w:val="63"/>
        </w:numPr>
        <w:tabs>
          <w:tab w:val="left" w:pos="1071"/>
          <w:tab w:val="left" w:pos="1072"/>
        </w:tabs>
        <w:spacing w:before="38" w:line="276" w:lineRule="auto"/>
        <w:ind w:start="160" w:end="462" w:firstLine="0"/>
      </w:pPr>
      <w:r>
        <w:t xml:space="preserve">134 </w:t>
      </w:r>
      <w:r>
        <w:t xml:space="preserve">pas </w:t>
      </w:r>
      <w:r>
        <w:t xml:space="preserve">(</w:t>
      </w:r>
      <w:r>
        <w:t xml:space="preserve">résumé de </w:t>
      </w:r>
      <w:r>
        <w:t xml:space="preserve">conférence </w:t>
      </w:r>
      <w:r>
        <w:t xml:space="preserve">ou </w:t>
      </w:r>
      <w:r>
        <w:t xml:space="preserve">document de </w:t>
      </w:r>
      <w:r>
        <w:t xml:space="preserve">conférence </w:t>
      </w:r>
      <w:r>
        <w:t xml:space="preserve">ou </w:t>
      </w:r>
      <w:r>
        <w:t xml:space="preserve">procédure de </w:t>
      </w:r>
      <w:r>
        <w:t xml:space="preserve">conférence </w:t>
      </w:r>
      <w:r>
        <w:t xml:space="preserve">ou </w:t>
      </w:r>
      <w:r>
        <w:t xml:space="preserve">"</w:t>
      </w:r>
      <w:r>
        <w:t xml:space="preserve">revue de </w:t>
      </w:r>
      <w:r>
        <w:t xml:space="preserve">conférence</w:t>
      </w:r>
      <w:r>
        <w:t xml:space="preserve">").pt. </w:t>
      </w:r>
      <w:r>
        <w:t xml:space="preserve">(683)</w:t>
      </w:r>
    </w:p>
    <w:p>
      <w:pPr>
        <w:pStyle w:val="Paragraphedeliste"/>
        <w:numPr>
          <w:ilvl w:val="0"/>
          <w:numId w:val="63"/>
        </w:numPr>
        <w:tabs>
          <w:tab w:val="left" w:pos="834"/>
          <w:tab w:val="left" w:pos="835"/>
        </w:tabs>
        <w:spacing w:before="0" w:line="278" w:lineRule="auto"/>
        <w:ind w:start="160" w:end="3747" w:firstLine="0"/>
      </w:pPr>
      <w:r>
        <w:t xml:space="preserve">nonhumain/ non (humain/ et nonhumain/) (4649157) </w:t>
      </w:r>
      <w:r>
        <w:t xml:space="preserve">137135 </w:t>
      </w:r>
      <w:r>
        <w:t xml:space="preserve">non </w:t>
      </w:r>
      <w:r>
        <w:t xml:space="preserve">136 </w:t>
      </w:r>
      <w:r>
        <w:t xml:space="preserve">(506)</w:t>
      </w:r>
    </w:p>
    <w:p>
      <w:pPr>
        <w:pStyle w:val="Corpsdetexte"/>
        <w:tabs>
          <w:tab w:val="left" w:pos="834"/>
        </w:tabs>
        <w:spacing w:before="0" w:line="276" w:lineRule="auto"/>
        <w:ind w:end="5284"/>
      </w:pPr>
      <w:r>
        <w:t xml:space="preserve">138limite </w:t>
      </w:r>
      <w:r>
        <w:tab/>
        <w:t xml:space="preserve">137 à yr="2000 -Current" (420) </w:t>
      </w:r>
      <w:r>
        <w:t xml:space="preserve">139elsevier</w:t>
      </w:r>
      <w:r>
        <w:tab/>
        <w:t xml:space="preserve">.cr. </w:t>
      </w:r>
      <w:r>
        <w:t xml:space="preserve">(25912990)</w:t>
      </w:r>
    </w:p>
    <w:p>
      <w:pPr>
        <w:pStyle w:val="Corpsdetexte"/>
        <w:tabs>
          <w:tab w:val="left" w:pos="834"/>
        </w:tabs>
        <w:spacing w:before="0" w:line="252" w:lineRule="exact"/>
      </w:pPr>
      <w:r>
        <w:t xml:space="preserve">140138 </w:t>
      </w:r>
      <w:r>
        <w:t xml:space="preserve">et </w:t>
      </w:r>
      <w:r>
        <w:t xml:space="preserve">139 </w:t>
      </w:r>
      <w:r>
        <w:t xml:space="preserve">(372)</w:t>
      </w:r>
    </w:p>
    <w:p>
      <w:pPr>
        <w:pStyle w:val="Corpsdetexte"/>
        <w:tabs>
          <w:tab w:val="left" w:pos="834"/>
        </w:tabs>
        <w:spacing w:before="35"/>
      </w:pPr>
      <w:r>
        <w:t xml:space="preserve">141supprimer les </w:t>
      </w:r>
      <w:r>
        <w:t xml:space="preserve">doublons </w:t>
      </w:r>
      <w:r>
        <w:t xml:space="preserve">de </w:t>
      </w:r>
      <w:r>
        <w:t xml:space="preserve">140 </w:t>
      </w:r>
      <w:r>
        <w:t xml:space="preserve">(367)</w:t>
      </w:r>
    </w:p>
    <w:p w:rsidR="00432386" w:rsidRDefault="00432386">
      <w:pPr>
        <w:pStyle w:val="Corpsdetexte"/>
        <w:spacing w:before="6"/>
        <w:ind w:start="0"/>
        <w:rPr>
          <w:sz w:val="28"/>
        </w:rPr>
      </w:pPr>
    </w:p>
    <w:p>
      <w:pPr>
        <w:pStyle w:val="Titre2"/>
        <w:spacing w:line="276" w:lineRule="auto"/>
      </w:pPr>
      <w:r>
        <w:rPr>
          <w:spacing w:val="-1"/>
        </w:rPr>
        <w:t xml:space="preserve">Base de données : </w:t>
      </w:r>
      <w:r>
        <w:rPr>
          <w:spacing w:val="-1"/>
        </w:rPr>
        <w:t xml:space="preserve">Bibliothèque </w:t>
      </w:r>
      <w:r>
        <w:rPr>
          <w:spacing w:val="-1"/>
        </w:rPr>
        <w:t xml:space="preserve">Cochrane </w:t>
      </w:r>
      <w:r>
        <w:rPr>
          <w:spacing w:val="-1"/>
        </w:rPr>
        <w:t xml:space="preserve">- </w:t>
      </w:r>
      <w:r>
        <w:rPr>
          <w:spacing w:val="-1"/>
        </w:rPr>
        <w:t xml:space="preserve">intégrant la </w:t>
      </w:r>
      <w:r>
        <w:t xml:space="preserve">base de données </w:t>
      </w:r>
      <w:r>
        <w:t xml:space="preserve">Cochrane </w:t>
      </w:r>
      <w:r>
        <w:t xml:space="preserve">des </w:t>
      </w:r>
      <w:r>
        <w:t xml:space="preserve">revues </w:t>
      </w:r>
      <w:r>
        <w:t xml:space="preserve">systématiques </w:t>
      </w:r>
      <w:r>
        <w:t xml:space="preserve">(CDSR) ; CENTRAL</w:t>
      </w:r>
    </w:p>
    <w:p>
      <w:pPr>
        <w:pStyle w:val="Corpsdetexte"/>
        <w:spacing w:before="0" w:line="278" w:lineRule="auto"/>
        <w:ind w:end="7990"/>
      </w:pPr>
      <w:r>
        <w:t xml:space="preserve">Plate-forme : Wiley </w:t>
      </w:r>
      <w:r>
        <w:t xml:space="preserve">Version :</w:t>
      </w:r>
    </w:p>
    <w:p>
      <w:pPr>
        <w:pStyle w:val="Corpsdetexte"/>
        <w:spacing w:before="0" w:line="250" w:lineRule="exact"/>
        <w:ind w:start="880"/>
      </w:pPr>
      <w:r>
        <w:t xml:space="preserve">CDSR </w:t>
      </w:r>
      <w:r>
        <w:t xml:space="preserve">- </w:t>
      </w:r>
      <w:r>
        <w:t xml:space="preserve">Numéro </w:t>
      </w:r>
      <w:r>
        <w:t xml:space="preserve">7 </w:t>
      </w:r>
      <w:r>
        <w:t xml:space="preserve">de 12, </w:t>
      </w:r>
      <w:r>
        <w:t xml:space="preserve">juillet 2020</w:t>
      </w:r>
    </w:p>
    <w:p>
      <w:pPr>
        <w:pStyle w:val="Corpsdetexte"/>
        <w:spacing w:before="36" w:line="276" w:lineRule="auto"/>
        <w:ind w:end="5155" w:firstLine="719"/>
      </w:pPr>
      <w:r>
        <w:t xml:space="preserve">CENTRAL - Numéro 7 de 12, juillet 2020 </w:t>
      </w:r>
      <w:r>
        <w:t xml:space="preserve">Date de </w:t>
      </w:r>
      <w:r>
        <w:t xml:space="preserve">recherche </w:t>
      </w:r>
      <w:r>
        <w:t xml:space="preserve">: </w:t>
      </w:r>
      <w:r>
        <w:t xml:space="preserve">23/7/2020</w:t>
      </w:r>
    </w:p>
    <w:p>
      <w:pPr>
        <w:pStyle w:val="Corpsdetexte"/>
        <w:spacing w:before="0" w:line="252" w:lineRule="exact"/>
      </w:pPr>
      <w:r>
        <w:t xml:space="preserve">Nombre </w:t>
      </w:r>
      <w:r>
        <w:t xml:space="preserve">de </w:t>
      </w:r>
      <w:r>
        <w:t xml:space="preserve">résultats </w:t>
      </w:r>
      <w:r>
        <w:t xml:space="preserve">trouvés : </w:t>
      </w:r>
      <w:r>
        <w:t xml:space="preserve">CDSR </w:t>
      </w:r>
      <w:r>
        <w:t xml:space="preserve">- </w:t>
      </w:r>
      <w:r>
        <w:t xml:space="preserve">1 ; </w:t>
      </w:r>
      <w:r>
        <w:t xml:space="preserve">CENTRAL </w:t>
      </w:r>
      <w:r>
        <w:t xml:space="preserve">- </w:t>
      </w:r>
      <w:r>
        <w:t xml:space="preserve">8.</w:t>
      </w:r>
    </w:p>
    <w:p w:rsidR="00432386" w:rsidRDefault="00432386">
      <w:pPr>
        <w:pStyle w:val="Corpsdetexte"/>
        <w:spacing w:before="8"/>
        <w:ind w:start="0"/>
        <w:rPr>
          <w:sz w:val="28"/>
        </w:rPr>
      </w:pPr>
    </w:p>
    <w:p>
      <w:pPr>
        <w:pStyle w:val="Corpsdetexte"/>
        <w:tabs>
          <w:tab w:val="left" w:pos="880"/>
          <w:tab w:val="left" w:pos="3760"/>
        </w:tabs>
        <w:spacing w:before="0"/>
      </w:pPr>
      <w:r>
        <w:t xml:space="preserve">#1</w:t>
      </w:r>
      <w:r>
        <w:tab/>
        <w:t xml:space="preserve">[mh </w:t>
      </w:r>
      <w:r>
        <w:t xml:space="preserve">^"</w:t>
      </w:r>
      <w:r>
        <w:t xml:space="preserve">Dysphorie de </w:t>
      </w:r>
      <w:r>
        <w:t xml:space="preserve">genre</w:t>
      </w:r>
      <w:r>
        <w:t xml:space="preserve">"]</w:t>
      </w:r>
      <w:r>
        <w:tab/>
        <w:t xml:space="preserve">3</w:t>
      </w:r>
    </w:p>
    <w:p>
      <w:pPr>
        <w:pStyle w:val="Corpsdetexte"/>
        <w:tabs>
          <w:tab w:val="left" w:pos="880"/>
          <w:tab w:val="left" w:pos="3760"/>
        </w:tabs>
        <w:spacing w:before="38"/>
      </w:pPr>
      <w:r>
        <w:t xml:space="preserve">#2</w:t>
      </w:r>
      <w:r>
        <w:tab/>
        <w:t xml:space="preserve">[mh </w:t>
      </w:r>
      <w:r>
        <w:t xml:space="preserve">^"</w:t>
      </w:r>
      <w:r>
        <w:t xml:space="preserve">identité de </w:t>
      </w:r>
      <w:r>
        <w:t xml:space="preserve">genre</w:t>
      </w:r>
      <w:r>
        <w:t xml:space="preserve">"]</w:t>
      </w:r>
      <w:r>
        <w:tab/>
        <w:t xml:space="preserve">227</w:t>
      </w:r>
    </w:p>
    <w:p>
      <w:pPr>
        <w:pStyle w:val="Corpsdetexte"/>
        <w:tabs>
          <w:tab w:val="left" w:pos="880"/>
        </w:tabs>
        <w:spacing w:line="278" w:lineRule="auto"/>
        <w:ind w:end="5040"/>
      </w:pPr>
      <w:r>
        <w:t xml:space="preserve">#3 </w:t>
      </w:r>
      <w:r>
        <w:tab/>
        <w:t xml:space="preserve">[mh </w:t>
      </w:r>
      <w:r>
        <w:t xml:space="preserve">^"</w:t>
      </w:r>
      <w:r>
        <w:t xml:space="preserve">troubles </w:t>
      </w:r>
      <w:r>
        <w:t xml:space="preserve">sexuels </w:t>
      </w:r>
      <w:r>
        <w:t xml:space="preserve">et de </w:t>
      </w:r>
      <w:r>
        <w:t xml:space="preserve">genre</w:t>
      </w:r>
      <w:r>
        <w:t xml:space="preserve">"] </w:t>
      </w:r>
      <w:r>
        <w:t xml:space="preserve">2 </w:t>
      </w:r>
      <w:r>
        <w:t xml:space="preserve">#4 </w:t>
      </w:r>
      <w:r>
        <w:tab/>
        <w:t xml:space="preserve">[mh </w:t>
      </w:r>
      <w:r>
        <w:t xml:space="preserve">^transsexualisme] </w:t>
      </w:r>
      <w:r>
        <w:t xml:space="preserve">27</w:t>
      </w:r>
    </w:p>
    <w:p>
      <w:pPr>
        <w:pStyle w:val="Corpsdetexte"/>
        <w:tabs>
          <w:tab w:val="left" w:pos="880"/>
        </w:tabs>
        <w:spacing w:before="0" w:line="249" w:lineRule="exact"/>
      </w:pPr>
      <w:r>
        <w:t xml:space="preserve">#5 </w:t>
      </w:r>
      <w:r>
        <w:tab/>
        <w:t xml:space="preserve">[mh </w:t>
      </w:r>
      <w:r>
        <w:t xml:space="preserve">^ "</w:t>
      </w:r>
      <w:r>
        <w:t xml:space="preserve">personnes </w:t>
      </w:r>
      <w:r>
        <w:t xml:space="preserve">transgenres</w:t>
      </w:r>
      <w:r>
        <w:t xml:space="preserve">"] </w:t>
      </w:r>
      <w:r>
        <w:t xml:space="preserve">36</w:t>
      </w:r>
    </w:p>
    <w:p>
      <w:pPr>
        <w:pStyle w:val="Corpsdetexte"/>
        <w:tabs>
          <w:tab w:val="left" w:pos="880"/>
          <w:tab w:val="left" w:pos="5921"/>
        </w:tabs>
        <w:spacing w:before="38"/>
      </w:pPr>
      <w:r>
        <w:t xml:space="preserve">#6</w:t>
      </w:r>
      <w:r>
        <w:tab/>
        <w:t xml:space="preserve">[mh </w:t>
      </w:r>
      <w:r>
        <w:t xml:space="preserve">^ "</w:t>
      </w:r>
      <w:r>
        <w:t xml:space="preserve">services de </w:t>
      </w:r>
      <w:r>
        <w:t xml:space="preserve">santé </w:t>
      </w:r>
      <w:r>
        <w:t xml:space="preserve">pour les </w:t>
      </w:r>
      <w:r>
        <w:t xml:space="preserve">personnes </w:t>
      </w:r>
      <w:r>
        <w:t xml:space="preserve">transgenres</w:t>
      </w:r>
      <w:r>
        <w:t xml:space="preserve">"]</w:t>
      </w:r>
      <w:r>
        <w:tab/>
        <w:t xml:space="preserve">0</w:t>
      </w:r>
    </w:p>
    <w:p>
      <w:pPr>
        <w:pStyle w:val="Corpsdetexte"/>
        <w:tabs>
          <w:tab w:val="left" w:pos="880"/>
        </w:tabs>
      </w:pPr>
      <w:r>
        <w:t xml:space="preserve">#7 </w:t>
      </w:r>
      <w:r>
        <w:tab/>
        <w:t xml:space="preserve">[mh </w:t>
      </w:r>
      <w:r>
        <w:t xml:space="preserve">"</w:t>
      </w:r>
      <w:r>
        <w:t xml:space="preserve">procédures de </w:t>
      </w:r>
      <w:r>
        <w:t xml:space="preserve">changement de </w:t>
      </w:r>
      <w:r>
        <w:t xml:space="preserve">sexe</w:t>
      </w:r>
      <w:r>
        <w:t xml:space="preserve">"] </w:t>
      </w:r>
      <w:r>
        <w:t xml:space="preserve">4</w:t>
      </w:r>
    </w:p>
    <w:p>
      <w:pPr>
        <w:pStyle w:val="Corpsdetexte"/>
        <w:tabs>
          <w:tab w:val="left" w:pos="880"/>
          <w:tab w:val="left" w:pos="3040"/>
        </w:tabs>
        <w:spacing w:line="278" w:lineRule="auto"/>
        <w:ind w:end="467"/>
      </w:pPr>
      <w:r>
        <w:t xml:space="preserve">#8</w:t>
      </w:r>
      <w:r>
        <w:tab/>
        <w:t xml:space="preserve">(gender* </w:t>
      </w:r>
      <w:r>
        <w:t xml:space="preserve">NEAR/3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queer*)):ti,ab308</w:t>
      </w:r>
    </w:p>
    <w:p>
      <w:pPr>
        <w:pStyle w:val="Corpsdetexte"/>
        <w:tabs>
          <w:tab w:val="left" w:pos="880"/>
          <w:tab w:val="left" w:pos="5200"/>
        </w:tabs>
        <w:spacing w:before="0" w:line="276" w:lineRule="auto"/>
        <w:ind w:end="545"/>
      </w:pPr>
      <w:r>
        <w:t xml:space="preserve">#9</w:t>
      </w:r>
      <w:r>
        <w:tab/>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transpeopl*):ti,ab929</w:t>
      </w:r>
    </w:p>
    <w:p>
      <w:pPr>
        <w:pStyle w:val="Corpsdetexte"/>
        <w:tabs>
          <w:tab w:val="left" w:pos="880"/>
          <w:tab w:val="left" w:pos="1692"/>
          <w:tab w:val="left" w:pos="2134"/>
          <w:tab w:val="left" w:pos="2320"/>
          <w:tab w:val="left" w:pos="3676"/>
          <w:tab w:val="left" w:pos="4120"/>
          <w:tab w:val="left" w:pos="5740"/>
          <w:tab w:val="left" w:pos="6183"/>
          <w:tab w:val="left" w:pos="7275"/>
          <w:tab w:val="left" w:pos="7716"/>
          <w:tab w:val="left" w:pos="8996"/>
        </w:tabs>
        <w:spacing w:before="0" w:line="278" w:lineRule="auto"/>
        <w:ind w:end="454"/>
      </w:pPr>
      <w:r>
        <w:t xml:space="preserve">#10</w:t>
      </w:r>
      <w:r>
        <w:tab/>
        <w:t xml:space="preserve">(transorcrossgender*oucross-gender*oucrossex*oucross-sex*</w:t>
      </w:r>
      <w:r>
        <w:tab/>
      </w:r>
      <w:r>
        <w:rPr>
          <w:spacing w:val="-2"/>
        </w:rPr>
        <w:t xml:space="preserve">ou </w:t>
      </w:r>
      <w:r>
        <w:t xml:space="preserve">genderqueer*):ti,ab</w:t>
      </w:r>
      <w:r>
        <w:tab/>
      </w:r>
      <w:r>
        <w:tab/>
        <w:t xml:space="preserve">3915</w:t>
      </w:r>
    </w:p>
    <w:p>
      <w:pPr>
        <w:pStyle w:val="Corpsdetexte"/>
        <w:tabs>
          <w:tab w:val="left" w:pos="880"/>
          <w:tab w:val="left" w:pos="6641"/>
        </w:tabs>
        <w:spacing w:before="0" w:line="276" w:lineRule="auto"/>
        <w:ind w:end="477"/>
      </w:pPr>
      <w:r>
        <w:t xml:space="preserve">#11</w:t>
      </w:r>
      <w:r>
        <w:tab/>
        <w:t xml:space="preserve">((sexe </w:t>
      </w:r>
      <w:r>
        <w:t xml:space="preserve">ou </w:t>
      </w:r>
      <w:r>
        <w:t xml:space="preserve">genre*) </w:t>
      </w:r>
      <w:r>
        <w:t xml:space="preserve">NEAR/3 </w:t>
      </w:r>
      <w:r>
        <w:t xml:space="preserve">(réassignation* </w:t>
      </w:r>
      <w:r>
        <w:t xml:space="preserve">ou </w:t>
      </w:r>
      <w:r>
        <w:t xml:space="preserve">changement* </w:t>
      </w:r>
      <w:r>
        <w:t xml:space="preserve">ou </w:t>
      </w:r>
      <w:r>
        <w:t xml:space="preserve">transformation* </w:t>
      </w:r>
      <w:r>
        <w:t xml:space="preserve">ou </w:t>
      </w:r>
      <w:r>
        <w:t xml:space="preserve">transition*)):ti,ab </w:t>
      </w:r>
      <w:r>
        <w:t xml:space="preserve">493 </w:t>
      </w:r>
      <w:r>
        <w:t xml:space="preserve">#12</w:t>
      </w:r>
      <w:r>
        <w:tab/>
        <w:t xml:space="preserve">(homme-à-femme </w:t>
      </w:r>
      <w:r>
        <w:t xml:space="preserve">ou </w:t>
      </w:r>
      <w:r>
        <w:t xml:space="preserve">m2f </w:t>
      </w:r>
      <w:r>
        <w:t xml:space="preserve">ou </w:t>
      </w:r>
      <w:r>
        <w:t xml:space="preserve">femme-à-mâle </w:t>
      </w:r>
      <w:r>
        <w:t xml:space="preserve">ou </w:t>
      </w:r>
      <w:r>
        <w:t xml:space="preserve">f2m):ti,ab489</w:t>
      </w:r>
    </w:p>
    <w:p w:rsidR="00432386" w:rsidRDefault="00432386">
      <w:pPr>
        <w:spacing w:line="276" w:lineRule="auto"/>
        <w:sectPr w:rsidR="00432386">
          <w:pgSz w:w="11910" w:h="16840"/>
          <w:pgMar w:top="1180" w:right="980" w:bottom="1460" w:left="1280" w:header="0" w:footer="1183" w:gutter="0"/>
          <w:cols w:space="720"/>
        </w:sectPr>
      </w:pPr>
    </w:p>
    <w:p>
      <w:pPr>
        <w:pStyle w:val="Corpsdetexte"/>
        <w:tabs>
          <w:tab w:val="left" w:pos="880"/>
          <w:tab w:val="left" w:pos="2320"/>
        </w:tabs>
        <w:spacing w:before="78"/>
      </w:pPr>
      <w:r>
        <w:lastRenderedPageBreak/>
        <w:t xml:space="preserve">#13{ou </w:t>
      </w:r>
      <w:r>
        <w:tab/>
        <w:t xml:space="preserve">#1-#12}</w:t>
      </w:r>
      <w:r>
        <w:tab/>
      </w:r>
      <w:r>
        <w:t xml:space="preserve">6142</w:t>
      </w:r>
    </w:p>
    <w:p>
      <w:pPr>
        <w:pStyle w:val="Corpsdetexte"/>
        <w:tabs>
          <w:tab w:val="left" w:pos="880"/>
        </w:tabs>
        <w:spacing w:before="38"/>
      </w:pPr>
      <w:r>
        <w:t xml:space="preserve">14 </w:t>
      </w:r>
      <w:r>
        <w:tab/>
        <w:t xml:space="preserve">[mh </w:t>
      </w:r>
      <w:r>
        <w:t xml:space="preserve">infant] </w:t>
      </w:r>
      <w:r>
        <w:t xml:space="preserve">ou </w:t>
      </w:r>
      <w:r>
        <w:t xml:space="preserve">[mh </w:t>
      </w:r>
      <w:r>
        <w:t xml:space="preserve">^"</w:t>
      </w:r>
      <w:r>
        <w:t xml:space="preserve">santé du </w:t>
      </w:r>
      <w:r>
        <w:t xml:space="preserve">nourrisson</w:t>
      </w:r>
      <w:r>
        <w:t xml:space="preserve">"] </w:t>
      </w:r>
      <w:r>
        <w:t xml:space="preserve">ou </w:t>
      </w:r>
      <w:r>
        <w:t xml:space="preserve">[mh </w:t>
      </w:r>
      <w:r>
        <w:t xml:space="preserve">^"</w:t>
      </w:r>
      <w:r>
        <w:t xml:space="preserve">bien-être du </w:t>
      </w:r>
      <w:r>
        <w:t xml:space="preserve">nourrisson</w:t>
      </w:r>
      <w:r>
        <w:t xml:space="preserve">"] </w:t>
      </w:r>
      <w:r>
        <w:t xml:space="preserve">27769</w:t>
      </w:r>
    </w:p>
    <w:p>
      <w:pPr>
        <w:pStyle w:val="Corpsdetexte"/>
        <w:tabs>
          <w:tab w:val="left" w:pos="880"/>
        </w:tabs>
        <w:spacing w:line="276" w:lineRule="auto"/>
        <w:ind w:end="467"/>
      </w:pPr>
      <w:r>
        <w:t xml:space="preserve">#15</w:t>
      </w:r>
      <w:r>
        <w:tab/>
        <w:t xml:space="preserve">(prématuré* </w:t>
      </w:r>
      <w:r>
        <w:t xml:space="preserve">ou </w:t>
      </w:r>
      <w:r>
        <w:t xml:space="preserve">pré-maturé* ou </w:t>
      </w:r>
      <w:r>
        <w:t xml:space="preserve">prématuré* </w:t>
      </w:r>
      <w:r>
        <w:t xml:space="preserve">ou 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tout-petits*):ti,ab </w:t>
      </w:r>
      <w:r>
        <w:t xml:space="preserve">69476</w:t>
      </w:r>
    </w:p>
    <w:p>
      <w:pPr>
        <w:pStyle w:val="Corpsdetexte"/>
        <w:tabs>
          <w:tab w:val="left" w:pos="880"/>
        </w:tabs>
        <w:spacing w:before="2" w:line="276" w:lineRule="auto"/>
        <w:ind w:start="880" w:end="545" w:hanging="720"/>
      </w:pPr>
      <w:r>
        <w:t xml:space="preserve">#16 </w:t>
      </w:r>
      <w:r>
        <w:tab/>
        <w:t xml:space="preserve">[mh </w:t>
      </w:r>
      <w:r>
        <w:t xml:space="preserve">enfant] </w:t>
      </w:r>
      <w:r>
        <w:t xml:space="preserve">ou </w:t>
      </w:r>
      <w:r>
        <w:t xml:space="preserve">[mh "</w:t>
      </w:r>
      <w:r>
        <w:t xml:space="preserve">comportement de l'</w:t>
      </w:r>
      <w:r>
        <w:t xml:space="preserve">enfant</w:t>
      </w:r>
      <w:r>
        <w:t xml:space="preserve">"] ou [mh </w:t>
      </w:r>
      <w:r>
        <w:t xml:space="preserve">^"</w:t>
      </w:r>
      <w:r>
        <w:t xml:space="preserve">santé de l'</w:t>
      </w:r>
      <w:r>
        <w:t xml:space="preserve">enfant</w:t>
      </w:r>
      <w:r>
        <w:t xml:space="preserve">"] </w:t>
      </w:r>
      <w:r>
        <w:t xml:space="preserve">ou [mh </w:t>
      </w:r>
      <w:r>
        <w:t xml:space="preserve">^"</w:t>
      </w:r>
      <w:r>
        <w:t xml:space="preserve">bien-être de </w:t>
      </w:r>
      <w:r>
        <w:t xml:space="preserve">l'enfant</w:t>
      </w:r>
      <w:r>
        <w:t xml:space="preserve">"] </w:t>
      </w:r>
      <w:r>
        <w:t xml:space="preserve">42703</w:t>
      </w:r>
    </w:p>
    <w:p>
      <w:pPr>
        <w:pStyle w:val="Corpsdetexte"/>
        <w:tabs>
          <w:tab w:val="left" w:pos="880"/>
        </w:tabs>
        <w:spacing w:before="0" w:line="252" w:lineRule="exact"/>
      </w:pPr>
      <w:r>
        <w:t xml:space="preserve">#17 </w:t>
      </w:r>
      <w:r>
        <w:tab/>
        <w:t xml:space="preserve">[mh </w:t>
      </w:r>
      <w:r>
        <w:t xml:space="preserve">^minors] </w:t>
      </w:r>
      <w:r>
        <w:t xml:space="preserve">8</w:t>
      </w:r>
    </w:p>
    <w:p>
      <w:pPr>
        <w:pStyle w:val="Corpsdetexte"/>
        <w:tabs>
          <w:tab w:val="left" w:pos="880"/>
          <w:tab w:val="left" w:pos="8081"/>
        </w:tabs>
        <w:spacing w:line="276" w:lineRule="auto"/>
        <w:ind w:end="829"/>
      </w:pPr>
      <w:r>
        <w:t xml:space="preserve">18</w:t>
      </w:r>
      <w:r>
        <w:tab/>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w:t>
      </w:r>
      <w:r>
        <w:tab/>
      </w:r>
      <w:r>
        <w:rPr>
          <w:spacing w:val="-1"/>
        </w:rPr>
        <w:t xml:space="preserve">175826 </w:t>
      </w:r>
      <w:r>
        <w:t xml:space="preserve">#19 </w:t>
      </w:r>
      <w:r>
        <w:tab/>
        <w:t xml:space="preserve">[mh </w:t>
      </w:r>
      <w:r>
        <w:t xml:space="preserve">pédiatrie]661</w:t>
      </w:r>
    </w:p>
    <w:p>
      <w:pPr>
        <w:pStyle w:val="Corpsdetexte"/>
        <w:tabs>
          <w:tab w:val="left" w:pos="880"/>
        </w:tabs>
        <w:spacing w:before="2"/>
      </w:pPr>
      <w:r>
        <w:t xml:space="preserve">20</w:t>
      </w:r>
      <w:r>
        <w:tab/>
        <w:t xml:space="preserve">(pédiatrie* </w:t>
      </w:r>
      <w:r>
        <w:t xml:space="preserve">ou </w:t>
      </w:r>
      <w:r>
        <w:t xml:space="preserve">pédiatrie* </w:t>
      </w:r>
      <w:r>
        <w:t xml:space="preserve">ou </w:t>
      </w:r>
      <w:r>
        <w:t xml:space="preserve">pédiatrie*):ti,ab </w:t>
      </w:r>
      <w:r>
        <w:t xml:space="preserve">30663</w:t>
      </w:r>
    </w:p>
    <w:p>
      <w:pPr>
        <w:pStyle w:val="Corpsdetexte"/>
        <w:tabs>
          <w:tab w:val="left" w:pos="880"/>
        </w:tabs>
        <w:spacing w:line="276" w:lineRule="auto"/>
        <w:ind w:start="880" w:end="545" w:hanging="720"/>
      </w:pPr>
      <w:r>
        <w:t xml:space="preserve">#21</w:t>
      </w:r>
      <w:r>
        <w:tab/>
        <w:t xml:space="preserve">[mh </w:t>
      </w:r>
      <w:r>
        <w:t xml:space="preserve">^adolescent] </w:t>
      </w:r>
      <w:r>
        <w:t xml:space="preserve">ou </w:t>
      </w:r>
      <w:r>
        <w:t xml:space="preserve">[mh </w:t>
      </w:r>
      <w:r>
        <w:t xml:space="preserve">^"</w:t>
      </w:r>
      <w:r>
        <w:t xml:space="preserve">comportement de l'</w:t>
      </w:r>
      <w:r>
        <w:t xml:space="preserve">adolescent</w:t>
      </w:r>
      <w:r>
        <w:t xml:space="preserve">"] </w:t>
      </w:r>
      <w:r>
        <w:t xml:space="preserve">ou </w:t>
      </w:r>
      <w:r>
        <w:t xml:space="preserve">[mh </w:t>
      </w:r>
      <w:r>
        <w:t xml:space="preserve">^"</w:t>
      </w:r>
      <w:r>
        <w:t xml:space="preserve">santé de </w:t>
      </w:r>
      <w:r>
        <w:t xml:space="preserve">l'adolescent</w:t>
      </w:r>
      <w:r>
        <w:t xml:space="preserve">"] </w:t>
      </w:r>
      <w:r>
        <w:t xml:space="preserve">102154</w:t>
      </w:r>
    </w:p>
    <w:p>
      <w:pPr>
        <w:pStyle w:val="Corpsdetexte"/>
        <w:tabs>
          <w:tab w:val="left" w:pos="880"/>
        </w:tabs>
        <w:spacing w:before="0" w:line="252" w:lineRule="exact"/>
      </w:pPr>
      <w:r>
        <w:t xml:space="preserve">#22 </w:t>
      </w:r>
      <w:r>
        <w:tab/>
        <w:t xml:space="preserve">[mh </w:t>
      </w:r>
      <w:r>
        <w:t xml:space="preserve">^puberty] </w:t>
      </w:r>
      <w:r>
        <w:t xml:space="preserve">295</w:t>
      </w:r>
    </w:p>
    <w:p>
      <w:pPr>
        <w:pStyle w:val="Corpsdetexte"/>
        <w:tabs>
          <w:tab w:val="left" w:pos="880"/>
        </w:tabs>
        <w:spacing w:before="40" w:line="276" w:lineRule="auto"/>
        <w:ind w:end="456"/>
      </w:pPr>
      <w:r>
        <w:t xml:space="preserve">#23</w:t>
      </w:r>
      <w:r>
        <w:tab/>
        <w:t xml:space="preserve">(adolescen* </w:t>
      </w:r>
      <w:r>
        <w:t xml:space="preserve">ou </w:t>
      </w:r>
      <w:r>
        <w:t xml:space="preserve">pubescen* </w:t>
      </w:r>
      <w:r>
        <w:t xml:space="preserve">ou </w:t>
      </w:r>
      <w:r>
        <w:t xml:space="preserve">prépubescen* </w:t>
      </w:r>
      <w:r>
        <w:t xml:space="preserve">ou </w:t>
      </w:r>
      <w:r>
        <w:t xml:space="preserve">pré-pubescen* </w:t>
      </w:r>
      <w:r>
        <w:t xml:space="preserve">ou </w:t>
      </w:r>
      <w:r>
        <w:t xml:space="preserve">pubert* </w:t>
      </w:r>
      <w:r>
        <w:t xml:space="preserve">ou </w:t>
      </w:r>
      <w:r>
        <w:t xml:space="preserve">prépubert* </w:t>
      </w:r>
      <w:r>
        <w:t xml:space="preserve">ou </w:t>
      </w:r>
      <w:r>
        <w:t xml:space="preserve">pré-pubert* </w:t>
      </w:r>
      <w:r>
        <w:t xml:space="preserve">ou </w:t>
      </w:r>
      <w:r>
        <w:t xml:space="preserve">teen* </w:t>
      </w:r>
      <w:r>
        <w:t xml:space="preserve">ou </w:t>
      </w:r>
      <w:r>
        <w:t xml:space="preserve">preteen* </w:t>
      </w:r>
      <w:r>
        <w:t xml:space="preserve">ou </w:t>
      </w:r>
      <w:r>
        <w:t xml:space="preserve">pre-teen* </w:t>
      </w:r>
      <w:r>
        <w:t xml:space="preserve">ou </w:t>
      </w:r>
      <w:r>
        <w:t xml:space="preserve">juvenil* </w:t>
      </w:r>
      <w:r>
        <w:t xml:space="preserve">ou </w:t>
      </w:r>
      <w:r>
        <w:t xml:space="preserve">youth* </w:t>
      </w:r>
      <w:r>
        <w:t xml:space="preserve">ou </w:t>
      </w:r>
      <w:r>
        <w:t xml:space="preserve">under*age*):ti,ab</w:t>
      </w:r>
    </w:p>
    <w:p>
      <w:pPr>
        <w:pStyle w:val="Corpsdetexte"/>
        <w:spacing w:before="0" w:line="253" w:lineRule="exact"/>
        <w:ind w:start="880"/>
      </w:pPr>
      <w:r>
        <w:t xml:space="preserve">34139</w:t>
      </w:r>
    </w:p>
    <w:p>
      <w:pPr>
        <w:pStyle w:val="Corpsdetexte"/>
        <w:jc w:val="both"/>
      </w:pPr>
      <w:r>
        <w:t xml:space="preserve">#24 [</w:t>
      </w:r>
      <w:r>
        <w:t xml:space="preserve">mh </w:t>
      </w:r>
      <w:r>
        <w:t xml:space="preserve">^schools] </w:t>
      </w:r>
      <w:r>
        <w:t xml:space="preserve">1914</w:t>
      </w:r>
    </w:p>
    <w:p>
      <w:pPr>
        <w:pStyle w:val="Corpsdetexte"/>
        <w:spacing w:before="38"/>
        <w:jc w:val="both"/>
      </w:pPr>
      <w:r>
        <w:t xml:space="preserve">#25 [</w:t>
      </w:r>
      <w:r>
        <w:t xml:space="preserve">mh </w:t>
      </w:r>
      <w:r>
        <w:t xml:space="preserve">^"</w:t>
      </w:r>
      <w:r>
        <w:t xml:space="preserve">garderies d'</w:t>
      </w:r>
      <w:r>
        <w:t xml:space="preserve">enfants</w:t>
      </w:r>
      <w:r>
        <w:t xml:space="preserve">"] </w:t>
      </w:r>
      <w:r>
        <w:t xml:space="preserve">ou </w:t>
      </w:r>
      <w:r>
        <w:t xml:space="preserve">[mh </w:t>
      </w:r>
      <w:r>
        <w:t xml:space="preserve">crèches] </w:t>
      </w:r>
      <w:r>
        <w:t xml:space="preserve">ou </w:t>
      </w:r>
      <w:r>
        <w:t xml:space="preserve">[mh </w:t>
      </w:r>
      <w:r>
        <w:t xml:space="preserve">^"écoles, </w:t>
      </w:r>
      <w:r>
        <w:t xml:space="preserve">crèches"] </w:t>
      </w:r>
      <w:r>
        <w:t xml:space="preserve">277</w:t>
      </w:r>
    </w:p>
    <w:p>
      <w:pPr>
        <w:pStyle w:val="Corpsdetexte"/>
        <w:spacing w:before="39" w:line="276" w:lineRule="auto"/>
        <w:ind w:end="454"/>
        <w:jc w:val="both"/>
      </w:pPr>
      <w:r>
        <w:t xml:space="preserve">#26 (école maternelle* ou préscolaire* ou jardin d'enfants* ou garderie ou crèche* ou école* </w:t>
      </w:r>
      <w:r>
        <w:t xml:space="preserve">ou élève* </w:t>
      </w:r>
      <w:r>
        <w:t xml:space="preserve">ou </w:t>
      </w:r>
      <w:r>
        <w:t xml:space="preserve">étudiant*):ti,ab </w:t>
      </w:r>
      <w:r>
        <w:t xml:space="preserve">54723</w:t>
      </w:r>
    </w:p>
    <w:p>
      <w:pPr>
        <w:pStyle w:val="Corpsdetexte"/>
        <w:spacing w:before="0" w:line="276" w:lineRule="auto"/>
        <w:ind w:end="454"/>
        <w:jc w:val="both"/>
      </w:pPr>
      <w:r>
        <w:t xml:space="preserve">27 (("</w:t>
      </w:r>
      <w:r>
        <w:t xml:space="preserve">huit" ou "neuf" ou "dix" ou "onze" ou "douze" ou "treize" ou "quatorze" ou "quinze" </w:t>
      </w:r>
      <w:r>
        <w:t xml:space="preserve">ou </w:t>
      </w:r>
      <w:r>
        <w:t xml:space="preserve">"seize" </w:t>
      </w:r>
      <w:r>
        <w:t xml:space="preserve">ou </w:t>
      </w:r>
      <w:r>
        <w:t xml:space="preserve">"dix-sept</w:t>
      </w:r>
      <w:r>
        <w:t xml:space="preserve">" </w:t>
      </w:r>
      <w:r>
        <w:t xml:space="preserve">ou </w:t>
      </w:r>
      <w:r>
        <w:t xml:space="preserve">"dix-huit" </w:t>
      </w:r>
      <w:r>
        <w:t xml:space="preserve">ou </w:t>
      </w:r>
      <w:r>
        <w:t xml:space="preserve">"dix-neuf") </w:t>
      </w:r>
      <w:r>
        <w:t xml:space="preserve">NEAR/2 </w:t>
      </w:r>
      <w:r>
        <w:t xml:space="preserve">(année </w:t>
      </w:r>
      <w:r>
        <w:t xml:space="preserve">ou </w:t>
      </w:r>
      <w:r>
        <w:t xml:space="preserve">années </w:t>
      </w:r>
      <w:r>
        <w:t xml:space="preserve">ou </w:t>
      </w:r>
      <w:r>
        <w:t xml:space="preserve">âge </w:t>
      </w:r>
      <w:r>
        <w:t xml:space="preserve">ou </w:t>
      </w:r>
      <w:r>
        <w:t xml:space="preserve">âges </w:t>
      </w:r>
      <w:r>
        <w:t xml:space="preserve">ou âgés)):ti,ab </w:t>
      </w:r>
      <w:r>
        <w:t xml:space="preserve">6710</w:t>
      </w:r>
    </w:p>
    <w:p>
      <w:pPr>
        <w:pStyle w:val="Corpsdetexte"/>
        <w:tabs>
          <w:tab w:val="left" w:pos="880"/>
        </w:tabs>
        <w:spacing w:before="0"/>
      </w:pPr>
      <w:r>
        <w:t xml:space="preserve">#28</w:t>
      </w:r>
      <w:r>
        <w:tab/>
        <w:t xml:space="preserve">(("8" </w:t>
      </w:r>
      <w:r>
        <w:t xml:space="preserve">ou </w:t>
      </w:r>
      <w:r>
        <w:t xml:space="preserve">"9" </w:t>
      </w:r>
      <w:r>
        <w:t xml:space="preserve">ou </w:t>
      </w:r>
      <w:r>
        <w:t xml:space="preserve">"10" </w:t>
      </w:r>
      <w:r>
        <w:t xml:space="preserve">ou "11" </w:t>
      </w:r>
      <w:r>
        <w:t xml:space="preserve">ou </w:t>
      </w:r>
      <w:r>
        <w:t xml:space="preserve">"12" </w:t>
      </w:r>
      <w:r>
        <w:t xml:space="preserve">ou "13" ou </w:t>
      </w:r>
      <w:r>
        <w:t xml:space="preserve">"14" ou </w:t>
      </w:r>
      <w:r>
        <w:t xml:space="preserve">"15" ou </w:t>
      </w:r>
      <w:r>
        <w:t xml:space="preserve">"16" ou </w:t>
      </w:r>
      <w:r>
        <w:t xml:space="preserve">"17" ou </w:t>
      </w:r>
      <w:r>
        <w:t xml:space="preserve">"18" ou </w:t>
      </w:r>
      <w:r>
        <w:t xml:space="preserve">"19")</w:t>
      </w:r>
    </w:p>
    <w:p>
      <w:pPr>
        <w:pStyle w:val="Corpsdetexte"/>
        <w:tabs>
          <w:tab w:val="left" w:pos="5921"/>
        </w:tabs>
        <w:spacing w:before="38"/>
      </w:pPr>
      <w:r>
        <w:t xml:space="preserve">NEAR/2 </w:t>
      </w:r>
      <w:r>
        <w:t xml:space="preserve">(année </w:t>
      </w:r>
      <w:r>
        <w:t xml:space="preserve">ou </w:t>
      </w:r>
      <w:r>
        <w:t xml:space="preserve">années </w:t>
      </w:r>
      <w:r>
        <w:t xml:space="preserve">ou </w:t>
      </w:r>
      <w:r>
        <w:t xml:space="preserve">âge </w:t>
      </w:r>
      <w:r>
        <w:t xml:space="preserve">ou </w:t>
      </w:r>
      <w:r>
        <w:t xml:space="preserve">âges </w:t>
      </w:r>
      <w:r>
        <w:t xml:space="preserve">ou </w:t>
      </w:r>
      <w:r>
        <w:t xml:space="preserve">âgés)):ti,ab196881</w:t>
      </w:r>
    </w:p>
    <w:p>
      <w:pPr>
        <w:pStyle w:val="Corpsdetexte"/>
        <w:tabs>
          <w:tab w:val="left" w:pos="880"/>
          <w:tab w:val="left" w:pos="2320"/>
        </w:tabs>
      </w:pPr>
      <w:r>
        <w:t xml:space="preserve">#29</w:t>
      </w:r>
      <w:r>
        <w:tab/>
      </w:r>
      <w:r>
        <w:t xml:space="preserve">{ou #14-#28}469351</w:t>
      </w:r>
    </w:p>
    <w:p>
      <w:pPr>
        <w:pStyle w:val="Corpsdetexte"/>
        <w:tabs>
          <w:tab w:val="left" w:pos="880"/>
          <w:tab w:val="left" w:pos="2320"/>
        </w:tabs>
      </w:pPr>
      <w:r>
        <w:t xml:space="preserve">#30#13 </w:t>
      </w:r>
      <w:r>
        <w:t xml:space="preserve">et </w:t>
      </w:r>
      <w:r>
        <w:t xml:space="preserve">#292146</w:t>
      </w:r>
    </w:p>
    <w:p>
      <w:pPr>
        <w:pStyle w:val="Corpsdetexte"/>
        <w:tabs>
          <w:tab w:val="left" w:pos="880"/>
        </w:tabs>
        <w:spacing w:before="40" w:line="276" w:lineRule="auto"/>
        <w:ind w:start="880" w:end="456" w:hanging="720"/>
      </w:pPr>
      <w:r>
        <w:t xml:space="preserve">#31</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transboy*):ti,ab </w:t>
      </w:r>
      <w:r>
        <w:t xml:space="preserve">0</w:t>
      </w:r>
    </w:p>
    <w:p>
      <w:pPr>
        <w:pStyle w:val="Corpsdetexte"/>
        <w:tabs>
          <w:tab w:val="left" w:pos="880"/>
          <w:tab w:val="left" w:pos="2320"/>
        </w:tabs>
        <w:spacing w:before="0" w:line="252" w:lineRule="exact"/>
      </w:pPr>
      <w:r>
        <w:t xml:space="preserve">#32#30 </w:t>
      </w:r>
      <w:r>
        <w:t xml:space="preserve">ou </w:t>
      </w:r>
      <w:r>
        <w:t xml:space="preserve">#312146</w:t>
      </w:r>
    </w:p>
    <w:p>
      <w:pPr>
        <w:pStyle w:val="Corpsdetexte"/>
        <w:tabs>
          <w:tab w:val="left" w:pos="880"/>
          <w:tab w:val="left" w:pos="5200"/>
        </w:tabs>
        <w:spacing w:before="38"/>
      </w:pPr>
      <w:r>
        <w:t xml:space="preserve">#33</w:t>
      </w:r>
      <w:r>
        <w:tab/>
        <w:t xml:space="preserve">[mh </w:t>
      </w:r>
      <w:r>
        <w:t xml:space="preserve">^"Gonadotropin-Releasing </w:t>
      </w:r>
      <w:r>
        <w:t xml:space="preserve">Hormone"]</w:t>
      </w:r>
      <w:r>
        <w:tab/>
        <w:t xml:space="preserve">1311</w:t>
      </w:r>
    </w:p>
    <w:p>
      <w:pPr>
        <w:pStyle w:val="Corpsdetexte"/>
        <w:tabs>
          <w:tab w:val="left" w:pos="880"/>
        </w:tabs>
      </w:pPr>
      <w:r>
        <w:t xml:space="preserve">#34</w:t>
      </w:r>
      <w:r>
        <w:tab/>
      </w:r>
      <w:r>
        <w:rPr>
          <w:spacing w:val="-1"/>
        </w:rPr>
        <w:t xml:space="preserve">(pubert* </w:t>
      </w:r>
      <w:r>
        <w:rPr>
          <w:spacing w:val="-1"/>
        </w:rPr>
        <w:t xml:space="preserve">PROCHE/3 </w:t>
      </w:r>
      <w:r>
        <w:rPr>
          <w:spacing w:val="-1"/>
        </w:rPr>
        <w:t xml:space="preserve">bloc*):ti,ab </w:t>
      </w:r>
      <w:r>
        <w:t xml:space="preserve">1</w:t>
      </w:r>
    </w:p>
    <w:p>
      <w:pPr>
        <w:pStyle w:val="Corpsdetexte"/>
        <w:tabs>
          <w:tab w:val="left" w:pos="880"/>
          <w:tab w:val="left" w:pos="6641"/>
        </w:tabs>
        <w:spacing w:before="40"/>
      </w:pPr>
      <w:r>
        <w:t xml:space="preserve">#35</w:t>
      </w:r>
      <w:r>
        <w:tab/>
      </w:r>
      <w:r>
        <w:t xml:space="preserve">((gonadotrophine </w:t>
      </w:r>
      <w:r>
        <w:t xml:space="preserve">ou </w:t>
      </w:r>
      <w:r>
        <w:t xml:space="preserve">gonadotrophine) </w:t>
      </w:r>
      <w:r>
        <w:t xml:space="preserve">et </w:t>
      </w:r>
      <w:r>
        <w:t xml:space="preserve">libération):ti,ab2095</w:t>
      </w:r>
    </w:p>
    <w:p>
      <w:pPr>
        <w:pStyle w:val="Corpsdetexte"/>
        <w:tabs>
          <w:tab w:val="left" w:pos="880"/>
          <w:tab w:val="left" w:pos="4480"/>
        </w:tabs>
      </w:pPr>
      <w:r>
        <w:t xml:space="preserve">#36</w:t>
      </w:r>
      <w:r>
        <w:tab/>
        <w:t xml:space="preserve">(GnRH </w:t>
      </w:r>
      <w:r>
        <w:t xml:space="preserve">NEAR/2 </w:t>
      </w:r>
      <w:r>
        <w:t xml:space="preserve">analogue*):ti,ab493</w:t>
      </w:r>
    </w:p>
    <w:p>
      <w:pPr>
        <w:pStyle w:val="Corpsdetexte"/>
        <w:tabs>
          <w:tab w:val="left" w:pos="880"/>
          <w:tab w:val="left" w:pos="2320"/>
        </w:tabs>
        <w:spacing w:before="38"/>
      </w:pPr>
      <w:r>
        <w:t xml:space="preserve">#37GnRH*</w:t>
      </w:r>
      <w:r>
        <w:tab/>
        <w:t xml:space="preserve">:ti,ab3764</w:t>
      </w:r>
    </w:p>
    <w:p>
      <w:pPr>
        <w:pStyle w:val="Corpsdetexte"/>
        <w:tabs>
          <w:tab w:val="left" w:pos="880"/>
        </w:tabs>
      </w:pPr>
      <w:r>
        <w:t xml:space="preserve">#38 </w:t>
      </w:r>
      <w:r>
        <w:tab/>
        <w:t xml:space="preserve">"</w:t>
      </w:r>
      <w:r>
        <w:t xml:space="preserve">Agoniste de la GnRH*":ti,ab </w:t>
      </w:r>
      <w:r>
        <w:t xml:space="preserve">1399</w:t>
      </w:r>
    </w:p>
    <w:p>
      <w:pPr>
        <w:pStyle w:val="Corpsdetexte"/>
        <w:tabs>
          <w:tab w:val="left" w:pos="880"/>
          <w:tab w:val="left" w:pos="3760"/>
        </w:tabs>
        <w:spacing w:before="40"/>
      </w:pPr>
      <w:r>
        <w:t xml:space="preserve">#39</w:t>
      </w:r>
      <w:r>
        <w:tab/>
        <w:t xml:space="preserve">[mh </w:t>
      </w:r>
      <w:r>
        <w:t xml:space="preserve">^"</w:t>
      </w:r>
      <w:r>
        <w:t xml:space="preserve">Pamoate de </w:t>
      </w:r>
      <w:r>
        <w:t xml:space="preserve">triptoréline</w:t>
      </w:r>
      <w:r>
        <w:t xml:space="preserve">"]</w:t>
      </w:r>
      <w:r>
        <w:tab/>
        <w:t xml:space="preserve">451</w:t>
      </w:r>
    </w:p>
    <w:p>
      <w:pPr>
        <w:pStyle w:val="Corpsdetexte"/>
        <w:tabs>
          <w:tab w:val="left" w:pos="880"/>
        </w:tabs>
      </w:pPr>
      <w:r>
        <w:t xml:space="preserve">#40triptorelin</w:t>
      </w:r>
      <w:r>
        <w:tab/>
        <w:t xml:space="preserve">:ti,ab </w:t>
      </w:r>
      <w:r>
        <w:t xml:space="preserve">451</w:t>
      </w:r>
    </w:p>
    <w:p>
      <w:pPr>
        <w:pStyle w:val="Corpsdetexte"/>
        <w:tabs>
          <w:tab w:val="left" w:pos="880"/>
          <w:tab w:val="left" w:pos="2320"/>
        </w:tabs>
        <w:spacing w:before="38"/>
      </w:pPr>
      <w:r>
        <w:t xml:space="preserve">#41arvekap</w:t>
      </w:r>
      <w:r>
        <w:tab/>
        <w:t xml:space="preserve">:ti,ab4</w:t>
      </w:r>
    </w:p>
    <w:p>
      <w:pPr>
        <w:pStyle w:val="Corpsdetexte"/>
        <w:tabs>
          <w:tab w:val="left" w:pos="880"/>
          <w:tab w:val="left" w:pos="4480"/>
        </w:tabs>
      </w:pPr>
      <w:r>
        <w:t xml:space="preserve">#42</w:t>
      </w:r>
      <w:r>
        <w:tab/>
        <w:t xml:space="preserve">("AY </w:t>
      </w:r>
      <w:r>
        <w:t xml:space="preserve">25650" </w:t>
      </w:r>
      <w:r>
        <w:t xml:space="preserve">ou </w:t>
      </w:r>
      <w:r>
        <w:t xml:space="preserve">AY25650):ti,ab0</w:t>
      </w:r>
    </w:p>
    <w:p>
      <w:pPr>
        <w:pStyle w:val="Corpsdetexte"/>
        <w:tabs>
          <w:tab w:val="left" w:pos="880"/>
          <w:tab w:val="left" w:pos="4480"/>
        </w:tabs>
        <w:spacing w:before="38"/>
      </w:pPr>
      <w:r>
        <w:t xml:space="preserve">#43</w:t>
      </w:r>
      <w:r>
        <w:tab/>
        <w:t xml:space="preserve">("BIM </w:t>
      </w:r>
      <w:r>
        <w:t xml:space="preserve">21003" </w:t>
      </w:r>
      <w:r>
        <w:t xml:space="preserve">ou </w:t>
      </w:r>
      <w:r>
        <w:t xml:space="preserve">BIM21003):ti,ab0</w:t>
      </w:r>
    </w:p>
    <w:p>
      <w:pPr>
        <w:pStyle w:val="Corpsdetexte"/>
        <w:tabs>
          <w:tab w:val="left" w:pos="880"/>
          <w:tab w:val="left" w:pos="4480"/>
        </w:tabs>
        <w:spacing w:before="40"/>
      </w:pPr>
      <w:r>
        <w:t xml:space="preserve">#44</w:t>
      </w:r>
      <w:r>
        <w:tab/>
        <w:t xml:space="preserve">("BN </w:t>
      </w:r>
      <w:r>
        <w:t xml:space="preserve">52014" </w:t>
      </w:r>
      <w:r>
        <w:t xml:space="preserve">ou </w:t>
      </w:r>
      <w:r>
        <w:t xml:space="preserve">BN52014):ti,ab0</w:t>
      </w:r>
    </w:p>
    <w:p>
      <w:pPr>
        <w:pStyle w:val="Corpsdetexte"/>
        <w:tabs>
          <w:tab w:val="left" w:pos="880"/>
          <w:tab w:val="left" w:pos="4480"/>
        </w:tabs>
        <w:spacing w:before="38"/>
      </w:pPr>
      <w:r>
        <w:t xml:space="preserve">45</w:t>
      </w:r>
      <w:r>
        <w:tab/>
        <w:t xml:space="preserve">("CL </w:t>
      </w:r>
      <w:r>
        <w:t xml:space="preserve">118532" </w:t>
      </w:r>
      <w:r>
        <w:t xml:space="preserve">ou </w:t>
      </w:r>
      <w:r>
        <w:t xml:space="preserve">CL118532):ti,ab0</w:t>
      </w:r>
    </w:p>
    <w:p>
      <w:pPr>
        <w:pStyle w:val="Corpsdetexte"/>
        <w:tabs>
          <w:tab w:val="left" w:pos="880"/>
          <w:tab w:val="left" w:pos="2320"/>
        </w:tabs>
      </w:pPr>
      <w:r>
        <w:t xml:space="preserve">#46Debio</w:t>
      </w:r>
      <w:r>
        <w:tab/>
        <w:t xml:space="preserve">:ti,ab301</w:t>
      </w:r>
    </w:p>
    <w:p>
      <w:pPr>
        <w:pStyle w:val="Corpsdetexte"/>
        <w:tabs>
          <w:tab w:val="left" w:pos="880"/>
          <w:tab w:val="left" w:pos="3040"/>
        </w:tabs>
      </w:pPr>
      <w:r>
        <w:t xml:space="preserve">#47diphereline</w:t>
      </w:r>
      <w:r>
        <w:tab/>
        <w:t xml:space="preserve">:ti,ab25</w:t>
      </w:r>
    </w:p>
    <w:p>
      <w:pPr>
        <w:pStyle w:val="Corpsdetexte"/>
        <w:tabs>
          <w:tab w:val="left" w:pos="880"/>
          <w:tab w:val="left" w:pos="2320"/>
        </w:tabs>
        <w:spacing w:before="40"/>
      </w:pPr>
      <w:r>
        <w:t xml:space="preserve">#48moapar</w:t>
      </w:r>
      <w:r>
        <w:tab/>
        <w:t xml:space="preserve">:ti,ab0</w:t>
      </w:r>
    </w:p>
    <w:p>
      <w:pPr>
        <w:pStyle w:val="Corpsdetexte"/>
        <w:tabs>
          <w:tab w:val="left" w:pos="880"/>
          <w:tab w:val="left" w:pos="3040"/>
        </w:tabs>
        <w:spacing w:before="38"/>
      </w:pPr>
      <w:r>
        <w:t xml:space="preserve">#49pamorelin</w:t>
      </w:r>
      <w:r>
        <w:tab/>
        <w:t xml:space="preserve">:ti,ab5</w:t>
      </w:r>
    </w:p>
    <w:p>
      <w:pPr>
        <w:pStyle w:val="Corpsdetexte"/>
        <w:tabs>
          <w:tab w:val="left" w:pos="880"/>
          <w:tab w:val="left" w:pos="2320"/>
        </w:tabs>
      </w:pPr>
      <w:r>
        <w:t xml:space="preserve">#50trelstar</w:t>
      </w:r>
      <w:r>
        <w:tab/>
        <w:t xml:space="preserve">:ti,ab3</w:t>
      </w:r>
    </w:p>
    <w:p w:rsidR="00432386" w:rsidRDefault="00432386">
      <w:pPr>
        <w:sectPr w:rsidR="00432386">
          <w:pgSz w:w="11910" w:h="16840"/>
          <w:pgMar w:top="1180" w:right="980" w:bottom="1460" w:left="1280" w:header="0" w:footer="1183" w:gutter="0"/>
          <w:cols w:space="720"/>
        </w:sectPr>
      </w:pPr>
    </w:p>
    <w:tbl>
      <w:tblPr>
        <w:tblStyle w:val="TableNormal"/>
        <w:tblW w:w="0" w:type="auto"/>
        <w:tblInd w:w="117" w:type="dxa"/>
        <w:tblLayout w:type="fixed"/>
        <w:tblLook w:val="01e0"/>
      </w:tblPr>
      <w:tblGrid>
        <w:gridCol w:w="594"/>
        <w:gridCol w:w="3524"/>
        <w:gridCol w:w="427"/>
      </w:tblGrid>
      <w:tr w:rsidR="00432386">
        <w:trPr>
          <w:trHeight w:val="268"/>
        </w:trPr>
        <w:tc>
          <w:tcPr>
            <w:tcW w:w="594" w:type="dxa"/>
          </w:tcPr>
          <w:p>
            <w:pPr>
              <w:pStyle w:val="TableParagraph"/>
              <w:spacing w:line="247" w:lineRule="exact"/>
              <w:ind w:start="50"/>
            </w:pPr>
            <w:r>
              <w:lastRenderedPageBreak/>
              <w:t xml:space="preserve">#51</w:t>
            </w:r>
          </w:p>
        </w:tc>
        <w:tc>
          <w:tcPr>
            <w:tcW w:w="3524" w:type="dxa"/>
          </w:tcPr>
          <w:p>
            <w:pPr>
              <w:pStyle w:val="TableParagraph"/>
              <w:spacing w:line="247" w:lineRule="exact"/>
              <w:ind w:start="175"/>
            </w:pPr>
            <w:r>
              <w:t xml:space="preserve">triptodur:ti,ab </w:t>
            </w:r>
            <w:r>
              <w:t xml:space="preserve">0</w:t>
            </w:r>
          </w:p>
        </w:tc>
        <w:tc>
          <w:tcPr>
            <w:tcW w:w="427" w:type="dxa"/>
          </w:tcPr>
          <w:p w:rsidR="00432386" w:rsidRDefault="00432386">
            <w:pPr>
              <w:pStyle w:val="TableParagraph"/>
              <w:rPr>
                <w:rFonts w:ascii="Times New Roman"/>
                <w:sz w:val="18"/>
              </w:rPr>
            </w:pPr>
          </w:p>
        </w:tc>
      </w:tr>
      <w:tr w:rsidR="00432386">
        <w:trPr>
          <w:trHeight w:val="290"/>
        </w:trPr>
        <w:tc>
          <w:tcPr>
            <w:tcW w:w="594" w:type="dxa"/>
          </w:tcPr>
          <w:p>
            <w:pPr>
              <w:pStyle w:val="TableParagraph"/>
              <w:spacing w:before="15"/>
              <w:ind w:start="50"/>
            </w:pPr>
            <w:r>
              <w:t xml:space="preserve">#52</w:t>
            </w:r>
          </w:p>
        </w:tc>
        <w:tc>
          <w:tcPr>
            <w:tcW w:w="3524" w:type="dxa"/>
          </w:tcPr>
          <w:p>
            <w:pPr>
              <w:pStyle w:val="TableParagraph"/>
              <w:spacing w:before="15"/>
              <w:ind w:start="175"/>
            </w:pPr>
            <w:r>
              <w:t xml:space="preserve">("WY </w:t>
            </w:r>
            <w:r>
              <w:t xml:space="preserve">42422" </w:t>
            </w:r>
            <w:r>
              <w:t xml:space="preserve">ou </w:t>
            </w:r>
            <w:r>
              <w:t xml:space="preserve">WY42422):ti,ab</w:t>
            </w:r>
          </w:p>
        </w:tc>
        <w:tc>
          <w:tcPr>
            <w:tcW w:w="427" w:type="dxa"/>
          </w:tcPr>
          <w:p>
            <w:pPr>
              <w:pStyle w:val="TableParagraph"/>
              <w:spacing w:before="15"/>
              <w:ind w:end="49"/>
              <w:jc w:val="right"/>
            </w:pPr>
            <w:r>
              <w:t xml:space="preserve">0</w:t>
            </w:r>
          </w:p>
        </w:tc>
      </w:tr>
      <w:tr w:rsidR="00432386">
        <w:trPr>
          <w:trHeight w:val="582"/>
        </w:trPr>
        <w:tc>
          <w:tcPr>
            <w:tcW w:w="594" w:type="dxa"/>
          </w:tcPr>
          <w:p>
            <w:pPr>
              <w:pStyle w:val="TableParagraph"/>
              <w:spacing w:before="15"/>
              <w:ind w:start="50"/>
            </w:pPr>
            <w:r>
              <w:t xml:space="preserve">#53</w:t>
            </w:r>
          </w:p>
          <w:p>
            <w:pPr>
              <w:pStyle w:val="TableParagraph"/>
              <w:spacing w:before="38"/>
              <w:ind w:start="50"/>
            </w:pPr>
            <w:r>
              <w:t xml:space="preserve">#54</w:t>
            </w:r>
          </w:p>
        </w:tc>
        <w:tc>
          <w:tcPr>
            <w:tcW w:w="3524" w:type="dxa"/>
          </w:tcPr>
          <w:p>
            <w:pPr>
              <w:pStyle w:val="TableParagraph"/>
              <w:spacing w:before="15"/>
              <w:ind w:start="175"/>
            </w:pPr>
            <w:r>
              <w:t xml:space="preserve">("WY </w:t>
            </w:r>
            <w:r>
              <w:t xml:space="preserve">42462" </w:t>
            </w:r>
            <w:r>
              <w:t xml:space="preserve">ou </w:t>
            </w:r>
            <w:r>
              <w:t xml:space="preserve">WY42462):ti,ab</w:t>
            </w:r>
          </w:p>
          <w:p>
            <w:pPr>
              <w:pStyle w:val="TableParagraph"/>
              <w:tabs>
                <w:tab w:val="right" w:pos="2581"/>
              </w:tabs>
              <w:spacing w:before="38"/>
              <w:ind w:start="175"/>
            </w:pPr>
            <w:r>
              <w:t xml:space="preserve">gonapeptyl:ti,ab11</w:t>
            </w:r>
          </w:p>
        </w:tc>
        <w:tc>
          <w:tcPr>
            <w:tcW w:w="427" w:type="dxa"/>
          </w:tcPr>
          <w:p>
            <w:pPr>
              <w:pStyle w:val="TableParagraph"/>
              <w:spacing w:before="15"/>
              <w:ind w:end="49"/>
              <w:jc w:val="right"/>
            </w:pPr>
            <w:r>
              <w:t xml:space="preserve">0</w:t>
            </w:r>
          </w:p>
        </w:tc>
      </w:tr>
      <w:tr w:rsidR="00432386">
        <w:trPr>
          <w:trHeight w:val="1431"/>
        </w:trPr>
        <w:tc>
          <w:tcPr>
            <w:tcW w:w="594" w:type="dxa"/>
          </w:tcPr>
          <w:p>
            <w:pPr>
              <w:pStyle w:val="TableParagraph"/>
              <w:spacing w:before="16"/>
              <w:ind w:start="50"/>
            </w:pPr>
            <w:r>
              <w:t xml:space="preserve">#55</w:t>
            </w:r>
          </w:p>
          <w:p>
            <w:pPr>
              <w:pStyle w:val="TableParagraph"/>
              <w:spacing w:before="38"/>
              <w:ind w:start="50"/>
            </w:pPr>
            <w:r>
              <w:t xml:space="preserve">#56</w:t>
            </w:r>
          </w:p>
          <w:p>
            <w:pPr>
              <w:pStyle w:val="TableParagraph"/>
              <w:spacing w:before="37"/>
              <w:ind w:start="50"/>
            </w:pPr>
            <w:r>
              <w:t xml:space="preserve">#57</w:t>
            </w:r>
          </w:p>
          <w:p>
            <w:pPr>
              <w:pStyle w:val="TableParagraph"/>
              <w:spacing w:before="38"/>
              <w:ind w:start="50"/>
            </w:pPr>
            <w:r>
              <w:t xml:space="preserve">#58</w:t>
            </w:r>
          </w:p>
          <w:p>
            <w:pPr>
              <w:pStyle w:val="TableParagraph"/>
              <w:spacing w:before="37" w:line="233" w:lineRule="exact"/>
              <w:ind w:start="50"/>
            </w:pPr>
            <w:r>
              <w:t xml:space="preserve">#59</w:t>
            </w:r>
          </w:p>
        </w:tc>
        <w:tc>
          <w:tcPr>
            <w:tcW w:w="3524" w:type="dxa"/>
          </w:tcPr>
          <w:p>
            <w:pPr>
              <w:pStyle w:val="TableParagraph"/>
              <w:tabs>
                <w:tab w:val="right" w:pos="2703"/>
              </w:tabs>
              <w:spacing w:before="16"/>
              <w:ind w:start="175"/>
            </w:pPr>
            <w:r>
              <w:t xml:space="preserve">décapeptyl:ti,ab135</w:t>
            </w:r>
          </w:p>
          <w:p>
            <w:pPr>
              <w:pStyle w:val="TableParagraph"/>
              <w:tabs>
                <w:tab w:val="left" w:pos="1615"/>
              </w:tabs>
              <w:spacing w:before="38"/>
              <w:ind w:start="175"/>
            </w:pPr>
            <w:r>
              <w:t xml:space="preserve">salvacyl:ti,ab0</w:t>
            </w:r>
          </w:p>
          <w:p>
            <w:pPr>
              <w:pStyle w:val="TableParagraph"/>
              <w:tabs>
                <w:tab w:val="right" w:pos="2703"/>
              </w:tabs>
              <w:spacing w:before="37"/>
              <w:ind w:start="175"/>
            </w:pPr>
            <w:r>
              <w:t xml:space="preserve">[mh </w:t>
            </w:r>
            <w:r>
              <w:t xml:space="preserve">^Buserelin]</w:t>
            </w:r>
            <w:r>
              <w:tab/>
              <w:t xml:space="preserve">290</w:t>
            </w:r>
          </w:p>
          <w:p>
            <w:pPr>
              <w:pStyle w:val="TableParagraph"/>
              <w:spacing w:before="38"/>
              <w:ind w:start="175"/>
            </w:pPr>
            <w:r>
              <w:rPr>
                <w:spacing w:val="-1"/>
              </w:rPr>
              <w:t xml:space="preserve">Buserelin:ti,ab </w:t>
            </w:r>
            <w:r>
              <w:t xml:space="preserve">339</w:t>
            </w:r>
          </w:p>
          <w:p>
            <w:pPr>
              <w:pStyle w:val="TableParagraph"/>
              <w:tabs>
                <w:tab w:val="left" w:pos="1615"/>
              </w:tabs>
              <w:spacing w:before="37" w:line="233" w:lineRule="exact"/>
              <w:ind w:start="175"/>
            </w:pPr>
            <w:r>
              <w:t xml:space="preserve">bigoniste:ti,ab0</w:t>
            </w:r>
          </w:p>
        </w:tc>
        <w:tc>
          <w:tcPr>
            <w:tcW w:w="427" w:type="dxa"/>
          </w:tcPr>
          <w:p w:rsidR="00432386" w:rsidRDefault="00432386">
            <w:pPr>
              <w:pStyle w:val="TableParagraph"/>
              <w:rPr>
                <w:rFonts w:ascii="Times New Roman"/>
              </w:rPr>
            </w:pPr>
          </w:p>
        </w:tc>
      </w:tr>
    </w:tbl>
    <w:p>
      <w:pPr>
        <w:pStyle w:val="Corpsdetexte"/>
        <w:tabs>
          <w:tab w:val="left" w:pos="880"/>
          <w:tab w:val="right" w:pos="5445"/>
        </w:tabs>
        <w:spacing w:before="46"/>
      </w:pPr>
      <w:r>
        <w:t xml:space="preserve">#60</w:t>
      </w:r>
      <w:r>
        <w:tab/>
        <w:t xml:space="preserve">("hoe </w:t>
      </w:r>
      <w:r>
        <w:t xml:space="preserve">766" </w:t>
      </w:r>
      <w:r>
        <w:t xml:space="preserve">ou </w:t>
      </w:r>
      <w:r>
        <w:t xml:space="preserve">hoe-766 </w:t>
      </w:r>
      <w:r>
        <w:t xml:space="preserve">ou </w:t>
      </w:r>
      <w:r>
        <w:t xml:space="preserve">hoe766):ti,ab11</w:t>
      </w:r>
    </w:p>
    <w:p>
      <w:pPr>
        <w:pStyle w:val="Corpsdetexte"/>
        <w:tabs>
          <w:tab w:val="left" w:pos="880"/>
          <w:tab w:val="right" w:pos="2443"/>
        </w:tabs>
      </w:pPr>
      <w:r>
        <w:t xml:space="preserve">#61profact</w:t>
      </w:r>
      <w:r>
        <w:tab/>
        <w:t xml:space="preserve">:ti,ab1</w:t>
      </w:r>
    </w:p>
    <w:p>
      <w:pPr>
        <w:pStyle w:val="Corpsdetexte"/>
        <w:tabs>
          <w:tab w:val="left" w:pos="880"/>
          <w:tab w:val="right" w:pos="2443"/>
        </w:tabs>
        <w:spacing w:before="38"/>
      </w:pPr>
      <w:r>
        <w:t xml:space="preserve">#62receptal</w:t>
      </w:r>
      <w:r>
        <w:tab/>
        <w:t xml:space="preserve">:ti,ab4</w:t>
      </w:r>
    </w:p>
    <w:p>
      <w:pPr>
        <w:pStyle w:val="Corpsdetexte"/>
        <w:tabs>
          <w:tab w:val="left" w:pos="880"/>
        </w:tabs>
      </w:pPr>
      <w:r>
        <w:t xml:space="preserve">#63suprecur</w:t>
      </w:r>
      <w:r>
        <w:tab/>
        <w:t xml:space="preserve">:ti,ab </w:t>
      </w:r>
      <w:r>
        <w:t xml:space="preserve">0</w:t>
      </w:r>
    </w:p>
    <w:p>
      <w:pPr>
        <w:pStyle w:val="Corpsdetexte"/>
        <w:tabs>
          <w:tab w:val="left" w:pos="880"/>
        </w:tabs>
        <w:spacing w:before="40"/>
      </w:pPr>
      <w:r>
        <w:t xml:space="preserve">#64suprefact</w:t>
      </w:r>
      <w:r>
        <w:tab/>
        <w:t xml:space="preserve">:ti,ab </w:t>
      </w:r>
      <w:r>
        <w:t xml:space="preserve">28</w:t>
      </w:r>
    </w:p>
    <w:p>
      <w:pPr>
        <w:pStyle w:val="Corpsdetexte"/>
        <w:tabs>
          <w:tab w:val="left" w:pos="880"/>
          <w:tab w:val="left" w:pos="2320"/>
        </w:tabs>
      </w:pPr>
      <w:r>
        <w:t xml:space="preserve">#65tiloryth</w:t>
      </w:r>
      <w:r>
        <w:tab/>
        <w:t xml:space="preserve">:ti,ab0</w:t>
      </w:r>
    </w:p>
    <w:p>
      <w:pPr>
        <w:pStyle w:val="Corpsdetexte"/>
        <w:tabs>
          <w:tab w:val="left" w:pos="880"/>
          <w:tab w:val="right" w:pos="2443"/>
        </w:tabs>
        <w:spacing w:before="38"/>
      </w:pPr>
      <w:r>
        <w:t xml:space="preserve">#66histrelin</w:t>
      </w:r>
      <w:r>
        <w:tab/>
        <w:t xml:space="preserve">:ti,ab5</w:t>
      </w:r>
    </w:p>
    <w:p>
      <w:pPr>
        <w:pStyle w:val="Corpsdetexte"/>
        <w:tabs>
          <w:tab w:val="left" w:pos="880"/>
          <w:tab w:val="left" w:pos="4480"/>
        </w:tabs>
        <w:spacing w:before="38"/>
      </w:pPr>
      <w:r>
        <w:t xml:space="preserve">67 </w:t>
      </w:r>
      <w:r>
        <w:tab/>
        <w:t xml:space="preserve">"</w:t>
      </w:r>
      <w:r>
        <w:t xml:space="preserve">Implant de </w:t>
      </w:r>
      <w:r>
        <w:tab/>
        <w:t xml:space="preserve">LHRH-hydrogel</w:t>
      </w:r>
      <w:r>
        <w:t xml:space="preserve">":ti,ab0</w:t>
      </w:r>
    </w:p>
    <w:p>
      <w:pPr>
        <w:pStyle w:val="Corpsdetexte"/>
        <w:tabs>
          <w:tab w:val="left" w:pos="880"/>
          <w:tab w:val="left" w:pos="3760"/>
        </w:tabs>
      </w:pPr>
      <w:r>
        <w:t xml:space="preserve">#68</w:t>
      </w:r>
      <w:r>
        <w:tab/>
        <w:t xml:space="preserve">("RL </w:t>
      </w:r>
      <w:r>
        <w:t xml:space="preserve">0903" </w:t>
      </w:r>
      <w:r>
        <w:t xml:space="preserve">ou </w:t>
      </w:r>
      <w:r>
        <w:t xml:space="preserve">RL0903):ti,ab0</w:t>
      </w:r>
    </w:p>
    <w:p>
      <w:pPr>
        <w:pStyle w:val="Corpsdetexte"/>
        <w:tabs>
          <w:tab w:val="left" w:pos="880"/>
        </w:tabs>
        <w:spacing w:before="40"/>
      </w:pPr>
      <w:r>
        <w:t xml:space="preserve">#69</w:t>
      </w:r>
      <w:r>
        <w:tab/>
        <w:t xml:space="preserve">("SPD </w:t>
      </w:r>
      <w:r>
        <w:t xml:space="preserve">424" </w:t>
      </w:r>
      <w:r>
        <w:t xml:space="preserve">ou </w:t>
      </w:r>
      <w:r>
        <w:t xml:space="preserve">SPD424):ti,ab </w:t>
      </w:r>
      <w:r>
        <w:t xml:space="preserve">0</w:t>
      </w:r>
    </w:p>
    <w:p>
      <w:pPr>
        <w:pStyle w:val="Corpsdetexte"/>
        <w:tabs>
          <w:tab w:val="left" w:pos="880"/>
        </w:tabs>
        <w:spacing w:before="38"/>
      </w:pPr>
      <w:r>
        <w:t xml:space="preserve">#70goséréline</w:t>
      </w:r>
      <w:r>
        <w:tab/>
        <w:t xml:space="preserve">:ti,ab </w:t>
      </w:r>
      <w:r>
        <w:t xml:space="preserve">761</w:t>
      </w:r>
    </w:p>
    <w:p>
      <w:pPr>
        <w:pStyle w:val="Corpsdetexte"/>
        <w:tabs>
          <w:tab w:val="left" w:pos="880"/>
          <w:tab w:val="right" w:pos="3408"/>
        </w:tabs>
      </w:pPr>
      <w:r>
        <w:t xml:space="preserve">#71 </w:t>
      </w:r>
      <w:r>
        <w:tab/>
        <w:t xml:space="preserve">[mh </w:t>
      </w:r>
      <w:r>
        <w:t xml:space="preserve">^goserelin]</w:t>
      </w:r>
      <w:r>
        <w:tab/>
        <w:t xml:space="preserve">568</w:t>
      </w:r>
    </w:p>
    <w:p>
      <w:pPr>
        <w:pStyle w:val="Corpsdetexte"/>
        <w:tabs>
          <w:tab w:val="left" w:pos="880"/>
          <w:tab w:val="right" w:pos="4603"/>
        </w:tabs>
      </w:pPr>
      <w:r>
        <w:t xml:space="preserve">#72</w:t>
      </w:r>
      <w:r>
        <w:tab/>
        <w:t xml:space="preserve">("ici </w:t>
      </w:r>
      <w:r>
        <w:t xml:space="preserve">118630" </w:t>
      </w:r>
      <w:r>
        <w:t xml:space="preserve">ou </w:t>
      </w:r>
      <w:r>
        <w:t xml:space="preserve">ici118630):ti,ab7</w:t>
      </w:r>
    </w:p>
    <w:p>
      <w:pPr>
        <w:pStyle w:val="Corpsdetexte"/>
        <w:tabs>
          <w:tab w:val="left" w:pos="880"/>
        </w:tabs>
        <w:spacing w:before="40"/>
      </w:pPr>
      <w:r>
        <w:t xml:space="preserve">#73</w:t>
      </w:r>
      <w:r>
        <w:tab/>
        <w:t xml:space="preserve">("ZD-9393" </w:t>
      </w:r>
      <w:r>
        <w:t xml:space="preserve">ou </w:t>
      </w:r>
      <w:r>
        <w:t xml:space="preserve">ZD9393):ti,ab </w:t>
      </w:r>
      <w:r>
        <w:t xml:space="preserve">1</w:t>
      </w:r>
    </w:p>
    <w:p>
      <w:pPr>
        <w:pStyle w:val="Corpsdetexte"/>
        <w:tabs>
          <w:tab w:val="left" w:pos="880"/>
          <w:tab w:val="right" w:pos="2687"/>
        </w:tabs>
        <w:spacing w:before="38"/>
      </w:pPr>
      <w:r>
        <w:t xml:space="preserve">#74zoladex</w:t>
      </w:r>
      <w:r>
        <w:tab/>
        <w:t xml:space="preserve">:ti,ab318</w:t>
      </w:r>
    </w:p>
    <w:p>
      <w:pPr>
        <w:pStyle w:val="Corpsdetexte"/>
        <w:tabs>
          <w:tab w:val="left" w:pos="880"/>
          <w:tab w:val="right" w:pos="3408"/>
        </w:tabs>
      </w:pPr>
      <w:r>
        <w:t xml:space="preserve">#75leuprorelin</w:t>
      </w:r>
      <w:r>
        <w:tab/>
        <w:t xml:space="preserve">:ti,ab248</w:t>
      </w:r>
    </w:p>
    <w:p>
      <w:pPr>
        <w:pStyle w:val="Corpsdetexte"/>
        <w:tabs>
          <w:tab w:val="left" w:pos="880"/>
          <w:tab w:val="left" w:pos="2320"/>
        </w:tabs>
      </w:pPr>
      <w:r>
        <w:t xml:space="preserve">#76carcinil</w:t>
      </w:r>
      <w:r>
        <w:tab/>
        <w:t xml:space="preserve">:ti,ab0</w:t>
      </w:r>
    </w:p>
    <w:p>
      <w:pPr>
        <w:pStyle w:val="Corpsdetexte"/>
        <w:tabs>
          <w:tab w:val="left" w:pos="880"/>
        </w:tabs>
        <w:spacing w:before="38"/>
      </w:pPr>
      <w:r>
        <w:t xml:space="preserve">#77enanton*</w:t>
      </w:r>
      <w:r>
        <w:tab/>
        <w:t xml:space="preserve">:ti,ab </w:t>
      </w:r>
      <w:r>
        <w:t xml:space="preserve">21</w:t>
      </w:r>
    </w:p>
    <w:p>
      <w:pPr>
        <w:pStyle w:val="Corpsdetexte"/>
        <w:tabs>
          <w:tab w:val="left" w:pos="880"/>
          <w:tab w:val="right" w:pos="2443"/>
        </w:tabs>
        <w:spacing w:before="40"/>
      </w:pPr>
      <w:r>
        <w:t xml:space="preserve">#78ginecrin</w:t>
      </w:r>
      <w:r>
        <w:tab/>
        <w:t xml:space="preserve">:ti,ab1</w:t>
      </w:r>
    </w:p>
    <w:p>
      <w:pPr>
        <w:pStyle w:val="Corpsdetexte"/>
        <w:tabs>
          <w:tab w:val="left" w:pos="880"/>
          <w:tab w:val="right" w:pos="2443"/>
        </w:tabs>
        <w:spacing w:before="38"/>
      </w:pPr>
      <w:r>
        <w:t xml:space="preserve">#79</w:t>
      </w:r>
      <w:r>
        <w:tab/>
      </w:r>
      <w:r>
        <w:t xml:space="preserve">leuplin:ti,ab7</w:t>
      </w:r>
    </w:p>
    <w:p>
      <w:pPr>
        <w:pStyle w:val="Corpsdetexte"/>
        <w:tabs>
          <w:tab w:val="left" w:pos="880"/>
          <w:tab w:val="right" w:pos="3408"/>
        </w:tabs>
      </w:pPr>
      <w:r>
        <w:t xml:space="preserve">#80</w:t>
      </w:r>
      <w:r>
        <w:tab/>
        <w:t xml:space="preserve">[mh </w:t>
      </w:r>
      <w:r>
        <w:t xml:space="preserve">^Leuprolide]</w:t>
      </w:r>
      <w:r>
        <w:tab/>
        <w:t xml:space="preserve">686</w:t>
      </w:r>
    </w:p>
    <w:p>
      <w:pPr>
        <w:pStyle w:val="Corpsdetexte"/>
        <w:tabs>
          <w:tab w:val="left" w:pos="880"/>
        </w:tabs>
      </w:pPr>
      <w:r>
        <w:t xml:space="preserve">#81leuprolide</w:t>
      </w:r>
      <w:r>
        <w:tab/>
        <w:t xml:space="preserve">:ti,ab696</w:t>
      </w:r>
    </w:p>
    <w:p>
      <w:pPr>
        <w:pStyle w:val="Corpsdetexte"/>
        <w:tabs>
          <w:tab w:val="left" w:pos="880"/>
          <w:tab w:val="right" w:pos="2565"/>
        </w:tabs>
        <w:spacing w:before="38"/>
      </w:pPr>
      <w:r>
        <w:t xml:space="preserve">#82lucrin</w:t>
      </w:r>
      <w:r>
        <w:tab/>
        <w:t xml:space="preserve">:ti,ab21</w:t>
      </w:r>
    </w:p>
    <w:p>
      <w:pPr>
        <w:pStyle w:val="Corpsdetexte"/>
        <w:tabs>
          <w:tab w:val="left" w:pos="880"/>
          <w:tab w:val="right" w:pos="2565"/>
        </w:tabs>
        <w:spacing w:before="40"/>
      </w:pPr>
      <w:r>
        <w:t xml:space="preserve">#83lupron</w:t>
      </w:r>
      <w:r>
        <w:tab/>
        <w:t xml:space="preserve">:ti,ab77</w:t>
      </w:r>
    </w:p>
    <w:p>
      <w:pPr>
        <w:pStyle w:val="Corpsdetexte"/>
        <w:tabs>
          <w:tab w:val="left" w:pos="880"/>
          <w:tab w:val="left" w:pos="2320"/>
        </w:tabs>
      </w:pPr>
      <w:r>
        <w:t xml:space="preserve">#84provren</w:t>
      </w:r>
      <w:r>
        <w:tab/>
        <w:t xml:space="preserve">:ti,ab0</w:t>
      </w:r>
    </w:p>
    <w:p>
      <w:pPr>
        <w:pStyle w:val="Corpsdetexte"/>
        <w:tabs>
          <w:tab w:val="left" w:pos="880"/>
          <w:tab w:val="right" w:pos="2443"/>
        </w:tabs>
      </w:pPr>
      <w:r>
        <w:t xml:space="preserve">#85procrin</w:t>
      </w:r>
      <w:r>
        <w:tab/>
        <w:t xml:space="preserve">:ti,ab2</w:t>
      </w:r>
    </w:p>
    <w:p>
      <w:pPr>
        <w:pStyle w:val="Corpsdetexte"/>
        <w:tabs>
          <w:tab w:val="left" w:pos="880"/>
          <w:tab w:val="right" w:pos="4005"/>
        </w:tabs>
        <w:spacing w:before="38"/>
      </w:pPr>
      <w:r>
        <w:t xml:space="preserve">#86</w:t>
      </w:r>
      <w:r>
        <w:tab/>
        <w:t xml:space="preserve">("tap </w:t>
      </w:r>
      <w:r>
        <w:t xml:space="preserve">144" </w:t>
      </w:r>
      <w:r>
        <w:t xml:space="preserve">ou </w:t>
      </w:r>
      <w:r>
        <w:t xml:space="preserve">tap144):ti,ab24</w:t>
      </w:r>
    </w:p>
    <w:p>
      <w:pPr>
        <w:pStyle w:val="Corpsdetexte"/>
        <w:tabs>
          <w:tab w:val="left" w:pos="880"/>
          <w:tab w:val="left" w:pos="3760"/>
        </w:tabs>
        <w:spacing w:before="40"/>
      </w:pPr>
      <w:r>
        <w:t xml:space="preserve">87</w:t>
      </w:r>
      <w:r>
        <w:tab/>
        <w:t xml:space="preserve">(a-43818 </w:t>
      </w:r>
      <w:r>
        <w:t xml:space="preserve">ou </w:t>
      </w:r>
      <w:r>
        <w:t xml:space="preserve">a43818):ti,ab0</w:t>
      </w:r>
    </w:p>
    <w:p>
      <w:pPr>
        <w:pStyle w:val="Corpsdetexte"/>
        <w:tabs>
          <w:tab w:val="left" w:pos="880"/>
          <w:tab w:val="right" w:pos="3163"/>
        </w:tabs>
      </w:pPr>
      <w:r>
        <w:t xml:space="preserve">#88Trenantone</w:t>
      </w:r>
      <w:r>
        <w:tab/>
        <w:t xml:space="preserve">:ti,ab3</w:t>
      </w:r>
    </w:p>
    <w:p>
      <w:pPr>
        <w:pStyle w:val="Corpsdetexte"/>
        <w:tabs>
          <w:tab w:val="left" w:pos="880"/>
        </w:tabs>
        <w:spacing w:before="38"/>
      </w:pPr>
      <w:r>
        <w:t xml:space="preserve">#89staladex</w:t>
      </w:r>
      <w:r>
        <w:tab/>
        <w:t xml:space="preserve">:ti,ab </w:t>
      </w:r>
      <w:r>
        <w:t xml:space="preserve">0</w:t>
      </w:r>
    </w:p>
    <w:p>
      <w:pPr>
        <w:pStyle w:val="Corpsdetexte"/>
        <w:tabs>
          <w:tab w:val="left" w:pos="880"/>
          <w:tab w:val="right" w:pos="2443"/>
        </w:tabs>
      </w:pPr>
      <w:r>
        <w:t xml:space="preserve">#90prostap</w:t>
      </w:r>
      <w:r>
        <w:tab/>
        <w:t xml:space="preserve">:ti,ab9</w:t>
      </w:r>
    </w:p>
    <w:p>
      <w:pPr>
        <w:pStyle w:val="Corpsdetexte"/>
        <w:tabs>
          <w:tab w:val="left" w:pos="880"/>
          <w:tab w:val="right" w:pos="3285"/>
        </w:tabs>
      </w:pPr>
      <w:r>
        <w:t xml:space="preserve">#91</w:t>
      </w:r>
      <w:r>
        <w:tab/>
        <w:t xml:space="preserve">[mh </w:t>
      </w:r>
      <w:r>
        <w:t xml:space="preserve">^Nafarelin]</w:t>
      </w:r>
      <w:r>
        <w:tab/>
        <w:t xml:space="preserve">77</w:t>
      </w:r>
    </w:p>
    <w:p>
      <w:pPr>
        <w:pStyle w:val="Corpsdetexte"/>
        <w:tabs>
          <w:tab w:val="left" w:pos="880"/>
        </w:tabs>
        <w:spacing w:before="41"/>
      </w:pPr>
      <w:r>
        <w:t xml:space="preserve">#92nafarelin</w:t>
      </w:r>
      <w:r>
        <w:tab/>
        <w:t xml:space="preserve">:ti,ab </w:t>
      </w:r>
      <w:r>
        <w:t xml:space="preserve">114</w:t>
      </w:r>
    </w:p>
    <w:p>
      <w:pPr>
        <w:pStyle w:val="Corpsdetexte"/>
        <w:tabs>
          <w:tab w:val="left" w:pos="880"/>
          <w:tab w:val="left" w:pos="4480"/>
        </w:tabs>
      </w:pPr>
      <w:r>
        <w:t xml:space="preserve">#93</w:t>
      </w:r>
      <w:r>
        <w:tab/>
        <w:t xml:space="preserve">("76932-56-4" </w:t>
      </w:r>
      <w:r>
        <w:t xml:space="preserve">ou </w:t>
      </w:r>
      <w:r>
        <w:t xml:space="preserve">"76932564"):ti,ab0</w:t>
      </w:r>
    </w:p>
    <w:p>
      <w:pPr>
        <w:pStyle w:val="Corpsdetexte"/>
        <w:tabs>
          <w:tab w:val="left" w:pos="880"/>
          <w:tab w:val="right" w:pos="4603"/>
        </w:tabs>
        <w:spacing w:before="38"/>
      </w:pPr>
      <w:r>
        <w:t xml:space="preserve">#94</w:t>
      </w:r>
      <w:r>
        <w:tab/>
        <w:t xml:space="preserve">("76932-60-0" </w:t>
      </w:r>
      <w:r>
        <w:t xml:space="preserve">ou </w:t>
      </w:r>
      <w:r>
        <w:t xml:space="preserve">"76932600"):ti,ab2</w:t>
      </w:r>
    </w:p>
    <w:p>
      <w:pPr>
        <w:pStyle w:val="Corpsdetexte"/>
        <w:tabs>
          <w:tab w:val="left" w:pos="880"/>
          <w:tab w:val="left" w:pos="4480"/>
        </w:tabs>
      </w:pPr>
      <w:r>
        <w:t xml:space="preserve">#95</w:t>
      </w:r>
      <w:r>
        <w:tab/>
        <w:t xml:space="preserve">("86220-42-0" </w:t>
      </w:r>
      <w:r>
        <w:t xml:space="preserve">ou </w:t>
      </w:r>
      <w:r>
        <w:t xml:space="preserve">"86220420"):ti,ab0</w:t>
      </w:r>
    </w:p>
    <w:p>
      <w:pPr>
        <w:pStyle w:val="Corpsdetexte"/>
        <w:tabs>
          <w:tab w:val="left" w:pos="880"/>
        </w:tabs>
        <w:spacing w:before="40"/>
      </w:pPr>
      <w:r>
        <w:t xml:space="preserve">#96</w:t>
      </w:r>
      <w:r>
        <w:tab/>
        <w:t xml:space="preserve">("rs </w:t>
      </w:r>
      <w:r>
        <w:t xml:space="preserve">94991 </w:t>
      </w:r>
      <w:r>
        <w:t xml:space="preserve">298" </w:t>
      </w:r>
      <w:r>
        <w:t xml:space="preserve">ou </w:t>
      </w:r>
      <w:r>
        <w:t xml:space="preserve">rs94991298):ti,ab </w:t>
      </w:r>
      <w:r>
        <w:t xml:space="preserve">0</w:t>
      </w:r>
    </w:p>
    <w:p>
      <w:pPr>
        <w:pStyle w:val="Corpsdetexte"/>
        <w:tabs>
          <w:tab w:val="left" w:pos="880"/>
          <w:tab w:val="right" w:pos="2565"/>
        </w:tabs>
      </w:pPr>
      <w:r>
        <w:t xml:space="preserve">#97synarel</w:t>
      </w:r>
      <w:r>
        <w:tab/>
        <w:t xml:space="preserve">:ti,ab10</w:t>
      </w:r>
    </w:p>
    <w:p>
      <w:pPr>
        <w:pStyle w:val="Corpsdetexte"/>
        <w:tabs>
          <w:tab w:val="left" w:pos="880"/>
        </w:tabs>
        <w:spacing w:before="38"/>
      </w:pPr>
      <w:r>
        <w:t xml:space="preserve">#98deslorelin</w:t>
      </w:r>
      <w:r>
        <w:tab/>
        <w:t xml:space="preserve">:ti,ab16</w:t>
      </w:r>
    </w:p>
    <w:p w:rsidR="00432386" w:rsidRDefault="00432386">
      <w:pPr>
        <w:sectPr w:rsidR="00432386">
          <w:pgSz w:w="11910" w:h="16840"/>
          <w:pgMar w:top="1260" w:right="980" w:bottom="1460" w:left="1280" w:header="0" w:footer="1183" w:gutter="0"/>
          <w:cols w:space="720"/>
        </w:sectPr>
      </w:pPr>
    </w:p>
    <w:p>
      <w:pPr>
        <w:pStyle w:val="Corpsdetexte"/>
        <w:tabs>
          <w:tab w:val="left" w:pos="880"/>
          <w:tab w:val="right" w:pos="3285"/>
        </w:tabs>
        <w:spacing w:before="78" w:after="44"/>
      </w:pPr>
      <w:r>
        <w:lastRenderedPageBreak/>
        <w:t xml:space="preserve">#99gonadorelin</w:t>
      </w:r>
      <w:r>
        <w:tab/>
        <w:t xml:space="preserve">:ti,ab11</w:t>
      </w:r>
    </w:p>
    <w:tbl>
      <w:tblPr>
        <w:tblStyle w:val="TableNormal"/>
        <w:tblW w:w="0" w:type="auto"/>
        <w:tblInd w:w="117" w:type="dxa"/>
        <w:tblLayout w:type="fixed"/>
        <w:tblLook w:val="01e0"/>
      </w:tblPr>
      <w:tblGrid>
        <w:gridCol w:w="655"/>
        <w:gridCol w:w="3609"/>
        <w:gridCol w:w="281"/>
      </w:tblGrid>
      <w:tr w:rsidR="00432386">
        <w:trPr>
          <w:trHeight w:val="268"/>
        </w:trPr>
        <w:tc>
          <w:tcPr>
            <w:tcW w:w="655" w:type="dxa"/>
          </w:tcPr>
          <w:p>
            <w:pPr>
              <w:pStyle w:val="TableParagraph"/>
              <w:spacing w:line="247" w:lineRule="exact"/>
              <w:ind w:start="50"/>
            </w:pPr>
            <w:r>
              <w:t xml:space="preserve">#100</w:t>
            </w:r>
          </w:p>
        </w:tc>
        <w:tc>
          <w:tcPr>
            <w:tcW w:w="3609" w:type="dxa"/>
          </w:tcPr>
          <w:p>
            <w:pPr>
              <w:pStyle w:val="TableParagraph"/>
              <w:spacing w:line="247" w:lineRule="exact"/>
              <w:ind w:start="114"/>
            </w:pPr>
            <w:r>
              <w:t xml:space="preserve">("33515-09-2" </w:t>
            </w:r>
            <w:r>
              <w:t xml:space="preserve">ou </w:t>
            </w:r>
            <w:r>
              <w:t xml:space="preserve">"33515092"):ti,ab</w:t>
            </w:r>
          </w:p>
        </w:tc>
        <w:tc>
          <w:tcPr>
            <w:tcW w:w="281" w:type="dxa"/>
          </w:tcPr>
          <w:p>
            <w:pPr>
              <w:pStyle w:val="TableParagraph"/>
              <w:spacing w:line="247" w:lineRule="exact"/>
              <w:ind w:end="49"/>
              <w:jc w:val="right"/>
            </w:pPr>
            <w:r>
              <w:t xml:space="preserve">0</w:t>
            </w:r>
          </w:p>
        </w:tc>
      </w:tr>
      <w:tr w:rsidR="00432386">
        <w:trPr>
          <w:trHeight w:val="290"/>
        </w:trPr>
        <w:tc>
          <w:tcPr>
            <w:tcW w:w="655" w:type="dxa"/>
          </w:tcPr>
          <w:p>
            <w:pPr>
              <w:pStyle w:val="TableParagraph"/>
              <w:spacing w:before="15"/>
              <w:ind w:start="50"/>
            </w:pPr>
            <w:r>
              <w:t xml:space="preserve">#101</w:t>
            </w:r>
          </w:p>
        </w:tc>
        <w:tc>
          <w:tcPr>
            <w:tcW w:w="3609" w:type="dxa"/>
          </w:tcPr>
          <w:p>
            <w:pPr>
              <w:pStyle w:val="TableParagraph"/>
              <w:spacing w:before="15"/>
              <w:ind w:start="114"/>
            </w:pPr>
            <w:r>
              <w:t xml:space="preserve">("51952-41-1" </w:t>
            </w:r>
            <w:r>
              <w:t xml:space="preserve">ou </w:t>
            </w:r>
            <w:r>
              <w:t xml:space="preserve">"51952411"):ti,ab</w:t>
            </w:r>
          </w:p>
        </w:tc>
        <w:tc>
          <w:tcPr>
            <w:tcW w:w="281" w:type="dxa"/>
          </w:tcPr>
          <w:p>
            <w:pPr>
              <w:pStyle w:val="TableParagraph"/>
              <w:spacing w:before="15"/>
              <w:ind w:end="49"/>
              <w:jc w:val="right"/>
            </w:pPr>
            <w:r>
              <w:t xml:space="preserve">0</w:t>
            </w:r>
          </w:p>
        </w:tc>
      </w:tr>
      <w:tr w:rsidR="00432386">
        <w:trPr>
          <w:trHeight w:val="291"/>
        </w:trPr>
        <w:tc>
          <w:tcPr>
            <w:tcW w:w="655" w:type="dxa"/>
          </w:tcPr>
          <w:p>
            <w:pPr>
              <w:pStyle w:val="TableParagraph"/>
              <w:spacing w:before="15"/>
              <w:ind w:start="50"/>
            </w:pPr>
            <w:r>
              <w:t xml:space="preserve">#102</w:t>
            </w:r>
          </w:p>
        </w:tc>
        <w:tc>
          <w:tcPr>
            <w:tcW w:w="3609" w:type="dxa"/>
          </w:tcPr>
          <w:p>
            <w:pPr>
              <w:pStyle w:val="TableParagraph"/>
              <w:spacing w:before="15"/>
              <w:ind w:start="114"/>
            </w:pPr>
            <w:r>
              <w:t xml:space="preserve">("52699-48-6" </w:t>
            </w:r>
            <w:r>
              <w:t xml:space="preserve">ou </w:t>
            </w:r>
            <w:r>
              <w:t xml:space="preserve">"52699486"):ti,ab</w:t>
            </w:r>
          </w:p>
        </w:tc>
        <w:tc>
          <w:tcPr>
            <w:tcW w:w="281" w:type="dxa"/>
          </w:tcPr>
          <w:p>
            <w:pPr>
              <w:pStyle w:val="TableParagraph"/>
              <w:spacing w:before="15"/>
              <w:ind w:end="49"/>
              <w:jc w:val="right"/>
            </w:pPr>
            <w:r>
              <w:t xml:space="preserve">0</w:t>
            </w:r>
          </w:p>
        </w:tc>
      </w:tr>
      <w:tr w:rsidR="00432386">
        <w:trPr>
          <w:trHeight w:val="1454"/>
        </w:trPr>
        <w:tc>
          <w:tcPr>
            <w:tcW w:w="655" w:type="dxa"/>
          </w:tcPr>
          <w:p>
            <w:pPr>
              <w:pStyle w:val="TableParagraph"/>
              <w:spacing w:before="16"/>
              <w:ind w:start="50"/>
            </w:pPr>
            <w:r>
              <w:t xml:space="preserve">#103</w:t>
            </w:r>
          </w:p>
          <w:p>
            <w:pPr>
              <w:pStyle w:val="TableParagraph"/>
              <w:spacing w:before="38"/>
              <w:ind w:start="50"/>
            </w:pPr>
            <w:r>
              <w:t xml:space="preserve">#104</w:t>
            </w:r>
          </w:p>
          <w:p>
            <w:pPr>
              <w:pStyle w:val="TableParagraph"/>
              <w:spacing w:before="37"/>
              <w:ind w:start="50"/>
            </w:pPr>
            <w:r>
              <w:t xml:space="preserve">#105</w:t>
            </w:r>
          </w:p>
          <w:p>
            <w:pPr>
              <w:pStyle w:val="TableParagraph"/>
              <w:spacing w:before="38"/>
              <w:ind w:start="50"/>
            </w:pPr>
            <w:r>
              <w:t xml:space="preserve">#106</w:t>
            </w:r>
          </w:p>
          <w:p>
            <w:pPr>
              <w:pStyle w:val="TableParagraph"/>
              <w:spacing w:before="37"/>
              <w:ind w:start="50"/>
            </w:pPr>
            <w:r>
              <w:t xml:space="preserve">#107</w:t>
            </w:r>
          </w:p>
        </w:tc>
        <w:tc>
          <w:tcPr>
            <w:tcW w:w="3609" w:type="dxa"/>
          </w:tcPr>
          <w:p>
            <w:pPr>
              <w:pStyle w:val="TableParagraph"/>
              <w:spacing w:before="16"/>
              <w:ind w:start="114"/>
              <w:jc w:val="both"/>
            </w:pPr>
            <w:r>
              <w:t xml:space="preserve">cetrorelix:ti,ab </w:t>
            </w:r>
            <w:r>
              <w:t xml:space="preserve">221</w:t>
            </w:r>
          </w:p>
          <w:p>
            <w:pPr>
              <w:pStyle w:val="TableParagraph"/>
              <w:spacing w:before="38"/>
              <w:ind w:start="114"/>
              <w:jc w:val="both"/>
            </w:pPr>
            <w:r>
              <w:t xml:space="preserve">cetrotide:ti,ab </w:t>
            </w:r>
            <w:r>
              <w:t xml:space="preserve">111</w:t>
            </w:r>
          </w:p>
          <w:p>
            <w:pPr>
              <w:pStyle w:val="TableParagraph"/>
              <w:spacing w:line="290" w:lineRule="atLeast"/>
              <w:ind w:start="114" w:end="488"/>
              <w:jc w:val="both"/>
            </w:pPr>
            <w:r>
              <w:t xml:space="preserve">("NS 75A" ou NS75A):ti,ab </w:t>
            </w:r>
            <w:r>
              <w:t xml:space="preserve">0 </w:t>
            </w:r>
            <w:r>
              <w:t xml:space="preserve">("NS 75B" ou NS75B):ti,ab </w:t>
            </w:r>
            <w:r>
              <w:t xml:space="preserve">0 </w:t>
            </w:r>
            <w:r>
              <w:t xml:space="preserve">("SB </w:t>
            </w:r>
            <w:r>
              <w:t xml:space="preserve">075" </w:t>
            </w:r>
            <w:r>
              <w:t xml:space="preserve">ou SB075):ti,ab </w:t>
            </w:r>
            <w:r>
              <w:t xml:space="preserve">0</w:t>
            </w:r>
          </w:p>
        </w:tc>
        <w:tc>
          <w:tcPr>
            <w:tcW w:w="281" w:type="dxa"/>
          </w:tcPr>
          <w:p w:rsidR="00432386" w:rsidRDefault="00432386">
            <w:pPr>
              <w:pStyle w:val="TableParagraph"/>
              <w:rPr>
                <w:rFonts w:ascii="Times New Roman"/>
              </w:rPr>
            </w:pPr>
          </w:p>
        </w:tc>
      </w:tr>
      <w:tr w:rsidR="00432386">
        <w:trPr>
          <w:trHeight w:val="1164"/>
        </w:trPr>
        <w:tc>
          <w:tcPr>
            <w:tcW w:w="655" w:type="dxa"/>
          </w:tcPr>
          <w:p>
            <w:pPr>
              <w:pStyle w:val="TableParagraph"/>
              <w:spacing w:before="16"/>
              <w:ind w:start="50"/>
            </w:pPr>
            <w:r>
              <w:t xml:space="preserve">#108</w:t>
            </w:r>
          </w:p>
          <w:p>
            <w:pPr>
              <w:pStyle w:val="TableParagraph"/>
              <w:spacing w:before="38"/>
              <w:ind w:start="50"/>
            </w:pPr>
            <w:r>
              <w:t xml:space="preserve">#109</w:t>
            </w:r>
          </w:p>
          <w:p>
            <w:pPr>
              <w:pStyle w:val="TableParagraph"/>
              <w:spacing w:before="37"/>
              <w:ind w:start="50"/>
            </w:pPr>
            <w:r>
              <w:t xml:space="preserve">#110</w:t>
            </w:r>
          </w:p>
          <w:p>
            <w:pPr>
              <w:pStyle w:val="TableParagraph"/>
              <w:spacing w:before="38"/>
              <w:ind w:start="50"/>
            </w:pPr>
            <w:r>
              <w:t xml:space="preserve">#111</w:t>
            </w:r>
          </w:p>
        </w:tc>
        <w:tc>
          <w:tcPr>
            <w:tcW w:w="3609" w:type="dxa"/>
          </w:tcPr>
          <w:p>
            <w:pPr>
              <w:pStyle w:val="TableParagraph"/>
              <w:tabs>
                <w:tab w:val="right" w:pos="3240"/>
              </w:tabs>
              <w:spacing w:before="16"/>
              <w:ind w:start="114"/>
            </w:pPr>
            <w:r>
              <w:t xml:space="preserve">("SB </w:t>
            </w:r>
            <w:r>
              <w:t xml:space="preserve">75" ou SB75):ti,ab10</w:t>
            </w:r>
          </w:p>
          <w:p>
            <w:pPr>
              <w:pStyle w:val="TableParagraph"/>
              <w:tabs>
                <w:tab w:val="right" w:pos="2398"/>
              </w:tabs>
              <w:spacing w:before="38"/>
              <w:ind w:start="114"/>
            </w:pPr>
            <w:r>
              <w:t xml:space="preserve">gonadolibérine:ti,ab5</w:t>
            </w:r>
          </w:p>
          <w:p>
            <w:pPr>
              <w:pStyle w:val="TableParagraph"/>
              <w:spacing w:before="37"/>
              <w:ind w:start="114"/>
            </w:pPr>
            <w:r>
              <w:t xml:space="preserve">kryptocur:ti,ab </w:t>
            </w:r>
            <w:r>
              <w:t xml:space="preserve">0</w:t>
            </w:r>
          </w:p>
          <w:p>
            <w:pPr>
              <w:pStyle w:val="TableParagraph"/>
              <w:spacing w:before="38"/>
              <w:ind w:start="114"/>
            </w:pPr>
            <w:r>
              <w:t xml:space="preserve">cetrorelix:ti,ab </w:t>
            </w:r>
            <w:r>
              <w:t xml:space="preserve">221</w:t>
            </w:r>
          </w:p>
        </w:tc>
        <w:tc>
          <w:tcPr>
            <w:tcW w:w="281" w:type="dxa"/>
          </w:tcPr>
          <w:p w:rsidR="00432386" w:rsidRDefault="00432386">
            <w:pPr>
              <w:pStyle w:val="TableParagraph"/>
              <w:rPr>
                <w:rFonts w:ascii="Times New Roman"/>
              </w:rPr>
            </w:pPr>
          </w:p>
        </w:tc>
      </w:tr>
      <w:tr w:rsidR="00432386">
        <w:trPr>
          <w:trHeight w:val="1163"/>
        </w:trPr>
        <w:tc>
          <w:tcPr>
            <w:tcW w:w="655" w:type="dxa"/>
          </w:tcPr>
          <w:p>
            <w:pPr>
              <w:pStyle w:val="TableParagraph"/>
              <w:spacing w:before="16"/>
              <w:ind w:start="50"/>
            </w:pPr>
            <w:r>
              <w:t xml:space="preserve">#112</w:t>
            </w:r>
          </w:p>
          <w:p>
            <w:pPr>
              <w:pStyle w:val="TableParagraph"/>
              <w:spacing w:before="38"/>
              <w:ind w:start="50"/>
            </w:pPr>
            <w:r>
              <w:t xml:space="preserve">#113</w:t>
            </w:r>
          </w:p>
          <w:p>
            <w:pPr>
              <w:pStyle w:val="TableParagraph"/>
              <w:spacing w:before="38"/>
              <w:ind w:start="50"/>
            </w:pPr>
            <w:r>
              <w:t xml:space="preserve">#114</w:t>
            </w:r>
          </w:p>
          <w:p>
            <w:pPr>
              <w:pStyle w:val="TableParagraph"/>
              <w:spacing w:before="37"/>
              <w:ind w:start="50"/>
            </w:pPr>
            <w:r>
              <w:t xml:space="preserve">#115</w:t>
            </w:r>
          </w:p>
        </w:tc>
        <w:tc>
          <w:tcPr>
            <w:tcW w:w="3609" w:type="dxa"/>
          </w:tcPr>
          <w:p>
            <w:pPr>
              <w:pStyle w:val="TableParagraph"/>
              <w:spacing w:before="16"/>
              <w:ind w:start="114"/>
            </w:pPr>
            <w:r>
              <w:t xml:space="preserve">cetrotide:ti,ab </w:t>
            </w:r>
            <w:r>
              <w:t xml:space="preserve">111</w:t>
            </w:r>
          </w:p>
          <w:p>
            <w:pPr>
              <w:pStyle w:val="TableParagraph"/>
              <w:spacing w:before="38"/>
              <w:ind w:start="114"/>
            </w:pPr>
            <w:r>
              <w:t xml:space="preserve">antagon:ti,ab </w:t>
            </w:r>
            <w:r>
              <w:t xml:space="preserve">12</w:t>
            </w:r>
          </w:p>
          <w:p>
            <w:pPr>
              <w:pStyle w:val="TableParagraph"/>
              <w:spacing w:before="38"/>
              <w:ind w:start="114"/>
            </w:pPr>
            <w:r>
              <w:t xml:space="preserve">ganirelix:ti,ab </w:t>
            </w:r>
            <w:r>
              <w:t xml:space="preserve">142</w:t>
            </w:r>
          </w:p>
          <w:p>
            <w:pPr>
              <w:pStyle w:val="TableParagraph"/>
              <w:spacing w:before="37"/>
              <w:ind w:start="114"/>
            </w:pPr>
            <w:r>
              <w:t xml:space="preserve">("ORG </w:t>
            </w:r>
            <w:r>
              <w:t xml:space="preserve">37462" </w:t>
            </w:r>
            <w:r>
              <w:t xml:space="preserve">ou </w:t>
            </w:r>
            <w:r>
              <w:t xml:space="preserve">ORG37462):ti,ab</w:t>
            </w:r>
          </w:p>
        </w:tc>
        <w:tc>
          <w:tcPr>
            <w:tcW w:w="281" w:type="dxa"/>
          </w:tcPr>
          <w:p w:rsidR="00432386" w:rsidRDefault="00432386">
            <w:pPr>
              <w:pStyle w:val="TableParagraph"/>
              <w:rPr>
                <w:sz w:val="24"/>
              </w:rPr>
            </w:pPr>
          </w:p>
          <w:p w:rsidR="00432386" w:rsidRDefault="00432386">
            <w:pPr>
              <w:pStyle w:val="TableParagraph"/>
              <w:rPr>
                <w:sz w:val="24"/>
              </w:rPr>
            </w:pPr>
          </w:p>
          <w:p w:rsidR="00432386" w:rsidRDefault="00432386">
            <w:pPr>
              <w:pStyle w:val="TableParagraph"/>
              <w:spacing w:before="2"/>
              <w:rPr>
                <w:sz w:val="29"/>
              </w:rPr>
            </w:pPr>
          </w:p>
          <w:p>
            <w:pPr>
              <w:pStyle w:val="TableParagraph"/>
              <w:spacing w:before="1"/>
              <w:ind w:end="49"/>
              <w:jc w:val="right"/>
            </w:pPr>
            <w:r>
              <w:t xml:space="preserve">4</w:t>
            </w:r>
          </w:p>
        </w:tc>
      </w:tr>
      <w:tr w:rsidR="00432386">
        <w:trPr>
          <w:trHeight w:val="291"/>
        </w:trPr>
        <w:tc>
          <w:tcPr>
            <w:tcW w:w="655" w:type="dxa"/>
          </w:tcPr>
          <w:p>
            <w:pPr>
              <w:pStyle w:val="TableParagraph"/>
              <w:spacing w:before="15"/>
              <w:ind w:start="50"/>
            </w:pPr>
            <w:r>
              <w:t xml:space="preserve">#116</w:t>
            </w:r>
          </w:p>
        </w:tc>
        <w:tc>
          <w:tcPr>
            <w:tcW w:w="3609" w:type="dxa"/>
          </w:tcPr>
          <w:p>
            <w:pPr>
              <w:pStyle w:val="TableParagraph"/>
              <w:tabs>
                <w:tab w:val="right" w:pos="2520"/>
              </w:tabs>
              <w:spacing w:before="15"/>
              <w:ind w:start="114"/>
            </w:pPr>
            <w:r>
              <w:t xml:space="preserve">orgalutran:ti,ab45</w:t>
            </w:r>
          </w:p>
        </w:tc>
        <w:tc>
          <w:tcPr>
            <w:tcW w:w="281" w:type="dxa"/>
          </w:tcPr>
          <w:p w:rsidR="00432386" w:rsidRDefault="00432386">
            <w:pPr>
              <w:pStyle w:val="TableParagraph"/>
              <w:rPr>
                <w:rFonts w:ascii="Times New Roman"/>
                <w:sz w:val="20"/>
              </w:rPr>
            </w:pPr>
          </w:p>
        </w:tc>
      </w:tr>
      <w:tr w:rsidR="00432386">
        <w:trPr>
          <w:trHeight w:val="291"/>
        </w:trPr>
        <w:tc>
          <w:tcPr>
            <w:tcW w:w="655" w:type="dxa"/>
          </w:tcPr>
          <w:p>
            <w:pPr>
              <w:pStyle w:val="TableParagraph"/>
              <w:spacing w:before="16"/>
              <w:ind w:start="50"/>
            </w:pPr>
            <w:r>
              <w:t xml:space="preserve">#117</w:t>
            </w:r>
          </w:p>
        </w:tc>
        <w:tc>
          <w:tcPr>
            <w:tcW w:w="3609" w:type="dxa"/>
          </w:tcPr>
          <w:p>
            <w:pPr>
              <w:pStyle w:val="TableParagraph"/>
              <w:spacing w:before="16"/>
              <w:ind w:start="114"/>
            </w:pPr>
            <w:r>
              <w:t xml:space="preserve">("RS </w:t>
            </w:r>
            <w:r>
              <w:t xml:space="preserve">26306" </w:t>
            </w:r>
            <w:r>
              <w:t xml:space="preserve">ou </w:t>
            </w:r>
            <w:r>
              <w:t xml:space="preserve">RS26306):ti,ab</w:t>
            </w:r>
          </w:p>
        </w:tc>
        <w:tc>
          <w:tcPr>
            <w:tcW w:w="281" w:type="dxa"/>
          </w:tcPr>
          <w:p>
            <w:pPr>
              <w:pStyle w:val="TableParagraph"/>
              <w:spacing w:before="16"/>
              <w:ind w:end="49"/>
              <w:jc w:val="right"/>
            </w:pPr>
            <w:r>
              <w:t xml:space="preserve">0</w:t>
            </w:r>
          </w:p>
        </w:tc>
      </w:tr>
      <w:tr w:rsidR="00432386">
        <w:trPr>
          <w:trHeight w:val="872"/>
        </w:trPr>
        <w:tc>
          <w:tcPr>
            <w:tcW w:w="655" w:type="dxa"/>
          </w:tcPr>
          <w:p>
            <w:pPr>
              <w:pStyle w:val="TableParagraph"/>
              <w:spacing w:before="15"/>
              <w:ind w:start="50"/>
            </w:pPr>
            <w:r>
              <w:t xml:space="preserve">#118</w:t>
            </w:r>
          </w:p>
          <w:p>
            <w:pPr>
              <w:pStyle w:val="TableParagraph"/>
              <w:spacing w:before="38"/>
              <w:ind w:start="50"/>
            </w:pPr>
            <w:r>
              <w:t xml:space="preserve">#119</w:t>
            </w:r>
          </w:p>
          <w:p>
            <w:pPr>
              <w:pStyle w:val="TableParagraph"/>
              <w:spacing w:before="37"/>
              <w:ind w:start="50"/>
            </w:pPr>
            <w:r>
              <w:t xml:space="preserve">#120</w:t>
            </w:r>
          </w:p>
        </w:tc>
        <w:tc>
          <w:tcPr>
            <w:tcW w:w="3609" w:type="dxa"/>
          </w:tcPr>
          <w:p>
            <w:pPr>
              <w:pStyle w:val="TableParagraph"/>
              <w:spacing w:before="15"/>
              <w:ind w:start="114"/>
            </w:pPr>
            <w:r>
              <w:t xml:space="preserve">("AY </w:t>
            </w:r>
            <w:r>
              <w:t xml:space="preserve">24031" </w:t>
            </w:r>
            <w:r>
              <w:t xml:space="preserve">ou </w:t>
            </w:r>
            <w:r>
              <w:t xml:space="preserve">AY24031):ti,ab</w:t>
            </w:r>
          </w:p>
          <w:p>
            <w:pPr>
              <w:pStyle w:val="TableParagraph"/>
              <w:tabs>
                <w:tab w:val="left" w:pos="1554"/>
              </w:tabs>
              <w:spacing w:before="38"/>
              <w:ind w:start="114"/>
            </w:pPr>
            <w:r>
              <w:t xml:space="preserve">factrel:ti,ab1</w:t>
            </w:r>
          </w:p>
          <w:p>
            <w:pPr>
              <w:pStyle w:val="TableParagraph"/>
              <w:tabs>
                <w:tab w:val="left" w:pos="1554"/>
              </w:tabs>
              <w:spacing w:before="37"/>
              <w:ind w:start="114"/>
            </w:pPr>
            <w:r>
              <w:t xml:space="preserve">fertagyl:ti,ab0</w:t>
            </w:r>
          </w:p>
        </w:tc>
        <w:tc>
          <w:tcPr>
            <w:tcW w:w="281" w:type="dxa"/>
          </w:tcPr>
          <w:p>
            <w:pPr>
              <w:pStyle w:val="TableParagraph"/>
              <w:spacing w:before="15"/>
              <w:ind w:end="49"/>
              <w:jc w:val="right"/>
            </w:pPr>
            <w:r>
              <w:t xml:space="preserve">0</w:t>
            </w:r>
          </w:p>
        </w:tc>
      </w:tr>
      <w:tr w:rsidR="00432386">
        <w:trPr>
          <w:trHeight w:val="1454"/>
        </w:trPr>
        <w:tc>
          <w:tcPr>
            <w:tcW w:w="655" w:type="dxa"/>
          </w:tcPr>
          <w:p>
            <w:pPr>
              <w:pStyle w:val="TableParagraph"/>
              <w:spacing w:before="16"/>
              <w:ind w:start="50"/>
            </w:pPr>
            <w:r>
              <w:t xml:space="preserve">#121</w:t>
            </w:r>
          </w:p>
          <w:p>
            <w:pPr>
              <w:pStyle w:val="TableParagraph"/>
              <w:spacing w:before="38"/>
              <w:ind w:start="50"/>
            </w:pPr>
            <w:r>
              <w:t xml:space="preserve">#122</w:t>
            </w:r>
          </w:p>
          <w:p>
            <w:pPr>
              <w:pStyle w:val="TableParagraph"/>
              <w:spacing w:before="37"/>
              <w:ind w:start="50"/>
            </w:pPr>
            <w:r>
              <w:t xml:space="preserve">#123</w:t>
            </w:r>
          </w:p>
          <w:p>
            <w:pPr>
              <w:pStyle w:val="TableParagraph"/>
              <w:spacing w:before="38"/>
              <w:ind w:start="50"/>
            </w:pPr>
            <w:r>
              <w:t xml:space="preserve">#124</w:t>
            </w:r>
          </w:p>
          <w:p>
            <w:pPr>
              <w:pStyle w:val="TableParagraph"/>
              <w:spacing w:before="37"/>
              <w:ind w:start="50"/>
            </w:pPr>
            <w:r>
              <w:t xml:space="preserve">#125</w:t>
            </w:r>
          </w:p>
        </w:tc>
        <w:tc>
          <w:tcPr>
            <w:tcW w:w="3609" w:type="dxa"/>
          </w:tcPr>
          <w:p>
            <w:pPr>
              <w:pStyle w:val="TableParagraph"/>
              <w:spacing w:before="16" w:line="276" w:lineRule="auto"/>
              <w:ind w:start="114" w:end="1929"/>
              <w:jc w:val="both"/>
            </w:pPr>
            <w:r>
              <w:t xml:space="preserve">lutrelef:ti,ab </w:t>
            </w:r>
            <w:r>
              <w:t xml:space="preserve">0 </w:t>
            </w:r>
            <w:r>
              <w:t xml:space="preserve">lutrepulse:ti,ab1 </w:t>
            </w:r>
            <w:r>
              <w:t xml:space="preserve">relefact:ti,ab </w:t>
            </w:r>
            <w:r>
              <w:t xml:space="preserve">1</w:t>
            </w:r>
          </w:p>
          <w:p>
            <w:pPr>
              <w:pStyle w:val="TableParagraph"/>
              <w:spacing w:line="251" w:lineRule="exact"/>
              <w:ind w:start="114"/>
              <w:jc w:val="both"/>
            </w:pPr>
            <w:r>
              <w:t xml:space="preserve">fertiral:ti,ab </w:t>
            </w:r>
            <w:r>
              <w:t xml:space="preserve">0</w:t>
            </w:r>
          </w:p>
          <w:p>
            <w:pPr>
              <w:pStyle w:val="TableParagraph"/>
              <w:spacing w:before="38"/>
              <w:ind w:start="114"/>
              <w:jc w:val="both"/>
            </w:pPr>
            <w:r>
              <w:t xml:space="preserve">(hoe471 </w:t>
            </w:r>
            <w:r>
              <w:t xml:space="preserve">ou </w:t>
            </w:r>
            <w:r>
              <w:t xml:space="preserve">"hoe </w:t>
            </w:r>
            <w:r>
              <w:t xml:space="preserve">471"):ti,ab </w:t>
            </w:r>
            <w:r>
              <w:t xml:space="preserve">3</w:t>
            </w:r>
          </w:p>
        </w:tc>
        <w:tc>
          <w:tcPr>
            <w:tcW w:w="281" w:type="dxa"/>
          </w:tcPr>
          <w:p w:rsidR="00432386" w:rsidRDefault="00432386">
            <w:pPr>
              <w:pStyle w:val="TableParagraph"/>
              <w:rPr>
                <w:rFonts w:ascii="Times New Roman"/>
              </w:rPr>
            </w:pPr>
          </w:p>
        </w:tc>
      </w:tr>
      <w:tr w:rsidR="00432386">
        <w:trPr>
          <w:trHeight w:val="1431"/>
        </w:trPr>
        <w:tc>
          <w:tcPr>
            <w:tcW w:w="655" w:type="dxa"/>
          </w:tcPr>
          <w:p>
            <w:pPr>
              <w:pStyle w:val="TableParagraph"/>
              <w:spacing w:before="16"/>
              <w:ind w:start="50"/>
            </w:pPr>
            <w:r>
              <w:t xml:space="preserve">#126</w:t>
            </w:r>
          </w:p>
          <w:p>
            <w:pPr>
              <w:pStyle w:val="TableParagraph"/>
              <w:spacing w:before="38"/>
              <w:ind w:start="50"/>
            </w:pPr>
            <w:r>
              <w:t xml:space="preserve">#127</w:t>
            </w:r>
          </w:p>
          <w:p>
            <w:pPr>
              <w:pStyle w:val="TableParagraph"/>
              <w:spacing w:before="38"/>
              <w:ind w:start="50"/>
            </w:pPr>
            <w:r>
              <w:t xml:space="preserve">#128</w:t>
            </w:r>
          </w:p>
          <w:p>
            <w:pPr>
              <w:pStyle w:val="TableParagraph"/>
              <w:spacing w:before="37"/>
              <w:ind w:start="50"/>
            </w:pPr>
            <w:r>
              <w:t xml:space="preserve">#129</w:t>
            </w:r>
          </w:p>
          <w:p>
            <w:pPr>
              <w:pStyle w:val="TableParagraph"/>
              <w:spacing w:before="37" w:line="233" w:lineRule="exact"/>
              <w:ind w:start="50"/>
            </w:pPr>
            <w:r>
              <w:t xml:space="preserve">#130</w:t>
            </w:r>
          </w:p>
        </w:tc>
        <w:tc>
          <w:tcPr>
            <w:tcW w:w="3609" w:type="dxa"/>
          </w:tcPr>
          <w:p>
            <w:pPr>
              <w:pStyle w:val="TableParagraph"/>
              <w:spacing w:before="16"/>
              <w:ind w:start="114"/>
            </w:pPr>
            <w:r>
              <w:t xml:space="preserve">relisorm:ti,ab </w:t>
            </w:r>
            <w:r>
              <w:t xml:space="preserve">0</w:t>
            </w:r>
          </w:p>
          <w:p>
            <w:pPr>
              <w:pStyle w:val="TableParagraph"/>
              <w:spacing w:before="38"/>
              <w:ind w:start="114"/>
            </w:pPr>
            <w:r>
              <w:rPr>
                <w:spacing w:val="-1"/>
              </w:rPr>
              <w:t xml:space="preserve">cystoréline:ti,ab </w:t>
            </w:r>
            <w:r>
              <w:t xml:space="preserve">0</w:t>
            </w:r>
          </w:p>
          <w:p>
            <w:pPr>
              <w:pStyle w:val="TableParagraph"/>
              <w:tabs>
                <w:tab w:val="left" w:pos="2275"/>
              </w:tabs>
              <w:spacing w:before="38"/>
              <w:ind w:start="114"/>
            </w:pPr>
            <w:r>
              <w:t xml:space="preserve">dirigestran:ti,ab0</w:t>
            </w:r>
          </w:p>
          <w:p>
            <w:pPr>
              <w:pStyle w:val="TableParagraph"/>
              <w:spacing w:before="37"/>
              <w:ind w:start="114"/>
            </w:pPr>
            <w:r>
              <w:t xml:space="preserve">{ou #33-#128} </w:t>
            </w:r>
            <w:r>
              <w:t xml:space="preserve">6844</w:t>
            </w:r>
          </w:p>
          <w:p>
            <w:pPr>
              <w:pStyle w:val="TableParagraph"/>
              <w:spacing w:before="37" w:line="233" w:lineRule="exact"/>
              <w:ind w:start="114"/>
            </w:pPr>
            <w:r>
              <w:t xml:space="preserve">#32 </w:t>
            </w:r>
            <w:r>
              <w:t xml:space="preserve">et </w:t>
            </w:r>
            <w:r>
              <w:t xml:space="preserve">#129 </w:t>
            </w:r>
            <w:r>
              <w:t xml:space="preserve">27</w:t>
            </w:r>
          </w:p>
        </w:tc>
        <w:tc>
          <w:tcPr>
            <w:tcW w:w="281" w:type="dxa"/>
          </w:tcPr>
          <w:p w:rsidR="00432386" w:rsidRDefault="00432386">
            <w:pPr>
              <w:pStyle w:val="TableParagraph"/>
              <w:rPr>
                <w:rFonts w:ascii="Times New Roman"/>
              </w:rPr>
            </w:pPr>
          </w:p>
        </w:tc>
      </w:tr>
    </w:tbl>
    <w:p>
      <w:pPr>
        <w:pStyle w:val="Corpsdetexte"/>
        <w:tabs>
          <w:tab w:val="left" w:pos="880"/>
          <w:tab w:val="left" w:pos="2320"/>
        </w:tabs>
        <w:spacing w:before="45" w:line="276" w:lineRule="auto"/>
        <w:ind w:end="458"/>
      </w:pPr>
      <w:r>
        <w:t xml:space="preserve">#131#130 </w:t>
      </w:r>
      <w:r>
        <w:t xml:space="preserve">avec </w:t>
      </w:r>
      <w:r>
        <w:t xml:space="preserve">date de </w:t>
      </w:r>
      <w:r>
        <w:t xml:space="preserve">publication à la </w:t>
      </w:r>
      <w:r>
        <w:t xml:space="preserve">Cochrane </w:t>
      </w:r>
      <w:r>
        <w:t xml:space="preserve">Library </w:t>
      </w:r>
      <w:r>
        <w:t xml:space="preserve">Entre </w:t>
      </w:r>
      <w:r>
        <w:t xml:space="preserve">Jan </w:t>
      </w:r>
      <w:r>
        <w:t xml:space="preserve">2000 </w:t>
      </w:r>
      <w:r>
        <w:t xml:space="preserve">et </w:t>
      </w:r>
      <w:r>
        <w:t xml:space="preserve">Jul </w:t>
      </w:r>
      <w:r>
        <w:t xml:space="preserve">2020, </w:t>
      </w:r>
      <w:r>
        <w:t xml:space="preserve">dans les </w:t>
      </w:r>
      <w:r>
        <w:t xml:space="preserve">revues Cochrane1</w:t>
      </w:r>
    </w:p>
    <w:p>
      <w:pPr>
        <w:pStyle w:val="Corpsdetexte"/>
        <w:tabs>
          <w:tab w:val="left" w:pos="880"/>
          <w:tab w:val="left" w:pos="1600"/>
        </w:tabs>
        <w:spacing w:before="0" w:line="252" w:lineRule="exact"/>
      </w:pPr>
      <w:r>
        <w:t xml:space="preserve">#132#13027</w:t>
      </w:r>
    </w:p>
    <w:p>
      <w:pPr>
        <w:pStyle w:val="Corpsdetexte"/>
        <w:tabs>
          <w:tab w:val="left" w:pos="880"/>
          <w:tab w:val="right" w:pos="6655"/>
        </w:tabs>
      </w:pPr>
      <w:r>
        <w:t xml:space="preserve">#133 </w:t>
      </w:r>
      <w:r>
        <w:tab/>
        <w:t xml:space="preserve">"conférence":pt </w:t>
      </w:r>
      <w:r>
        <w:t xml:space="preserve">ou </w:t>
      </w:r>
      <w:r>
        <w:t xml:space="preserve">(clinicaltrials </w:t>
      </w:r>
      <w:r>
        <w:t xml:space="preserve">ou </w:t>
      </w:r>
      <w:r>
        <w:t xml:space="preserve">trialsearch):so492465</w:t>
      </w:r>
    </w:p>
    <w:p>
      <w:pPr>
        <w:pStyle w:val="Corpsdetexte"/>
        <w:tabs>
          <w:tab w:val="left" w:pos="880"/>
        </w:tabs>
        <w:spacing w:before="40"/>
      </w:pPr>
      <w:r>
        <w:t xml:space="preserve">#134</w:t>
      </w:r>
      <w:r>
        <w:tab/>
      </w:r>
      <w:r>
        <w:rPr>
          <w:spacing w:val="-1"/>
        </w:rPr>
        <w:t xml:space="preserve">#132 </w:t>
      </w:r>
      <w:r>
        <w:t xml:space="preserve">pas </w:t>
      </w:r>
      <w:r>
        <w:t xml:space="preserve">#133 </w:t>
      </w:r>
      <w:r>
        <w:t xml:space="preserve">9</w:t>
      </w:r>
    </w:p>
    <w:p>
      <w:pPr>
        <w:pStyle w:val="Corpsdetexte"/>
        <w:tabs>
          <w:tab w:val="left" w:pos="880"/>
          <w:tab w:val="left" w:pos="6641"/>
        </w:tabs>
      </w:pPr>
      <w:r>
        <w:t xml:space="preserve">#135#134 </w:t>
      </w:r>
      <w:r>
        <w:t xml:space="preserve">avec </w:t>
      </w:r>
      <w:r>
        <w:t xml:space="preserve">année de </w:t>
      </w:r>
      <w:r>
        <w:t xml:space="preserve">publication </w:t>
      </w:r>
      <w:r>
        <w:t xml:space="preserve">de 2000 </w:t>
      </w:r>
      <w:r>
        <w:t xml:space="preserve">à </w:t>
      </w:r>
      <w:r>
        <w:t xml:space="preserve">2020, </w:t>
      </w:r>
      <w:r>
        <w:t xml:space="preserve">en </w:t>
      </w:r>
      <w:r>
        <w:t xml:space="preserve">essais8</w:t>
      </w:r>
    </w:p>
    <w:p w:rsidR="00432386" w:rsidRDefault="00432386">
      <w:pPr>
        <w:pStyle w:val="Corpsdetexte"/>
        <w:spacing w:before="6"/>
        <w:ind w:start="0"/>
        <w:rPr>
          <w:sz w:val="28"/>
        </w:rPr>
      </w:pPr>
    </w:p>
    <w:p>
      <w:pPr>
        <w:spacing w:line="276" w:lineRule="auto"/>
        <w:ind w:start="160" w:end="7905"/>
      </w:pPr>
      <w:r>
        <w:rPr>
          <w:b/>
        </w:rPr>
        <w:t xml:space="preserve">Base de données : </w:t>
      </w:r>
      <w:r>
        <w:t xml:space="preserve">Plate-forme </w:t>
      </w:r>
      <w:r>
        <w:rPr>
          <w:b/>
        </w:rPr>
        <w:t xml:space="preserve">ETS </w:t>
      </w:r>
      <w:r>
        <w:t xml:space="preserve">: CRD </w:t>
      </w:r>
      <w:r>
        <w:t xml:space="preserve">Version : HTA</w:t>
      </w:r>
    </w:p>
    <w:p>
      <w:pPr>
        <w:pStyle w:val="Corpsdetexte"/>
        <w:spacing w:before="2" w:line="276" w:lineRule="auto"/>
        <w:ind w:end="6400"/>
      </w:pPr>
      <w:r>
        <w:t xml:space="preserve">Date de la </w:t>
      </w:r>
      <w:r>
        <w:t xml:space="preserve">recherche </w:t>
      </w:r>
      <w:r>
        <w:t xml:space="preserve">: </w:t>
      </w:r>
      <w:r>
        <w:t xml:space="preserve">23/7/2020 </w:t>
      </w:r>
      <w:r>
        <w:t xml:space="preserve">Nombre de résultats trouvés : </w:t>
      </w:r>
      <w:r>
        <w:t xml:space="preserve">26 </w:t>
      </w:r>
      <w:r>
        <w:t xml:space="preserve">Stratégie de </w:t>
      </w:r>
      <w:r>
        <w:t xml:space="preserve">recherche </w:t>
      </w:r>
      <w:r>
        <w:t xml:space="preserve">:</w:t>
      </w:r>
    </w:p>
    <w:p w:rsidR="00432386" w:rsidRDefault="00432386">
      <w:pPr>
        <w:pStyle w:val="Corpsdetexte"/>
        <w:spacing w:before="3"/>
        <w:ind w:start="0"/>
        <w:rPr>
          <w:sz w:val="25"/>
        </w:rPr>
      </w:pPr>
    </w:p>
    <w:p>
      <w:pPr>
        <w:pStyle w:val="Paragraphedeliste"/>
        <w:numPr>
          <w:ilvl w:val="0"/>
          <w:numId w:val="62"/>
        </w:numPr>
        <w:tabs>
          <w:tab w:val="left" w:pos="880"/>
          <w:tab w:val="left" w:pos="881"/>
          <w:tab w:val="left" w:pos="7361"/>
        </w:tabs>
        <w:spacing w:before="0"/>
        <w:ind w:hanging="721"/>
      </w:pPr>
      <w:r>
        <w:t xml:space="preserve">DESCRIPTEUR </w:t>
      </w:r>
      <w:r>
        <w:t xml:space="preserve">MeSH </w:t>
      </w:r>
      <w:r>
        <w:t xml:space="preserve">Dysphorie de </w:t>
      </w:r>
      <w:r>
        <w:t xml:space="preserve">genre </w:t>
      </w:r>
      <w:r>
        <w:t xml:space="preserve">EXPLOIT </w:t>
      </w:r>
      <w:r>
        <w:t xml:space="preserve">TOUTES LES </w:t>
      </w:r>
      <w:r>
        <w:t xml:space="preserve">ARBRES0</w:t>
      </w:r>
    </w:p>
    <w:p>
      <w:pPr>
        <w:pStyle w:val="Paragraphedeliste"/>
        <w:numPr>
          <w:ilvl w:val="0"/>
          <w:numId w:val="62"/>
        </w:numPr>
        <w:tabs>
          <w:tab w:val="left" w:pos="880"/>
          <w:tab w:val="left" w:pos="881"/>
          <w:tab w:val="left" w:pos="7361"/>
        </w:tabs>
        <w:spacing w:before="38"/>
        <w:ind w:hanging="721"/>
      </w:pPr>
      <w:r>
        <w:t xml:space="preserve">DESCRIPTEUR </w:t>
      </w:r>
      <w:r>
        <w:t xml:space="preserve">MeSH </w:t>
      </w:r>
      <w:r>
        <w:t xml:space="preserve">Identité </w:t>
      </w:r>
      <w:r>
        <w:t xml:space="preserve">sexuelle </w:t>
      </w:r>
      <w:r>
        <w:t xml:space="preserve">EXPLIQUER </w:t>
      </w:r>
      <w:r>
        <w:t xml:space="preserve">TOUTES LES </w:t>
      </w:r>
      <w:r>
        <w:t xml:space="preserve">ARBRES14</w:t>
      </w:r>
    </w:p>
    <w:p w:rsidR="00432386" w:rsidRDefault="00432386">
      <w:pPr>
        <w:sectPr w:rsidR="00432386">
          <w:pgSz w:w="11910" w:h="16840"/>
          <w:pgMar w:top="1180" w:right="980" w:bottom="1460" w:left="1280" w:header="0" w:footer="1183" w:gutter="0"/>
          <w:cols w:space="720"/>
        </w:sectPr>
      </w:pPr>
    </w:p>
    <w:p>
      <w:pPr>
        <w:pStyle w:val="Paragraphedeliste"/>
        <w:numPr>
          <w:ilvl w:val="0"/>
          <w:numId w:val="62"/>
        </w:numPr>
        <w:tabs>
          <w:tab w:val="left" w:pos="880"/>
          <w:tab w:val="left" w:pos="881"/>
          <w:tab w:val="left" w:pos="8801"/>
        </w:tabs>
        <w:spacing w:before="78"/>
        <w:ind w:hanging="721"/>
      </w:pPr>
      <w:r>
        <w:t xml:space="preserve">DESCRIPTEUR </w:t>
      </w:r>
      <w:r>
        <w:lastRenderedPageBreak/>
        <w:t xml:space="preserve">MeSH </w:t>
      </w:r>
      <w:r>
        <w:t xml:space="preserve">Troubles </w:t>
      </w:r>
      <w:r>
        <w:t xml:space="preserve">sexuels </w:t>
      </w:r>
      <w:r>
        <w:t xml:space="preserve">et du </w:t>
      </w:r>
      <w:r>
        <w:t xml:space="preserve">genre </w:t>
      </w:r>
      <w:r>
        <w:t xml:space="preserve">EXPLOIT </w:t>
      </w:r>
      <w:r>
        <w:t xml:space="preserve">TOUTES LES </w:t>
      </w:r>
      <w:r>
        <w:t xml:space="preserve">ARBRES2</w:t>
      </w:r>
    </w:p>
    <w:p>
      <w:pPr>
        <w:pStyle w:val="Paragraphedeliste"/>
        <w:numPr>
          <w:ilvl w:val="0"/>
          <w:numId w:val="62"/>
        </w:numPr>
        <w:tabs>
          <w:tab w:val="left" w:pos="880"/>
          <w:tab w:val="left" w:pos="881"/>
          <w:tab w:val="left" w:pos="7361"/>
        </w:tabs>
        <w:spacing w:before="328"/>
        <w:ind w:hanging="721"/>
      </w:pPr>
      <w:r>
        <w:t xml:space="preserve">DESCRIPTEUR </w:t>
      </w:r>
      <w:r>
        <w:t xml:space="preserve">MeSH </w:t>
      </w:r>
      <w:r>
        <w:t xml:space="preserve">Transsexualisme </w:t>
      </w:r>
      <w:r>
        <w:t xml:space="preserve">EXPLOIT </w:t>
      </w:r>
      <w:r>
        <w:t xml:space="preserve">TOUTES LES </w:t>
      </w:r>
      <w:r>
        <w:t xml:space="preserve">ARBRES12</w:t>
      </w:r>
    </w:p>
    <w:p>
      <w:pPr>
        <w:pStyle w:val="Paragraphedeliste"/>
        <w:numPr>
          <w:ilvl w:val="0"/>
          <w:numId w:val="62"/>
        </w:numPr>
        <w:tabs>
          <w:tab w:val="left" w:pos="880"/>
          <w:tab w:val="left" w:pos="881"/>
          <w:tab w:val="left" w:pos="8081"/>
        </w:tabs>
        <w:spacing w:before="38"/>
        <w:ind w:hanging="721"/>
      </w:pPr>
      <w:r>
        <w:t xml:space="preserve">DESCRIPTEUR </w:t>
      </w:r>
      <w:r>
        <w:t xml:space="preserve">MeSH </w:t>
      </w:r>
      <w:r>
        <w:t xml:space="preserve">Personnes </w:t>
      </w:r>
      <w:r>
        <w:t xml:space="preserve">transgenres </w:t>
      </w:r>
      <w:r>
        <w:t xml:space="preserve">EXPLIQUER </w:t>
      </w:r>
      <w:r>
        <w:t xml:space="preserve">TOUTES LES </w:t>
      </w:r>
      <w:r>
        <w:t xml:space="preserve">ARBRES3</w:t>
      </w:r>
    </w:p>
    <w:p>
      <w:pPr>
        <w:pStyle w:val="Paragraphedeliste"/>
        <w:numPr>
          <w:ilvl w:val="0"/>
          <w:numId w:val="62"/>
        </w:numPr>
        <w:tabs>
          <w:tab w:val="left" w:pos="880"/>
          <w:tab w:val="left" w:pos="881"/>
          <w:tab w:val="left" w:pos="1600"/>
        </w:tabs>
        <w:spacing w:before="40" w:line="276" w:lineRule="auto"/>
        <w:ind w:start="160" w:end="460" w:firstLine="0"/>
      </w:pPr>
      <w:r>
        <w:t xml:space="preserve">DESCRIPTEUR </w:t>
      </w:r>
      <w:r>
        <w:t xml:space="preserve">MeSH </w:t>
      </w:r>
      <w:r>
        <w:t xml:space="preserve">Services de </w:t>
      </w:r>
      <w:r>
        <w:t xml:space="preserve">santé </w:t>
      </w:r>
      <w:r>
        <w:t xml:space="preserve">pour les </w:t>
      </w:r>
      <w:r>
        <w:t xml:space="preserve">personnes </w:t>
      </w:r>
      <w:r>
        <w:t xml:space="preserve">transgenres </w:t>
      </w:r>
      <w:r>
        <w:t xml:space="preserve">EXPLIQUER </w:t>
      </w:r>
      <w:r>
        <w:t xml:space="preserve">TOUTES LES </w:t>
      </w:r>
      <w:r>
        <w:t xml:space="preserve">ARBRES0</w:t>
      </w:r>
    </w:p>
    <w:p>
      <w:pPr>
        <w:pStyle w:val="Paragraphedeliste"/>
        <w:numPr>
          <w:ilvl w:val="0"/>
          <w:numId w:val="62"/>
        </w:numPr>
        <w:tabs>
          <w:tab w:val="left" w:pos="880"/>
          <w:tab w:val="left" w:pos="881"/>
          <w:tab w:val="left" w:pos="8801"/>
        </w:tabs>
        <w:spacing w:before="0" w:line="252" w:lineRule="exact"/>
        <w:ind w:hanging="721"/>
      </w:pPr>
      <w:r>
        <w:t xml:space="preserve">DESCRIPTEUR </w:t>
      </w:r>
      <w:r>
        <w:t xml:space="preserve">MeSH </w:t>
      </w:r>
      <w:r>
        <w:t xml:space="preserve">Procédures de </w:t>
      </w:r>
      <w:r>
        <w:t xml:space="preserve">changement de </w:t>
      </w:r>
      <w:r>
        <w:t xml:space="preserve">sexe </w:t>
      </w:r>
      <w:r>
        <w:t xml:space="preserve">EXPLOITATION DE </w:t>
      </w:r>
      <w:r>
        <w:t xml:space="preserve">TOUS LES </w:t>
      </w:r>
      <w:r>
        <w:t xml:space="preserve">ARBRES1</w:t>
      </w:r>
    </w:p>
    <w:p>
      <w:pPr>
        <w:pStyle w:val="Paragraphedeliste"/>
        <w:numPr>
          <w:ilvl w:val="0"/>
          <w:numId w:val="62"/>
        </w:numPr>
        <w:tabs>
          <w:tab w:val="left" w:pos="880"/>
          <w:tab w:val="left" w:pos="881"/>
          <w:tab w:val="left" w:pos="2320"/>
        </w:tabs>
        <w:spacing w:before="327" w:line="278" w:lineRule="auto"/>
        <w:ind w:start="160" w:end="454" w:firstLine="0"/>
      </w:pPr>
      <w:r>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w:t>
      </w:r>
      <w:r>
        <w:tab/>
        <w:t xml:space="preserve">28</w:t>
      </w:r>
    </w:p>
    <w:p>
      <w:pPr>
        <w:pStyle w:val="Paragraphedeliste"/>
        <w:numPr>
          <w:ilvl w:val="0"/>
          <w:numId w:val="62"/>
        </w:numPr>
        <w:tabs>
          <w:tab w:val="left" w:pos="880"/>
          <w:tab w:val="left" w:pos="881"/>
          <w:tab w:val="left" w:pos="4480"/>
        </w:tabs>
        <w:spacing w:before="0" w:line="276" w:lineRule="auto"/>
        <w:ind w:start="160" w:end="458"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w:t>
      </w:r>
      <w:r>
        <w:tab/>
        <w:t xml:space="preserve">76</w:t>
      </w:r>
    </w:p>
    <w:p>
      <w:pPr>
        <w:pStyle w:val="Paragraphedeliste"/>
        <w:numPr>
          <w:ilvl w:val="0"/>
          <w:numId w:val="62"/>
        </w:numPr>
        <w:tabs>
          <w:tab w:val="left" w:pos="880"/>
          <w:tab w:val="left" w:pos="881"/>
        </w:tabs>
        <w:spacing w:before="0" w:line="278" w:lineRule="auto"/>
        <w:ind w:end="456"/>
      </w:pPr>
      <w:r>
        <w:t xml:space="preserve">((trans </w:t>
      </w:r>
      <w:r>
        <w:t xml:space="preserve">ou </w:t>
      </w:r>
      <w:r>
        <w:t xml:space="preserve">crossgender* </w:t>
      </w:r>
      <w:r>
        <w:t xml:space="preserve">ou </w:t>
      </w:r>
      <w:r>
        <w:t xml:space="preserve">cross-gender* </w:t>
      </w:r>
      <w:r>
        <w:t xml:space="preserve">ou </w:t>
      </w:r>
      <w:r>
        <w:t xml:space="preserve">crossex* </w:t>
      </w:r>
      <w:r>
        <w:t xml:space="preserve">ou </w:t>
      </w:r>
      <w:r>
        <w:t xml:space="preserve">cross-sex* </w:t>
      </w:r>
      <w:r>
        <w:t xml:space="preserve">ou </w:t>
      </w:r>
      <w:r>
        <w:t xml:space="preserve">genderqueer*)) </w:t>
      </w:r>
      <w:r>
        <w:t xml:space="preserve">83</w:t>
      </w:r>
    </w:p>
    <w:p>
      <w:pPr>
        <w:pStyle w:val="Paragraphedeliste"/>
        <w:numPr>
          <w:ilvl w:val="0"/>
          <w:numId w:val="62"/>
        </w:numPr>
        <w:tabs>
          <w:tab w:val="left" w:pos="880"/>
          <w:tab w:val="left" w:pos="881"/>
        </w:tabs>
        <w:spacing w:before="0" w:line="249" w:lineRule="exact"/>
        <w:ind w:hanging="721"/>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 </w:t>
      </w:r>
      <w:r>
        <w:t xml:space="preserve">24</w:t>
      </w:r>
    </w:p>
    <w:p>
      <w:pPr>
        <w:pStyle w:val="Paragraphedeliste"/>
        <w:numPr>
          <w:ilvl w:val="0"/>
          <w:numId w:val="62"/>
        </w:numPr>
        <w:tabs>
          <w:tab w:val="left" w:pos="880"/>
          <w:tab w:val="left" w:pos="881"/>
          <w:tab w:val="left" w:pos="5921"/>
        </w:tabs>
        <w:spacing w:before="34"/>
        <w:ind w:hanging="721"/>
      </w:pPr>
      <w:r>
        <w:t xml:space="preserve">(homme à femme </w:t>
      </w:r>
      <w:r>
        <w:t xml:space="preserve">ou </w:t>
      </w:r>
      <w:r>
        <w:t xml:space="preserve">m2f </w:t>
      </w:r>
      <w:r>
        <w:t xml:space="preserve">ou </w:t>
      </w:r>
      <w:r>
        <w:t xml:space="preserve">femme à homme </w:t>
      </w:r>
      <w:r>
        <w:t xml:space="preserve">ou </w:t>
      </w:r>
      <w:r>
        <w:t xml:space="preserve">f2m)</w:t>
      </w:r>
      <w:r>
        <w:tab/>
        <w:t xml:space="preserve">86</w:t>
      </w:r>
    </w:p>
    <w:p>
      <w:pPr>
        <w:pStyle w:val="Paragraphedeliste"/>
        <w:numPr>
          <w:ilvl w:val="0"/>
          <w:numId w:val="62"/>
        </w:numPr>
        <w:tabs>
          <w:tab w:val="left" w:pos="880"/>
          <w:tab w:val="left" w:pos="881"/>
        </w:tabs>
        <w:spacing w:line="276" w:lineRule="auto"/>
        <w:ind w:end="461"/>
      </w:pPr>
      <w:r>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 </w:t>
      </w:r>
      <w:r>
        <w:t xml:space="preserve">0</w:t>
      </w:r>
    </w:p>
    <w:p>
      <w:pPr>
        <w:pStyle w:val="Corpsdetexte"/>
        <w:tabs>
          <w:tab w:val="left" w:pos="880"/>
        </w:tabs>
        <w:spacing w:before="1"/>
      </w:pPr>
      <w:r>
        <w:t xml:space="preserve">14#1 </w:t>
      </w:r>
      <w:r>
        <w:tab/>
        <w:t xml:space="preserve">OU #2 </w:t>
      </w:r>
      <w:r>
        <w:t xml:space="preserve">OU #3 </w:t>
      </w:r>
      <w:r>
        <w:t xml:space="preserve">OU </w:t>
      </w:r>
      <w:r>
        <w:t xml:space="preserve">#4 </w:t>
      </w:r>
      <w:r>
        <w:t xml:space="preserve">OU #5 </w:t>
      </w:r>
      <w:r>
        <w:t xml:space="preserve">OU #6 </w:t>
      </w:r>
      <w:r>
        <w:t xml:space="preserve">OU </w:t>
      </w:r>
      <w:r>
        <w:t xml:space="preserve">#7 OU #8 </w:t>
      </w:r>
      <w:r>
        <w:t xml:space="preserve">OU #9 </w:t>
      </w:r>
      <w:r>
        <w:t xml:space="preserve">OU #10 </w:t>
      </w:r>
      <w:r>
        <w:t xml:space="preserve">OU </w:t>
      </w:r>
      <w:r>
        <w:t xml:space="preserve">#11 OU #12</w:t>
      </w:r>
    </w:p>
    <w:p>
      <w:pPr>
        <w:pStyle w:val="Corpsdetexte"/>
        <w:tabs>
          <w:tab w:val="left" w:pos="1600"/>
        </w:tabs>
        <w:spacing w:before="38"/>
      </w:pPr>
      <w:r>
        <w:t xml:space="preserve">OU #13262</w:t>
      </w:r>
    </w:p>
    <w:p>
      <w:pPr>
        <w:pStyle w:val="Corpsdetexte"/>
        <w:tabs>
          <w:tab w:val="left" w:pos="880"/>
        </w:tabs>
      </w:pPr>
      <w:r>
        <w:t xml:space="preserve">15</w:t>
      </w:r>
      <w:r>
        <w:tab/>
        <w:t xml:space="preserve">(#1 </w:t>
      </w:r>
      <w:r>
        <w:t xml:space="preserve">OU </w:t>
      </w:r>
      <w:r>
        <w:t xml:space="preserve">#2 </w:t>
      </w:r>
      <w:r>
        <w:t xml:space="preserve">OU </w:t>
      </w:r>
      <w:r>
        <w:t xml:space="preserve">#3 </w:t>
      </w:r>
      <w:r>
        <w:t xml:space="preserve">OU </w:t>
      </w:r>
      <w:r>
        <w:t xml:space="preserve">#4 </w:t>
      </w:r>
      <w:r>
        <w:t xml:space="preserve">OU </w:t>
      </w:r>
      <w:r>
        <w:t xml:space="preserve">#5 </w:t>
      </w:r>
      <w:r>
        <w:t xml:space="preserve">OU </w:t>
      </w:r>
      <w:r>
        <w:t xml:space="preserve">#6 </w:t>
      </w:r>
      <w:r>
        <w:t xml:space="preserve">OU </w:t>
      </w:r>
      <w:r>
        <w:t xml:space="preserve">#7 </w:t>
      </w:r>
      <w:r>
        <w:t xml:space="preserve">OU </w:t>
      </w:r>
      <w:r>
        <w:t xml:space="preserve">#8 </w:t>
      </w:r>
      <w:r>
        <w:t xml:space="preserve">OU </w:t>
      </w:r>
      <w:r>
        <w:t xml:space="preserve">#9 </w:t>
      </w:r>
      <w:r>
        <w:t xml:space="preserve">OU </w:t>
      </w:r>
      <w:r>
        <w:t xml:space="preserve">#10 </w:t>
      </w:r>
      <w:r>
        <w:t xml:space="preserve">OU </w:t>
      </w:r>
      <w:r>
        <w:t xml:space="preserve">#11 </w:t>
      </w:r>
      <w:r>
        <w:t xml:space="preserve">OU </w:t>
      </w:r>
      <w:r>
        <w:t xml:space="preserve">#12</w:t>
      </w:r>
    </w:p>
    <w:p>
      <w:pPr>
        <w:pStyle w:val="Corpsdetexte"/>
        <w:tabs>
          <w:tab w:val="left" w:pos="2320"/>
        </w:tabs>
        <w:spacing w:before="38"/>
      </w:pPr>
      <w:r>
        <w:t xml:space="preserve">OU </w:t>
      </w:r>
      <w:r>
        <w:t xml:space="preserve">#13) </w:t>
      </w:r>
      <w:r>
        <w:t xml:space="preserve">DANS </w:t>
      </w:r>
      <w:r>
        <w:t xml:space="preserve">HTA30</w:t>
      </w:r>
    </w:p>
    <w:p>
      <w:pPr>
        <w:pStyle w:val="Corpsdetexte"/>
        <w:spacing w:before="330" w:line="276" w:lineRule="auto"/>
        <w:ind w:end="545"/>
      </w:pPr>
      <w:r>
        <w:t xml:space="preserve">*26 </w:t>
      </w:r>
      <w:r>
        <w:t xml:space="preserve">résultats </w:t>
      </w:r>
      <w:r>
        <w:t xml:space="preserve">sont à partir de </w:t>
      </w:r>
      <w:r>
        <w:t xml:space="preserve">200</w:t>
      </w:r>
      <w:r>
        <w:t xml:space="preserve">. Téléchargé </w:t>
      </w:r>
      <w:r>
        <w:t xml:space="preserve">comme un </w:t>
      </w:r>
      <w:r>
        <w:t xml:space="preserve">ensemble pour passer au crible les </w:t>
      </w:r>
      <w:r>
        <w:t xml:space="preserve">termes relatifs aux médicaments plutôt que de </w:t>
      </w:r>
      <w:r>
        <w:t xml:space="preserve">poursuivre la </w:t>
      </w:r>
      <w:r>
        <w:t xml:space="preserve">stratégie de </w:t>
      </w:r>
      <w:r>
        <w:t xml:space="preserve">recherche</w:t>
      </w:r>
      <w:r>
        <w:t xml:space="preserve">.</w:t>
      </w:r>
    </w:p>
    <w:p>
      <w:pPr>
        <w:spacing w:before="289" w:line="276" w:lineRule="auto"/>
        <w:ind w:start="160" w:end="6266"/>
      </w:pPr>
      <w:r>
        <w:rPr>
          <w:b/>
        </w:rPr>
        <w:t xml:space="preserve">Base de données : APA PsycInfo </w:t>
      </w:r>
      <w:r>
        <w:t xml:space="preserve">Date de recherche : juillet 2020 (semaine 2) </w:t>
      </w:r>
      <w:r>
        <w:t xml:space="preserve">Stratégie de </w:t>
      </w:r>
      <w:r>
        <w:t xml:space="preserve">recherche </w:t>
      </w:r>
      <w:r>
        <w:t xml:space="preserve">:</w:t>
      </w:r>
    </w:p>
    <w:p w:rsidR="00432386" w:rsidRDefault="00BE015C">
      <w:pPr>
        <w:pStyle w:val="Corpsdetexte"/>
        <w:spacing w:before="0"/>
        <w:ind w:start="0"/>
        <w:rPr>
          <w:sz w:val="11"/>
        </w:rPr>
      </w:pPr>
      <w:r>
        <w:pict>
          <v:shape id="docshape7" style="position:absolute;margin-left:1in;margin-top:7.55pt;width:292.55pt;height:.1pt;z-index:-15726080;mso-wrap-distance-left:0;mso-wrap-distance-right:0;mso-position-horizontal-relative:page" coordsize="5851,0" coordorigin="1440,151" o:spid="_x0000_s1042" filled="f" strokeweight=".34272mm" path="m1440,151r5851,e">
            <v:stroke dashstyle="3 1"/>
            <v:path arrowok="t"/>
            <w10:wrap type="topAndBottom" anchorx="page"/>
          </v:shape>
        </w:pict>
      </w:r>
    </w:p>
    <w:p>
      <w:pPr>
        <w:pStyle w:val="Paragraphedeliste"/>
        <w:numPr>
          <w:ilvl w:val="0"/>
          <w:numId w:val="61"/>
        </w:numPr>
        <w:tabs>
          <w:tab w:val="left" w:pos="589"/>
          <w:tab w:val="left" w:pos="590"/>
        </w:tabs>
        <w:spacing w:before="131"/>
      </w:pPr>
      <w:r>
        <w:t xml:space="preserve">Dysphorie de genre/ </w:t>
      </w:r>
      <w:r>
        <w:t xml:space="preserve">(936)</w:t>
      </w:r>
    </w:p>
    <w:p>
      <w:pPr>
        <w:pStyle w:val="Paragraphedeliste"/>
        <w:numPr>
          <w:ilvl w:val="0"/>
          <w:numId w:val="61"/>
        </w:numPr>
        <w:tabs>
          <w:tab w:val="left" w:pos="589"/>
          <w:tab w:val="left" w:pos="590"/>
        </w:tabs>
        <w:spacing w:before="38"/>
      </w:pPr>
      <w:r>
        <w:t xml:space="preserve">Identité de genre/ </w:t>
      </w:r>
      <w:r>
        <w:t xml:space="preserve">(8648)</w:t>
      </w:r>
    </w:p>
    <w:p>
      <w:pPr>
        <w:pStyle w:val="Paragraphedeliste"/>
        <w:numPr>
          <w:ilvl w:val="0"/>
          <w:numId w:val="61"/>
        </w:numPr>
        <w:tabs>
          <w:tab w:val="left" w:pos="589"/>
          <w:tab w:val="left" w:pos="590"/>
        </w:tabs>
        <w:spacing w:before="39"/>
      </w:pPr>
      <w:r>
        <w:t xml:space="preserve">Transsexualisme/ </w:t>
      </w:r>
      <w:r>
        <w:t xml:space="preserve">(2825)</w:t>
      </w:r>
    </w:p>
    <w:p>
      <w:pPr>
        <w:pStyle w:val="Paragraphedeliste"/>
        <w:numPr>
          <w:ilvl w:val="0"/>
          <w:numId w:val="61"/>
        </w:numPr>
        <w:tabs>
          <w:tab w:val="left" w:pos="589"/>
          <w:tab w:val="left" w:pos="590"/>
        </w:tabs>
        <w:spacing w:before="38"/>
      </w:pPr>
      <w:r>
        <w:t xml:space="preserve">Transgenre/ </w:t>
      </w:r>
      <w:r>
        <w:t xml:space="preserve">(5257)</w:t>
      </w:r>
    </w:p>
    <w:p>
      <w:pPr>
        <w:pStyle w:val="Paragraphedeliste"/>
        <w:numPr>
          <w:ilvl w:val="0"/>
          <w:numId w:val="61"/>
        </w:numPr>
        <w:tabs>
          <w:tab w:val="left" w:pos="589"/>
          <w:tab w:val="left" w:pos="590"/>
        </w:tabs>
      </w:pPr>
      <w:r>
        <w:t xml:space="preserve">exp </w:t>
      </w:r>
      <w:r>
        <w:t xml:space="preserve">Réassignation de genre/ </w:t>
      </w:r>
      <w:r>
        <w:t xml:space="preserve">(568)</w:t>
      </w:r>
    </w:p>
    <w:p>
      <w:pPr>
        <w:pStyle w:val="Paragraphedeliste"/>
        <w:numPr>
          <w:ilvl w:val="0"/>
          <w:numId w:val="61"/>
        </w:numPr>
        <w:tabs>
          <w:tab w:val="left" w:pos="685"/>
          <w:tab w:val="left" w:pos="686"/>
        </w:tabs>
        <w:spacing w:before="38" w:line="278" w:lineRule="auto"/>
        <w:ind w:start="160" w:end="463" w:firstLine="0"/>
      </w:pPr>
      <w:r>
        <w:t xml:space="preserve">(gender* </w:t>
      </w:r>
      <w:r>
        <w:t xml:space="preserve">adj3 </w:t>
      </w:r>
      <w:r>
        <w:t xml:space="preserve">(dysphori* </w:t>
      </w:r>
      <w:r>
        <w:t xml:space="preserve">ou </w:t>
      </w:r>
      <w:r>
        <w:t xml:space="preserve">affirm* </w:t>
      </w:r>
      <w:r>
        <w:t xml:space="preserve">ou </w:t>
      </w:r>
      <w:r>
        <w:t xml:space="preserve">incongruen* </w:t>
      </w:r>
      <w:r>
        <w:t xml:space="preserve">ou </w:t>
      </w:r>
      <w:r>
        <w:t xml:space="preserve">identi* </w:t>
      </w:r>
      <w:r>
        <w:t xml:space="preserve">ou </w:t>
      </w:r>
      <w:r>
        <w:t xml:space="preserve">disorder* </w:t>
      </w:r>
      <w:r>
        <w:t xml:space="preserve">ou </w:t>
      </w:r>
      <w:r>
        <w:t xml:space="preserve">confus* </w:t>
      </w:r>
      <w:r>
        <w:t xml:space="preserve">ou </w:t>
      </w:r>
      <w:r>
        <w:t xml:space="preserve">minorit* </w:t>
      </w:r>
      <w:r>
        <w:t xml:space="preserve">ou </w:t>
      </w:r>
      <w:r>
        <w:t xml:space="preserve">queer*)).tw. </w:t>
      </w:r>
      <w:r>
        <w:t xml:space="preserve">(15471)</w:t>
      </w:r>
    </w:p>
    <w:p>
      <w:pPr>
        <w:pStyle w:val="Paragraphedeliste"/>
        <w:numPr>
          <w:ilvl w:val="0"/>
          <w:numId w:val="61"/>
        </w:numPr>
        <w:tabs>
          <w:tab w:val="left" w:pos="580"/>
          <w:tab w:val="left" w:pos="581"/>
        </w:tabs>
        <w:spacing w:before="0" w:line="276" w:lineRule="auto"/>
        <w:ind w:start="160" w:end="459" w:firstLine="0"/>
      </w:pPr>
      <w:r>
        <w:t xml:space="preserve">(transgend* </w:t>
      </w:r>
      <w:r>
        <w:t xml:space="preserve">ou </w:t>
      </w:r>
      <w:r>
        <w:t xml:space="preserve">transex* </w:t>
      </w:r>
      <w:r>
        <w:t xml:space="preserve">ou </w:t>
      </w:r>
      <w:r>
        <w:t xml:space="preserve">transsexuel* </w:t>
      </w:r>
      <w:r>
        <w:t xml:space="preserve">ou </w:t>
      </w:r>
      <w:r>
        <w:t xml:space="preserve">transfem* </w:t>
      </w:r>
      <w:r>
        <w:t xml:space="preserve">ou </w:t>
      </w:r>
      <w:r>
        <w:t xml:space="preserve">transwom* </w:t>
      </w:r>
      <w:r>
        <w:t xml:space="preserve">ou </w:t>
      </w:r>
      <w:r>
        <w:t xml:space="preserve">transma* </w:t>
      </w:r>
      <w:r>
        <w:t xml:space="preserve">ou </w:t>
      </w:r>
      <w:r>
        <w:t xml:space="preserve">transmen* </w:t>
      </w:r>
      <w:r>
        <w:t xml:space="preserve">ou </w:t>
      </w:r>
      <w:r>
        <w:t xml:space="preserve">transperson* </w:t>
      </w:r>
      <w:r>
        <w:t xml:space="preserve">ou </w:t>
      </w:r>
      <w:r>
        <w:t xml:space="preserve">transpeopl*).tw. </w:t>
      </w:r>
      <w:r>
        <w:t xml:space="preserve">(13028)</w:t>
      </w:r>
    </w:p>
    <w:p>
      <w:pPr>
        <w:pStyle w:val="Paragraphedeliste"/>
        <w:numPr>
          <w:ilvl w:val="0"/>
          <w:numId w:val="61"/>
        </w:numPr>
        <w:tabs>
          <w:tab w:val="left" w:pos="641"/>
          <w:tab w:val="left" w:pos="642"/>
        </w:tabs>
        <w:spacing w:before="0" w:line="276" w:lineRule="auto"/>
        <w:ind w:start="160" w:end="456" w:firstLine="0"/>
      </w:pPr>
      <w:r>
        <w:t xml:space="preserve">(trans </w:t>
      </w:r>
      <w:r>
        <w:t xml:space="preserve">ou </w:t>
      </w:r>
      <w:r>
        <w:t xml:space="preserve">crossgender* </w:t>
      </w:r>
      <w:r>
        <w:t xml:space="preserve">ou </w:t>
      </w:r>
      <w:r>
        <w:t xml:space="preserve">cross-gender* </w:t>
      </w:r>
      <w:r>
        <w:t xml:space="preserve">ou </w:t>
      </w:r>
      <w:r>
        <w:t xml:space="preserve">crossex* </w:t>
      </w:r>
      <w:r>
        <w:t xml:space="preserve">ou </w:t>
      </w:r>
      <w:r>
        <w:t xml:space="preserve">cross-sex* </w:t>
      </w:r>
      <w:r>
        <w:t xml:space="preserve">ou </w:t>
      </w:r>
      <w:r>
        <w:t xml:space="preserve">genderqueer*).tw. </w:t>
      </w:r>
      <w:r>
        <w:t xml:space="preserve">(7679)</w:t>
      </w:r>
    </w:p>
    <w:p>
      <w:pPr>
        <w:pStyle w:val="Paragraphedeliste"/>
        <w:numPr>
          <w:ilvl w:val="0"/>
          <w:numId w:val="61"/>
        </w:numPr>
        <w:tabs>
          <w:tab w:val="left" w:pos="589"/>
          <w:tab w:val="left" w:pos="590"/>
        </w:tabs>
        <w:spacing w:before="0"/>
      </w:pPr>
      <w:r>
        <w:t xml:space="preserve">((sexe </w:t>
      </w:r>
      <w:r>
        <w:t xml:space="preserve">ou </w:t>
      </w:r>
      <w:r>
        <w:t xml:space="preserve">genre*) </w:t>
      </w:r>
      <w:r>
        <w:t xml:space="preserve">adj3 </w:t>
      </w:r>
      <w:r>
        <w:t xml:space="preserve">(réassignation* </w:t>
      </w:r>
      <w:r>
        <w:t xml:space="preserve">ou </w:t>
      </w:r>
      <w:r>
        <w:t xml:space="preserve">changement* </w:t>
      </w:r>
      <w:r>
        <w:t xml:space="preserve">ou </w:t>
      </w:r>
      <w:r>
        <w:t xml:space="preserve">transformation* </w:t>
      </w:r>
      <w:r>
        <w:t xml:space="preserve">ou </w:t>
      </w:r>
      <w:r>
        <w:t xml:space="preserve">transition*)).tw. </w:t>
      </w:r>
      <w:r>
        <w:t xml:space="preserve">(5796)</w:t>
      </w:r>
    </w:p>
    <w:p>
      <w:pPr>
        <w:pStyle w:val="Paragraphedeliste"/>
        <w:numPr>
          <w:ilvl w:val="0"/>
          <w:numId w:val="61"/>
        </w:numPr>
        <w:tabs>
          <w:tab w:val="left" w:pos="712"/>
          <w:tab w:val="left" w:pos="713"/>
        </w:tabs>
        <w:spacing w:before="34" w:line="276" w:lineRule="auto"/>
        <w:ind w:start="160" w:end="3000" w:firstLine="0"/>
      </w:pPr>
      <w:r>
        <w:t xml:space="preserve">(homme-à-femme ou m2f ou femme-à-mâle ou f2m).tw. (63688) </w:t>
      </w:r>
      <w:r>
        <w:t xml:space="preserve">11or/1-10 </w:t>
      </w:r>
      <w:r>
        <w:t xml:space="preserve">(99560)</w:t>
      </w:r>
    </w:p>
    <w:p>
      <w:pPr>
        <w:pStyle w:val="Paragraphedeliste"/>
        <w:numPr>
          <w:ilvl w:val="0"/>
          <w:numId w:val="60"/>
        </w:numPr>
        <w:tabs>
          <w:tab w:val="left" w:pos="712"/>
          <w:tab w:val="left" w:pos="713"/>
        </w:tabs>
        <w:spacing w:before="0" w:line="252" w:lineRule="exact"/>
        <w:ind w:hanging="553"/>
      </w:pPr>
      <w:r>
        <w:t xml:space="preserve">exp </w:t>
      </w:r>
      <w:r>
        <w:t xml:space="preserve">Développement du nourrisson/ </w:t>
      </w:r>
      <w:r>
        <w:t xml:space="preserve">(21841)</w:t>
      </w:r>
    </w:p>
    <w:p>
      <w:pPr>
        <w:pStyle w:val="Paragraphedeliste"/>
        <w:numPr>
          <w:ilvl w:val="0"/>
          <w:numId w:val="60"/>
        </w:numPr>
        <w:tabs>
          <w:tab w:val="left" w:pos="705"/>
          <w:tab w:val="left" w:pos="706"/>
        </w:tabs>
        <w:spacing w:before="40" w:line="276" w:lineRule="auto"/>
        <w:ind w:start="160" w:end="454" w:firstLine="0"/>
      </w:pPr>
      <w:r>
        <w:t xml:space="preserve">(prématuré* </w:t>
      </w:r>
      <w:r>
        <w:t xml:space="preserve">ou </w:t>
      </w:r>
      <w:r>
        <w:t xml:space="preserve">pré-maturé* </w:t>
      </w:r>
      <w:r>
        <w:t xml:space="preserve">ou </w:t>
      </w:r>
      <w:r>
        <w:t xml:space="preserve">prématuré* </w:t>
      </w:r>
      <w:r>
        <w:t xml:space="preserve">ou </w:t>
      </w:r>
      <w:r>
        <w:t xml:space="preserve">prématuré* </w:t>
      </w:r>
      <w:r>
        <w:t xml:space="preserve">ou </w:t>
      </w:r>
      <w:r>
        <w:t xml:space="preserve">infans* </w:t>
      </w:r>
      <w:r>
        <w:t xml:space="preserve">ou </w:t>
      </w:r>
      <w:r>
        <w:t xml:space="preserve">nouveau-né* </w:t>
      </w:r>
      <w:r>
        <w:t xml:space="preserve">ou </w:t>
      </w:r>
      <w:r>
        <w:t xml:space="preserve">périnat* </w:t>
      </w:r>
      <w:r>
        <w:t xml:space="preserve">ou </w:t>
      </w:r>
      <w:r>
        <w:t xml:space="preserve">péri-nat* </w:t>
      </w:r>
      <w:r>
        <w:t xml:space="preserve">ou </w:t>
      </w:r>
      <w:r>
        <w:t xml:space="preserve">néonat* </w:t>
      </w:r>
      <w:r>
        <w:t xml:space="preserve">ou </w:t>
      </w:r>
      <w:r>
        <w:t xml:space="preserve">néo-nat* </w:t>
      </w:r>
      <w:r>
        <w:t xml:space="preserve">ou </w:t>
      </w:r>
      <w:r>
        <w:t xml:space="preserve">bébé* </w:t>
      </w:r>
      <w:r>
        <w:t xml:space="preserve">ou </w:t>
      </w:r>
      <w:r>
        <w:t xml:space="preserve">bébés </w:t>
      </w:r>
      <w:r>
        <w:t xml:space="preserve">ou </w:t>
      </w:r>
      <w:r>
        <w:t xml:space="preserve">tout-petits*).ti,ab,in,jn. </w:t>
      </w:r>
      <w:r>
        <w:t xml:space="preserve">(150219)</w:t>
      </w:r>
    </w:p>
    <w:p w:rsidR="00432386" w:rsidRDefault="00432386">
      <w:pPr>
        <w:spacing w:line="276" w:lineRule="auto"/>
        <w:sectPr w:rsidR="00432386">
          <w:pgSz w:w="11910" w:h="16840"/>
          <w:pgMar w:top="1180" w:right="980" w:bottom="1460" w:left="1280" w:header="0" w:footer="1183" w:gutter="0"/>
          <w:cols w:space="720"/>
        </w:sectPr>
      </w:pPr>
    </w:p>
    <w:p>
      <w:pPr>
        <w:pStyle w:val="Paragraphedeliste"/>
        <w:numPr>
          <w:ilvl w:val="0"/>
          <w:numId w:val="60"/>
        </w:numPr>
        <w:tabs>
          <w:tab w:val="left" w:pos="711"/>
        </w:tabs>
        <w:spacing w:before="78" w:line="276" w:lineRule="auto"/>
        <w:ind w:start="160" w:end="459" w:firstLine="0"/>
        <w:jc w:val="both"/>
      </w:pPr>
      <w:r>
        <w:t xml:space="preserve">Caractéristiques de l'enfant/ </w:t>
      </w:r>
      <w:r>
        <w:t xml:space="preserve">ou </w:t>
      </w:r>
      <w:r>
        <w:t xml:space="preserve">exp </w:t>
      </w:r>
      <w:r>
        <w:t xml:space="preserve">Comportement de l'enfant/ </w:t>
      </w:r>
      <w:r>
        <w:t xml:space="preserve">ou </w:t>
      </w:r>
      <w:r>
        <w:t xml:space="preserve">Psychologie de l'enfant/ </w:t>
      </w:r>
      <w:r>
        <w:t xml:space="preserve">ou </w:t>
      </w:r>
      <w:r>
        <w:t xml:space="preserve">exp </w:t>
      </w:r>
      <w:r>
        <w:t xml:space="preserve">Protection de l'enfant/ </w:t>
      </w:r>
      <w:r>
        <w:t xml:space="preserve">ou Psychiatrie de l'enfant/ </w:t>
      </w:r>
      <w:r>
        <w:t xml:space="preserve">(23423)</w:t>
      </w:r>
    </w:p>
    <w:p>
      <w:pPr>
        <w:pStyle w:val="Paragraphedeliste"/>
        <w:numPr>
          <w:ilvl w:val="0"/>
          <w:numId w:val="60"/>
        </w:numPr>
        <w:tabs>
          <w:tab w:val="left" w:pos="713"/>
        </w:tabs>
        <w:spacing w:before="0" w:line="252" w:lineRule="exact"/>
        <w:ind w:hanging="553"/>
        <w:jc w:val="both"/>
      </w:pPr>
      <w:r>
        <w:t xml:space="preserve">(enfant* </w:t>
      </w:r>
      <w:r>
        <w:t xml:space="preserve">ou </w:t>
      </w:r>
      <w:r>
        <w:t xml:space="preserve">mineur </w:t>
      </w:r>
      <w:r>
        <w:t xml:space="preserve">ou </w:t>
      </w:r>
      <w:r>
        <w:t xml:space="preserve">mineurs </w:t>
      </w:r>
      <w:r>
        <w:t xml:space="preserve">ou </w:t>
      </w:r>
      <w:r>
        <w:t xml:space="preserve">garçon* </w:t>
      </w:r>
      <w:r>
        <w:t xml:space="preserve">ou </w:t>
      </w:r>
      <w:r>
        <w:t xml:space="preserve">fille* </w:t>
      </w:r>
      <w:r>
        <w:t xml:space="preserve">ou </w:t>
      </w:r>
      <w:r>
        <w:t xml:space="preserve">enfant </w:t>
      </w:r>
      <w:r>
        <w:t xml:space="preserve">ou </w:t>
      </w:r>
      <w:r>
        <w:t xml:space="preserve">enfants </w:t>
      </w:r>
      <w:r>
        <w:t xml:space="preserve">ou </w:t>
      </w:r>
      <w:r>
        <w:t xml:space="preserve">jeunes*).ti,ab,in,jn. </w:t>
      </w:r>
      <w:r>
        <w:t xml:space="preserve">(984230)</w:t>
      </w:r>
    </w:p>
    <w:p>
      <w:pPr>
        <w:pStyle w:val="Paragraphedeliste"/>
        <w:numPr>
          <w:ilvl w:val="0"/>
          <w:numId w:val="60"/>
        </w:numPr>
        <w:tabs>
          <w:tab w:val="left" w:pos="713"/>
        </w:tabs>
        <w:spacing w:before="38"/>
        <w:ind w:hanging="553"/>
        <w:jc w:val="both"/>
      </w:pPr>
      <w:r>
        <w:t xml:space="preserve">(pédiatrique* </w:t>
      </w:r>
      <w:r>
        <w:t xml:space="preserve">ou </w:t>
      </w:r>
      <w:r>
        <w:t xml:space="preserve">pédiatrique* </w:t>
      </w:r>
      <w:r>
        <w:t xml:space="preserve">ou </w:t>
      </w:r>
      <w:r>
        <w:t xml:space="preserve">peadiatrique*).ti,ab,in,jn. </w:t>
      </w:r>
      <w:r>
        <w:t xml:space="preserve">(78962)</w:t>
      </w:r>
    </w:p>
    <w:p>
      <w:pPr>
        <w:pStyle w:val="Paragraphedeliste"/>
        <w:numPr>
          <w:ilvl w:val="0"/>
          <w:numId w:val="60"/>
        </w:numPr>
        <w:tabs>
          <w:tab w:val="left" w:pos="1009"/>
        </w:tabs>
        <w:spacing w:before="39" w:line="276" w:lineRule="auto"/>
        <w:ind w:start="160" w:end="458" w:firstLine="0"/>
        <w:jc w:val="both"/>
      </w:pPr>
      <w:r>
        <w:t xml:space="preserve">Psychiatrie de l'adolescent/ ou Comportement de l'adolescent/ ou Développement de l'adolescent/ ou </w:t>
      </w:r>
      <w:r>
        <w:t xml:space="preserve">Psychologie de </w:t>
      </w:r>
      <w:r>
        <w:t xml:space="preserve">l'</w:t>
      </w:r>
      <w:r>
        <w:t xml:space="preserve">adolescent/ </w:t>
      </w:r>
      <w:r>
        <w:t xml:space="preserve">ou </w:t>
      </w:r>
      <w:r>
        <w:t xml:space="preserve">Caractéristiques de l'adolescent/ </w:t>
      </w:r>
      <w:r>
        <w:t xml:space="preserve">ou </w:t>
      </w:r>
      <w:r>
        <w:t xml:space="preserve">Santé de </w:t>
      </w:r>
      <w:r>
        <w:t xml:space="preserve">l'</w:t>
      </w:r>
      <w:r>
        <w:t xml:space="preserve">adolescent/ </w:t>
      </w:r>
      <w:r>
        <w:t xml:space="preserve">(62142)</w:t>
      </w:r>
    </w:p>
    <w:p>
      <w:pPr>
        <w:pStyle w:val="Paragraphedeliste"/>
        <w:numPr>
          <w:ilvl w:val="0"/>
          <w:numId w:val="60"/>
        </w:numPr>
        <w:tabs>
          <w:tab w:val="left" w:pos="713"/>
        </w:tabs>
        <w:spacing w:before="0" w:line="252" w:lineRule="exact"/>
        <w:ind w:hanging="553"/>
        <w:jc w:val="both"/>
      </w:pPr>
      <w:r>
        <w:t xml:space="preserve">Puberté/ </w:t>
      </w:r>
      <w:r>
        <w:t xml:space="preserve">(2753)</w:t>
      </w:r>
    </w:p>
    <w:p>
      <w:pPr>
        <w:pStyle w:val="Paragraphedeliste"/>
        <w:numPr>
          <w:ilvl w:val="0"/>
          <w:numId w:val="60"/>
        </w:numPr>
        <w:tabs>
          <w:tab w:val="left" w:pos="765"/>
        </w:tabs>
        <w:spacing w:before="38" w:line="276" w:lineRule="auto"/>
        <w:ind w:start="160" w:end="456" w:firstLine="0"/>
        <w:jc w:val="both"/>
      </w:pPr>
      <w:r>
        <w:t xml:space="preserve">(adolescen* ou pubescen* ou prépubescen* ou pré-pubescen* ou pubert* ou prépubert* </w:t>
      </w:r>
      <w:r>
        <w:t xml:space="preserve">ou pré-pubert* ou teen* ou preteen* ou pre-teen* ou juvenil* ou youth* ou under*age*).ti,ab,in,jn. </w:t>
      </w:r>
      <w:r>
        <w:t xml:space="preserve">(347604)</w:t>
      </w:r>
    </w:p>
    <w:p>
      <w:pPr>
        <w:pStyle w:val="Paragraphedeliste"/>
        <w:numPr>
          <w:ilvl w:val="0"/>
          <w:numId w:val="60"/>
        </w:numPr>
        <w:tabs>
          <w:tab w:val="left" w:pos="841"/>
        </w:tabs>
        <w:spacing w:before="1" w:line="276" w:lineRule="auto"/>
        <w:ind w:start="160" w:end="457" w:firstLine="0"/>
        <w:jc w:val="both"/>
      </w:pPr>
      <w:r>
        <w:t xml:space="preserve">Écoles/ ou exp élèves de l'école primaire/ ou élèves du lycée/ ou </w:t>
      </w:r>
      <w:r>
        <w:t xml:space="preserve">élèves du collège/ </w:t>
      </w:r>
      <w:r>
        <w:t xml:space="preserve">ou </w:t>
      </w:r>
      <w:r>
        <w:t xml:space="preserve">élèves du lycée</w:t>
      </w:r>
      <w:r>
        <w:t xml:space="preserve">/ </w:t>
      </w:r>
      <w:r>
        <w:t xml:space="preserve">(113053)</w:t>
      </w:r>
    </w:p>
    <w:p>
      <w:pPr>
        <w:pStyle w:val="Paragraphedeliste"/>
        <w:numPr>
          <w:ilvl w:val="0"/>
          <w:numId w:val="60"/>
        </w:numPr>
        <w:tabs>
          <w:tab w:val="left" w:pos="713"/>
        </w:tabs>
        <w:spacing w:before="0" w:line="252" w:lineRule="exact"/>
        <w:ind w:hanging="553"/>
        <w:jc w:val="both"/>
      </w:pPr>
      <w:r>
        <w:t xml:space="preserve">Gardes d'enfants/ </w:t>
      </w:r>
      <w:r>
        <w:t xml:space="preserve">ou </w:t>
      </w:r>
      <w:r>
        <w:t xml:space="preserve">écoles maternelles/ </w:t>
      </w:r>
      <w:r>
        <w:t xml:space="preserve">(2836)</w:t>
      </w:r>
    </w:p>
    <w:p>
      <w:pPr>
        <w:pStyle w:val="Paragraphedeliste"/>
        <w:numPr>
          <w:ilvl w:val="0"/>
          <w:numId w:val="60"/>
        </w:numPr>
        <w:tabs>
          <w:tab w:val="left" w:pos="715"/>
        </w:tabs>
        <w:spacing w:before="39" w:line="276" w:lineRule="auto"/>
        <w:ind w:start="160" w:end="453" w:firstLine="0"/>
        <w:jc w:val="both"/>
      </w:pPr>
      <w:r>
        <w:t xml:space="preserve">(école maternelle* ou préscolaire* ou jardin d'enfants* ou garderie ou crèche* ou </w:t>
      </w:r>
      <w:r>
        <w:t xml:space="preserve">école* ou </w:t>
      </w:r>
      <w:r>
        <w:t xml:space="preserve">élève* ou </w:t>
      </w:r>
      <w:r>
        <w:t xml:space="preserve">étudiant*).ti,ab,jn. </w:t>
      </w:r>
      <w:r>
        <w:t xml:space="preserve">(772814)</w:t>
      </w:r>
    </w:p>
    <w:p>
      <w:pPr>
        <w:pStyle w:val="Paragraphedeliste"/>
        <w:numPr>
          <w:ilvl w:val="0"/>
          <w:numId w:val="60"/>
        </w:numPr>
        <w:tabs>
          <w:tab w:val="left" w:pos="708"/>
        </w:tabs>
        <w:spacing w:before="0" w:line="276" w:lineRule="auto"/>
        <w:ind w:start="160" w:end="462" w:firstLine="0"/>
        <w:jc w:val="both"/>
      </w:pPr>
      <w:r>
        <w:t xml:space="preserve">(("huit" </w:t>
      </w:r>
      <w:r>
        <w:t xml:space="preserve">ou </w:t>
      </w:r>
      <w:r>
        <w:t xml:space="preserve">"neuf" </w:t>
      </w:r>
      <w:r>
        <w:t xml:space="preserve">ou </w:t>
      </w:r>
      <w:r>
        <w:t xml:space="preserve">"dix" </w:t>
      </w:r>
      <w:r>
        <w:t xml:space="preserve">ou </w:t>
      </w:r>
      <w:r>
        <w:t xml:space="preserve">"onze" </w:t>
      </w:r>
      <w:r>
        <w:t xml:space="preserve">ou </w:t>
      </w:r>
      <w:r>
        <w:t xml:space="preserve">"douze" </w:t>
      </w:r>
      <w:r>
        <w:t xml:space="preserve">ou </w:t>
      </w:r>
      <w:r>
        <w:t xml:space="preserve">"treize" </w:t>
      </w:r>
      <w:r>
        <w:t xml:space="preserve">ou </w:t>
      </w:r>
      <w:r>
        <w:t xml:space="preserve">"quatorze" </w:t>
      </w:r>
      <w:r>
        <w:t xml:space="preserve">ou </w:t>
      </w:r>
      <w:r>
        <w:t xml:space="preserve">"quinze" </w:t>
      </w:r>
      <w:r>
        <w:t xml:space="preserve">ou </w:t>
      </w:r>
      <w:r>
        <w:t xml:space="preserve">"seize" ou "dix-sept" ou "dix-huit" ou "dix-neuf") adj2 (année ou années ou âge ou âges ou </w:t>
      </w:r>
      <w:r>
        <w:t xml:space="preserve">âgés)).ti,ab. </w:t>
      </w:r>
      <w:r>
        <w:t xml:space="preserve">(21475)</w:t>
      </w:r>
    </w:p>
    <w:p>
      <w:pPr>
        <w:pStyle w:val="Corpsdetexte"/>
        <w:tabs>
          <w:tab w:val="left" w:pos="747"/>
        </w:tabs>
        <w:spacing w:before="1" w:line="276" w:lineRule="auto"/>
        <w:ind w:end="464"/>
      </w:pPr>
      <w:r>
        <w:t xml:space="preserve">24</w:t>
      </w:r>
      <w:r>
        <w:tab/>
        <w:t xml:space="preserve">(("8" </w:t>
      </w:r>
      <w:r>
        <w:t xml:space="preserve">ou </w:t>
      </w:r>
      <w:r>
        <w:t xml:space="preserve">"9" </w:t>
      </w:r>
      <w:r>
        <w:t xml:space="preserve">ou </w:t>
      </w:r>
      <w:r>
        <w:t xml:space="preserve">"10" </w:t>
      </w:r>
      <w:r>
        <w:t xml:space="preserve">ou </w:t>
      </w:r>
      <w:r>
        <w:t xml:space="preserve">"11" </w:t>
      </w:r>
      <w:r>
        <w:t xml:space="preserve">ou </w:t>
      </w:r>
      <w:r>
        <w:t xml:space="preserve">"12" </w:t>
      </w:r>
      <w:r>
        <w:t xml:space="preserve">ou </w:t>
      </w:r>
      <w:r>
        <w:t xml:space="preserve">"13" </w:t>
      </w:r>
      <w:r>
        <w:t xml:space="preserve">ou </w:t>
      </w:r>
      <w:r>
        <w:t xml:space="preserve">"14" </w:t>
      </w:r>
      <w:r>
        <w:t xml:space="preserve">ou </w:t>
      </w:r>
      <w:r>
        <w:t xml:space="preserve">"15" </w:t>
      </w:r>
      <w:r>
        <w:t xml:space="preserve">ou </w:t>
      </w:r>
      <w:r>
        <w:t xml:space="preserve">"16" </w:t>
      </w:r>
      <w:r>
        <w:t xml:space="preserve">ou </w:t>
      </w:r>
      <w:r>
        <w:t xml:space="preserve">"17" </w:t>
      </w:r>
      <w:r>
        <w:t xml:space="preserve">ou </w:t>
      </w:r>
      <w:r>
        <w:t xml:space="preserve">"18" </w:t>
      </w:r>
      <w:r>
        <w:t xml:space="preserve">ou </w:t>
      </w:r>
      <w:r>
        <w:t xml:space="preserve">"19") </w:t>
      </w:r>
      <w:r>
        <w:t xml:space="preserve">adj2 </w:t>
      </w:r>
      <w:r>
        <w:t xml:space="preserve">(année </w:t>
      </w:r>
      <w:r>
        <w:t xml:space="preserve">ou </w:t>
      </w:r>
      <w:r>
        <w:t xml:space="preserve">années </w:t>
      </w:r>
      <w:r>
        <w:t xml:space="preserve">ou âge ou </w:t>
      </w:r>
      <w:r>
        <w:t xml:space="preserve">âges </w:t>
      </w:r>
      <w:r>
        <w:t xml:space="preserve">ou </w:t>
      </w:r>
      <w:r>
        <w:t xml:space="preserve">âgés)).ti,ab. </w:t>
      </w:r>
      <w:r>
        <w:t xml:space="preserve">(285697)</w:t>
      </w:r>
    </w:p>
    <w:p>
      <w:pPr>
        <w:pStyle w:val="Corpsdetexte"/>
        <w:tabs>
          <w:tab w:val="left" w:pos="712"/>
        </w:tabs>
        <w:spacing w:before="0" w:line="252" w:lineRule="exact"/>
      </w:pPr>
      <w:r>
        <w:t xml:space="preserve">25or/12-24 </w:t>
      </w:r>
      <w:r>
        <w:t xml:space="preserve">(1772959)</w:t>
      </w:r>
    </w:p>
    <w:p>
      <w:pPr>
        <w:pStyle w:val="Corpsdetexte"/>
        <w:tabs>
          <w:tab w:val="left" w:pos="712"/>
        </w:tabs>
      </w:pPr>
      <w:r>
        <w:t xml:space="preserve">2611 </w:t>
      </w:r>
      <w:r>
        <w:t xml:space="preserve">et </w:t>
      </w:r>
      <w:r>
        <w:t xml:space="preserve">25 </w:t>
      </w:r>
      <w:r>
        <w:t xml:space="preserve">(49612)</w:t>
      </w:r>
    </w:p>
    <w:p>
      <w:pPr>
        <w:pStyle w:val="Corpsdetexte"/>
        <w:tabs>
          <w:tab w:val="left" w:pos="788"/>
        </w:tabs>
        <w:spacing w:before="40" w:line="276" w:lineRule="auto"/>
        <w:ind w:end="458"/>
      </w:pPr>
      <w:r>
        <w:t xml:space="preserve">27</w:t>
      </w:r>
      <w:r>
        <w:tab/>
        <w:t xml:space="preserve">(transchild* </w:t>
      </w:r>
      <w:r>
        <w:t xml:space="preserve">ou </w:t>
      </w:r>
      <w:r>
        <w:t xml:space="preserve">transyouth* </w:t>
      </w:r>
      <w:r>
        <w:t xml:space="preserve">ou </w:t>
      </w:r>
      <w:r>
        <w:t xml:space="preserve">transteen* </w:t>
      </w:r>
      <w:r>
        <w:t xml:space="preserve">ou </w:t>
      </w:r>
      <w:r>
        <w:t xml:space="preserve">transadoles* </w:t>
      </w:r>
      <w:r>
        <w:t xml:space="preserve">ou </w:t>
      </w:r>
      <w:r>
        <w:t xml:space="preserve">transgirl* </w:t>
      </w:r>
      <w:r>
        <w:t xml:space="preserve">ou </w:t>
      </w:r>
      <w:r>
        <w:t xml:space="preserve">transboy*).tw. </w:t>
      </w:r>
      <w:r>
        <w:t xml:space="preserve">(14)</w:t>
      </w:r>
    </w:p>
    <w:p>
      <w:pPr>
        <w:pStyle w:val="Corpsdetexte"/>
        <w:tabs>
          <w:tab w:val="left" w:pos="712"/>
        </w:tabs>
        <w:spacing w:before="0" w:line="252" w:lineRule="exact"/>
      </w:pPr>
      <w:r>
        <w:t xml:space="preserve">2826 </w:t>
      </w:r>
      <w:r>
        <w:t xml:space="preserve">ou </w:t>
      </w:r>
      <w:r>
        <w:t xml:space="preserve">27 </w:t>
      </w:r>
      <w:r>
        <w:t xml:space="preserve">(49613)</w:t>
      </w:r>
    </w:p>
    <w:p>
      <w:pPr>
        <w:pStyle w:val="Paragraphedeliste"/>
        <w:numPr>
          <w:ilvl w:val="0"/>
          <w:numId w:val="59"/>
        </w:numPr>
        <w:tabs>
          <w:tab w:val="left" w:pos="712"/>
          <w:tab w:val="left" w:pos="713"/>
        </w:tabs>
        <w:ind w:hanging="553"/>
      </w:pPr>
      <w:r>
        <w:t xml:space="preserve">exp </w:t>
      </w:r>
      <w:r>
        <w:t xml:space="preserve">Hormones gonadotropes/ </w:t>
      </w:r>
      <w:r>
        <w:t xml:space="preserve">(4226)</w:t>
      </w:r>
    </w:p>
    <w:p>
      <w:pPr>
        <w:pStyle w:val="Paragraphedeliste"/>
        <w:numPr>
          <w:ilvl w:val="0"/>
          <w:numId w:val="59"/>
        </w:numPr>
        <w:tabs>
          <w:tab w:val="left" w:pos="712"/>
          <w:tab w:val="left" w:pos="713"/>
        </w:tabs>
        <w:spacing w:before="38"/>
        <w:ind w:hanging="553"/>
      </w:pPr>
      <w:r>
        <w:t xml:space="preserve">(pubert* </w:t>
      </w:r>
      <w:r>
        <w:t xml:space="preserve">adj3 </w:t>
      </w:r>
      <w:r>
        <w:t xml:space="preserve">bloc*).ti,ab. </w:t>
      </w:r>
      <w:r>
        <w:t xml:space="preserve">(29)</w:t>
      </w:r>
    </w:p>
    <w:p>
      <w:pPr>
        <w:pStyle w:val="Paragraphedeliste"/>
        <w:numPr>
          <w:ilvl w:val="0"/>
          <w:numId w:val="59"/>
        </w:numPr>
        <w:tabs>
          <w:tab w:val="left" w:pos="712"/>
          <w:tab w:val="left" w:pos="713"/>
        </w:tabs>
        <w:spacing w:before="40"/>
        <w:ind w:hanging="553"/>
      </w:pPr>
      <w:r>
        <w:t xml:space="preserve">((gonadotrophine </w:t>
      </w:r>
      <w:r>
        <w:t xml:space="preserve">ou </w:t>
      </w:r>
      <w:r>
        <w:t xml:space="preserve">gonadotrophine) </w:t>
      </w:r>
      <w:r>
        <w:t xml:space="preserve">et </w:t>
      </w:r>
      <w:r>
        <w:t xml:space="preserve">libération).ti,ab. </w:t>
      </w:r>
      <w:r>
        <w:t xml:space="preserve">(1060)</w:t>
      </w:r>
    </w:p>
    <w:p>
      <w:pPr>
        <w:pStyle w:val="Paragraphedeliste"/>
        <w:numPr>
          <w:ilvl w:val="0"/>
          <w:numId w:val="59"/>
        </w:numPr>
        <w:tabs>
          <w:tab w:val="left" w:pos="712"/>
          <w:tab w:val="left" w:pos="713"/>
        </w:tabs>
        <w:spacing w:before="38"/>
        <w:ind w:hanging="553"/>
      </w:pPr>
      <w:r>
        <w:t xml:space="preserve">(GnRH </w:t>
      </w:r>
      <w:r>
        <w:t xml:space="preserve">adj2 </w:t>
      </w:r>
      <w:r>
        <w:t xml:space="preserve">analogue*).ti,ab. </w:t>
      </w:r>
      <w:r>
        <w:t xml:space="preserve">(49)</w:t>
      </w:r>
    </w:p>
    <w:p>
      <w:pPr>
        <w:pStyle w:val="Corpsdetexte"/>
        <w:tabs>
          <w:tab w:val="left" w:pos="712"/>
        </w:tabs>
      </w:pPr>
      <w:r>
        <w:t xml:space="preserve">33GnRH*</w:t>
      </w:r>
      <w:r>
        <w:tab/>
        <w:t xml:space="preserve">.ti,ab. </w:t>
      </w:r>
      <w:r>
        <w:t xml:space="preserve">(998)</w:t>
      </w:r>
    </w:p>
    <w:p>
      <w:pPr>
        <w:pStyle w:val="Paragraphedeliste"/>
        <w:numPr>
          <w:ilvl w:val="0"/>
          <w:numId w:val="58"/>
        </w:numPr>
        <w:tabs>
          <w:tab w:val="left" w:pos="712"/>
          <w:tab w:val="left" w:pos="713"/>
        </w:tabs>
        <w:ind w:hanging="553"/>
      </w:pPr>
      <w:r>
        <w:t xml:space="preserve">"</w:t>
      </w:r>
      <w:r>
        <w:t xml:space="preserve">Agoniste de la GnRH*".ti,ab. </w:t>
      </w:r>
      <w:r>
        <w:t xml:space="preserve">(72)</w:t>
      </w:r>
    </w:p>
    <w:p>
      <w:pPr>
        <w:pStyle w:val="Paragraphedeliste"/>
        <w:numPr>
          <w:ilvl w:val="0"/>
          <w:numId w:val="58"/>
        </w:numPr>
        <w:tabs>
          <w:tab w:val="left" w:pos="712"/>
          <w:tab w:val="left" w:pos="713"/>
        </w:tabs>
        <w:spacing w:before="38"/>
        <w:ind w:hanging="553"/>
      </w:pPr>
      <w:r>
        <w:t xml:space="preserve">triptoréline.ti,ab. </w:t>
      </w:r>
      <w:r>
        <w:t xml:space="preserve">(25)</w:t>
      </w:r>
    </w:p>
    <w:p>
      <w:pPr>
        <w:pStyle w:val="Paragraphedeliste"/>
        <w:numPr>
          <w:ilvl w:val="0"/>
          <w:numId w:val="58"/>
        </w:numPr>
        <w:tabs>
          <w:tab w:val="left" w:pos="712"/>
          <w:tab w:val="left" w:pos="713"/>
        </w:tabs>
        <w:spacing w:before="40"/>
        <w:ind w:hanging="553"/>
      </w:pPr>
      <w:r>
        <w:t xml:space="preserve">arvekap.ti,ab. </w:t>
      </w:r>
      <w:r>
        <w:t xml:space="preserve">(0)</w:t>
      </w:r>
    </w:p>
    <w:p>
      <w:pPr>
        <w:pStyle w:val="Corpsdetexte"/>
        <w:tabs>
          <w:tab w:val="left" w:pos="712"/>
        </w:tabs>
      </w:pPr>
      <w:r>
        <w:t xml:space="preserve">37</w:t>
      </w:r>
      <w:r>
        <w:tab/>
        <w:t xml:space="preserve">("AY </w:t>
      </w:r>
      <w:r>
        <w:t xml:space="preserve">25650" </w:t>
      </w:r>
      <w:r>
        <w:t xml:space="preserve">ou </w:t>
      </w:r>
      <w:r>
        <w:t xml:space="preserve">AY25650).ti,ab. </w:t>
      </w:r>
      <w:r>
        <w:t xml:space="preserve">(0)</w:t>
      </w:r>
    </w:p>
    <w:p>
      <w:pPr>
        <w:pStyle w:val="Corpsdetexte"/>
        <w:tabs>
          <w:tab w:val="left" w:pos="712"/>
        </w:tabs>
      </w:pPr>
      <w:r>
        <w:t xml:space="preserve">38</w:t>
      </w:r>
      <w:r>
        <w:tab/>
        <w:t xml:space="preserve">("BIM </w:t>
      </w:r>
      <w:r>
        <w:t xml:space="preserve">21003" </w:t>
      </w:r>
      <w:r>
        <w:t xml:space="preserve">ou </w:t>
      </w:r>
      <w:r>
        <w:t xml:space="preserve">BIM21003).ti,ab. </w:t>
      </w:r>
      <w:r>
        <w:t xml:space="preserve">(0)</w:t>
      </w:r>
    </w:p>
    <w:p>
      <w:pPr>
        <w:pStyle w:val="Corpsdetexte"/>
        <w:tabs>
          <w:tab w:val="left" w:pos="712"/>
        </w:tabs>
        <w:spacing w:before="38"/>
      </w:pPr>
      <w:r>
        <w:t xml:space="preserve">39</w:t>
      </w:r>
      <w:r>
        <w:tab/>
        <w:t xml:space="preserve">("BN </w:t>
      </w:r>
      <w:r>
        <w:t xml:space="preserve">52014" </w:t>
      </w:r>
      <w:r>
        <w:t xml:space="preserve">ou </w:t>
      </w:r>
      <w:r>
        <w:t xml:space="preserve">BN52014).ti,ab. </w:t>
      </w:r>
      <w:r>
        <w:t xml:space="preserve">(0)</w:t>
      </w:r>
    </w:p>
    <w:p>
      <w:pPr>
        <w:pStyle w:val="Corpsdetexte"/>
        <w:tabs>
          <w:tab w:val="left" w:pos="712"/>
        </w:tabs>
        <w:spacing w:before="40"/>
      </w:pPr>
      <w:r>
        <w:t xml:space="preserve">40</w:t>
      </w:r>
      <w:r>
        <w:tab/>
        <w:t xml:space="preserve">("CL </w:t>
      </w:r>
      <w:r>
        <w:t xml:space="preserve">118532" </w:t>
      </w:r>
      <w:r>
        <w:t xml:space="preserve">ou </w:t>
      </w:r>
      <w:r>
        <w:t xml:space="preserve">CL118532).ti,ab. </w:t>
      </w:r>
      <w:r>
        <w:t xml:space="preserve">(0)</w:t>
      </w:r>
    </w:p>
    <w:p>
      <w:pPr>
        <w:pStyle w:val="Paragraphedeliste"/>
        <w:numPr>
          <w:ilvl w:val="0"/>
          <w:numId w:val="57"/>
        </w:numPr>
        <w:tabs>
          <w:tab w:val="left" w:pos="712"/>
          <w:tab w:val="left" w:pos="713"/>
        </w:tabs>
        <w:ind w:hanging="553"/>
      </w:pPr>
      <w:r>
        <w:t xml:space="preserve">Debio.ti,ab. </w:t>
      </w:r>
      <w:r>
        <w:t xml:space="preserve">(7)</w:t>
      </w:r>
    </w:p>
    <w:p>
      <w:pPr>
        <w:pStyle w:val="Paragraphedeliste"/>
        <w:numPr>
          <w:ilvl w:val="0"/>
          <w:numId w:val="57"/>
        </w:numPr>
        <w:tabs>
          <w:tab w:val="left" w:pos="712"/>
          <w:tab w:val="left" w:pos="713"/>
        </w:tabs>
        <w:spacing w:before="38"/>
        <w:ind w:hanging="553"/>
      </w:pPr>
      <w:r>
        <w:t xml:space="preserve">diphereline.ti,ab. </w:t>
      </w:r>
      <w:r>
        <w:t xml:space="preserve">(0)</w:t>
      </w:r>
    </w:p>
    <w:p>
      <w:pPr>
        <w:pStyle w:val="Paragraphedeliste"/>
        <w:numPr>
          <w:ilvl w:val="0"/>
          <w:numId w:val="57"/>
        </w:numPr>
        <w:tabs>
          <w:tab w:val="left" w:pos="712"/>
          <w:tab w:val="left" w:pos="713"/>
        </w:tabs>
        <w:ind w:hanging="553"/>
      </w:pPr>
      <w:r>
        <w:t xml:space="preserve">moapar.ti,ab. </w:t>
      </w:r>
      <w:r>
        <w:t xml:space="preserve">(0)</w:t>
      </w:r>
    </w:p>
    <w:p>
      <w:pPr>
        <w:pStyle w:val="Paragraphedeliste"/>
        <w:numPr>
          <w:ilvl w:val="0"/>
          <w:numId w:val="57"/>
        </w:numPr>
        <w:tabs>
          <w:tab w:val="left" w:pos="712"/>
          <w:tab w:val="left" w:pos="713"/>
        </w:tabs>
        <w:ind w:hanging="553"/>
      </w:pPr>
      <w:r>
        <w:t xml:space="preserve">pamorelin.ti,ab. </w:t>
      </w:r>
      <w:r>
        <w:t xml:space="preserve">(0)</w:t>
      </w:r>
    </w:p>
    <w:p>
      <w:pPr>
        <w:pStyle w:val="Paragraphedeliste"/>
        <w:numPr>
          <w:ilvl w:val="0"/>
          <w:numId w:val="57"/>
        </w:numPr>
        <w:tabs>
          <w:tab w:val="left" w:pos="712"/>
          <w:tab w:val="left" w:pos="713"/>
        </w:tabs>
        <w:spacing w:before="41"/>
        <w:ind w:hanging="553"/>
      </w:pPr>
      <w:r>
        <w:t xml:space="preserve">trelstar.ti,ab. </w:t>
      </w:r>
      <w:r>
        <w:t xml:space="preserve">(0)</w:t>
      </w:r>
    </w:p>
    <w:p>
      <w:pPr>
        <w:pStyle w:val="Paragraphedeliste"/>
        <w:numPr>
          <w:ilvl w:val="0"/>
          <w:numId w:val="57"/>
        </w:numPr>
        <w:tabs>
          <w:tab w:val="left" w:pos="712"/>
          <w:tab w:val="left" w:pos="713"/>
        </w:tabs>
        <w:ind w:hanging="553"/>
      </w:pPr>
      <w:r>
        <w:t xml:space="preserve">triptodur.ti,ab. </w:t>
      </w:r>
      <w:r>
        <w:t xml:space="preserve">(0)</w:t>
      </w:r>
    </w:p>
    <w:p>
      <w:pPr>
        <w:pStyle w:val="Corpsdetexte"/>
        <w:tabs>
          <w:tab w:val="left" w:pos="712"/>
        </w:tabs>
        <w:spacing w:before="38"/>
      </w:pPr>
      <w:r>
        <w:t xml:space="preserve">47</w:t>
      </w:r>
      <w:r>
        <w:tab/>
        <w:t xml:space="preserve">("WY </w:t>
      </w:r>
      <w:r>
        <w:t xml:space="preserve">42422" </w:t>
      </w:r>
      <w:r>
        <w:t xml:space="preserve">ou </w:t>
      </w:r>
      <w:r>
        <w:t xml:space="preserve">WY42422).ti,ab. </w:t>
      </w:r>
      <w:r>
        <w:t xml:space="preserve">(0)</w:t>
      </w:r>
    </w:p>
    <w:p>
      <w:pPr>
        <w:pStyle w:val="Corpsdetexte"/>
        <w:tabs>
          <w:tab w:val="left" w:pos="712"/>
        </w:tabs>
      </w:pPr>
      <w:r>
        <w:t xml:space="preserve">48</w:t>
      </w:r>
      <w:r>
        <w:tab/>
        <w:t xml:space="preserve">("WY </w:t>
      </w:r>
      <w:r>
        <w:t xml:space="preserve">42462" </w:t>
      </w:r>
      <w:r>
        <w:t xml:space="preserve">ou </w:t>
      </w:r>
      <w:r>
        <w:t xml:space="preserve">WY42462).ti,ab. </w:t>
      </w:r>
      <w:r>
        <w:t xml:space="preserve">(0)</w:t>
      </w:r>
    </w:p>
    <w:p>
      <w:pPr>
        <w:pStyle w:val="Paragraphedeliste"/>
        <w:numPr>
          <w:ilvl w:val="0"/>
          <w:numId w:val="56"/>
        </w:numPr>
        <w:tabs>
          <w:tab w:val="left" w:pos="712"/>
          <w:tab w:val="left" w:pos="713"/>
        </w:tabs>
        <w:spacing w:before="40"/>
        <w:ind w:hanging="553"/>
      </w:pPr>
      <w:r>
        <w:rPr>
          <w:spacing w:val="-1"/>
        </w:rPr>
        <w:t xml:space="preserve">gonapeptyl.ti,ab.</w:t>
      </w:r>
      <w:r>
        <w:t xml:space="preserve"> (0)</w:t>
      </w:r>
    </w:p>
    <w:p>
      <w:pPr>
        <w:pStyle w:val="Paragraphedeliste"/>
        <w:numPr>
          <w:ilvl w:val="0"/>
          <w:numId w:val="56"/>
        </w:numPr>
        <w:tabs>
          <w:tab w:val="left" w:pos="712"/>
          <w:tab w:val="left" w:pos="713"/>
        </w:tabs>
        <w:ind w:hanging="553"/>
      </w:pPr>
      <w:r>
        <w:t xml:space="preserve">décapeptyl.ti,ab. </w:t>
      </w:r>
      <w:r>
        <w:t xml:space="preserve">(3)</w:t>
      </w:r>
    </w:p>
    <w:p>
      <w:pPr>
        <w:pStyle w:val="Paragraphedeliste"/>
        <w:numPr>
          <w:ilvl w:val="0"/>
          <w:numId w:val="56"/>
        </w:numPr>
        <w:tabs>
          <w:tab w:val="left" w:pos="712"/>
          <w:tab w:val="left" w:pos="713"/>
        </w:tabs>
        <w:spacing w:before="38"/>
        <w:ind w:hanging="553"/>
      </w:pPr>
      <w:r>
        <w:t xml:space="preserve">salvacyl.ti,ab. </w:t>
      </w:r>
      <w:r>
        <w:t xml:space="preserve">(1)</w:t>
      </w:r>
    </w:p>
    <w:p w:rsidR="00432386" w:rsidRDefault="00432386">
      <w:pPr>
        <w:sectPr w:rsidR="00432386">
          <w:pgSz w:w="11910" w:h="16840"/>
          <w:pgMar w:top="1180" w:right="980" w:bottom="1460" w:left="1280" w:header="0" w:footer="1183" w:gutter="0"/>
          <w:cols w:space="720"/>
        </w:sectPr>
      </w:pPr>
    </w:p>
    <w:p>
      <w:pPr>
        <w:pStyle w:val="Paragraphedeliste"/>
        <w:numPr>
          <w:ilvl w:val="0"/>
          <w:numId w:val="56"/>
        </w:numPr>
        <w:tabs>
          <w:tab w:val="left" w:pos="712"/>
          <w:tab w:val="left" w:pos="713"/>
        </w:tabs>
        <w:spacing w:before="78"/>
        <w:ind w:hanging="553"/>
      </w:pPr>
      <w:r>
        <w:lastRenderedPageBreak/>
        <w:t xml:space="preserve">buséréline.ti,ab. </w:t>
      </w:r>
      <w:r>
        <w:t xml:space="preserve">(6)</w:t>
      </w:r>
    </w:p>
    <w:p>
      <w:pPr>
        <w:pStyle w:val="Paragraphedeliste"/>
        <w:numPr>
          <w:ilvl w:val="0"/>
          <w:numId w:val="56"/>
        </w:numPr>
        <w:tabs>
          <w:tab w:val="left" w:pos="712"/>
          <w:tab w:val="left" w:pos="713"/>
        </w:tabs>
        <w:spacing w:before="38"/>
        <w:ind w:hanging="553"/>
      </w:pPr>
      <w:r>
        <w:t xml:space="preserve">bigoniste.ti,ab. </w:t>
      </w:r>
      <w:r>
        <w:t xml:space="preserve">(0)</w:t>
      </w:r>
    </w:p>
    <w:p>
      <w:pPr>
        <w:pStyle w:val="Corpsdetexte"/>
        <w:tabs>
          <w:tab w:val="left" w:pos="712"/>
        </w:tabs>
      </w:pPr>
      <w:r>
        <w:t xml:space="preserve">54</w:t>
      </w:r>
      <w:r>
        <w:tab/>
        <w:t xml:space="preserve">("hoe </w:t>
      </w:r>
      <w:r>
        <w:t xml:space="preserve">766" </w:t>
      </w:r>
      <w:r>
        <w:t xml:space="preserve">ou </w:t>
      </w:r>
      <w:r>
        <w:t xml:space="preserve">hoe-766 </w:t>
      </w:r>
      <w:r>
        <w:t xml:space="preserve">ou </w:t>
      </w:r>
      <w:r>
        <w:t xml:space="preserve">hoe766).ti,ab. </w:t>
      </w:r>
      <w:r>
        <w:t xml:space="preserve">(0)</w:t>
      </w:r>
    </w:p>
    <w:p>
      <w:pPr>
        <w:pStyle w:val="Paragraphedeliste"/>
        <w:numPr>
          <w:ilvl w:val="0"/>
          <w:numId w:val="55"/>
        </w:numPr>
        <w:tabs>
          <w:tab w:val="left" w:pos="712"/>
          <w:tab w:val="left" w:pos="713"/>
        </w:tabs>
        <w:spacing w:before="38"/>
        <w:ind w:hanging="553"/>
      </w:pPr>
      <w:r>
        <w:t xml:space="preserve">profact.ti,ab. </w:t>
      </w:r>
      <w:r>
        <w:t xml:space="preserve">(0)</w:t>
      </w:r>
    </w:p>
    <w:p>
      <w:pPr>
        <w:pStyle w:val="Paragraphedeliste"/>
        <w:numPr>
          <w:ilvl w:val="0"/>
          <w:numId w:val="55"/>
        </w:numPr>
        <w:tabs>
          <w:tab w:val="left" w:pos="712"/>
          <w:tab w:val="left" w:pos="713"/>
        </w:tabs>
        <w:spacing w:before="40"/>
        <w:ind w:hanging="553"/>
      </w:pPr>
      <w:r>
        <w:t xml:space="preserve">réceptacle.ti,ab. </w:t>
      </w:r>
      <w:r>
        <w:t xml:space="preserve">(0)</w:t>
      </w:r>
    </w:p>
    <w:p>
      <w:pPr>
        <w:pStyle w:val="Paragraphedeliste"/>
        <w:numPr>
          <w:ilvl w:val="0"/>
          <w:numId w:val="55"/>
        </w:numPr>
        <w:tabs>
          <w:tab w:val="left" w:pos="712"/>
          <w:tab w:val="left" w:pos="713"/>
        </w:tabs>
        <w:ind w:hanging="553"/>
      </w:pPr>
      <w:r>
        <w:t xml:space="preserve">suprecur.ti,ab. </w:t>
      </w:r>
      <w:r>
        <w:t xml:space="preserve">(0)</w:t>
      </w:r>
    </w:p>
    <w:p>
      <w:pPr>
        <w:pStyle w:val="Paragraphedeliste"/>
        <w:numPr>
          <w:ilvl w:val="0"/>
          <w:numId w:val="55"/>
        </w:numPr>
        <w:tabs>
          <w:tab w:val="left" w:pos="712"/>
          <w:tab w:val="left" w:pos="713"/>
        </w:tabs>
        <w:ind w:hanging="553"/>
      </w:pPr>
      <w:r>
        <w:t xml:space="preserve">suprefact.ti,ab. </w:t>
      </w:r>
      <w:r>
        <w:t xml:space="preserve">(0)</w:t>
      </w:r>
    </w:p>
    <w:p>
      <w:pPr>
        <w:pStyle w:val="Paragraphedeliste"/>
        <w:numPr>
          <w:ilvl w:val="0"/>
          <w:numId w:val="55"/>
        </w:numPr>
        <w:tabs>
          <w:tab w:val="left" w:pos="712"/>
          <w:tab w:val="left" w:pos="713"/>
        </w:tabs>
        <w:spacing w:before="38"/>
        <w:ind w:hanging="553"/>
      </w:pPr>
      <w:r>
        <w:t xml:space="preserve">tiloryth.ti,ab. </w:t>
      </w:r>
      <w:r>
        <w:t xml:space="preserve">(0)</w:t>
      </w:r>
    </w:p>
    <w:p>
      <w:pPr>
        <w:pStyle w:val="Paragraphedeliste"/>
        <w:numPr>
          <w:ilvl w:val="0"/>
          <w:numId w:val="55"/>
        </w:numPr>
        <w:tabs>
          <w:tab w:val="left" w:pos="712"/>
          <w:tab w:val="left" w:pos="713"/>
        </w:tabs>
        <w:ind w:hanging="553"/>
      </w:pPr>
      <w:r>
        <w:t xml:space="preserve">histrelin.ti,ab. </w:t>
      </w:r>
      <w:r>
        <w:t xml:space="preserve">(1)</w:t>
      </w:r>
    </w:p>
    <w:p>
      <w:pPr>
        <w:pStyle w:val="Paragraphedeliste"/>
        <w:numPr>
          <w:ilvl w:val="0"/>
          <w:numId w:val="55"/>
        </w:numPr>
        <w:tabs>
          <w:tab w:val="left" w:pos="712"/>
          <w:tab w:val="left" w:pos="713"/>
        </w:tabs>
        <w:spacing w:before="40" w:line="276" w:lineRule="auto"/>
        <w:ind w:start="160" w:end="5621" w:firstLine="0"/>
      </w:pPr>
      <w:r>
        <w:t xml:space="preserve">"Implant de LHRH-hydrogel"</w:t>
      </w:r>
      <w:r>
        <w:t xml:space="preserve">.ti,ab. (0) </w:t>
      </w:r>
      <w:r>
        <w:t xml:space="preserve">62</w:t>
      </w:r>
      <w:r>
        <w:tab/>
        <w:t xml:space="preserve">("RL 0903" ou RL0903).ti,ab. (0) </w:t>
      </w:r>
      <w:r>
        <w:t xml:space="preserve">63</w:t>
      </w:r>
      <w:r>
        <w:tab/>
        <w:t xml:space="preserve">("SPD </w:t>
      </w:r>
      <w:r>
        <w:t xml:space="preserve">424" </w:t>
      </w:r>
      <w:r>
        <w:t xml:space="preserve">ou </w:t>
      </w:r>
      <w:r>
        <w:t xml:space="preserve">SPD424).ti,ab. </w:t>
      </w:r>
      <w:r>
        <w:t xml:space="preserve">(0)</w:t>
      </w:r>
    </w:p>
    <w:p>
      <w:pPr>
        <w:pStyle w:val="Corpsdetexte"/>
        <w:tabs>
          <w:tab w:val="left" w:pos="712"/>
        </w:tabs>
        <w:spacing w:before="0" w:line="251" w:lineRule="exact"/>
      </w:pPr>
      <w:r>
        <w:t xml:space="preserve">64goséréline</w:t>
      </w:r>
      <w:r>
        <w:tab/>
        <w:t xml:space="preserve">.ti,ab. </w:t>
      </w:r>
      <w:r>
        <w:t xml:space="preserve">(30)</w:t>
      </w:r>
    </w:p>
    <w:p>
      <w:pPr>
        <w:pStyle w:val="Corpsdetexte"/>
        <w:tabs>
          <w:tab w:val="left" w:pos="712"/>
        </w:tabs>
        <w:spacing w:before="40"/>
      </w:pPr>
      <w:r>
        <w:t xml:space="preserve">65</w:t>
      </w:r>
      <w:r>
        <w:tab/>
        <w:t xml:space="preserve">("ici </w:t>
      </w:r>
      <w:r>
        <w:t xml:space="preserve">118630" </w:t>
      </w:r>
      <w:r>
        <w:t xml:space="preserve">ou </w:t>
      </w:r>
      <w:r>
        <w:t xml:space="preserve">ici118630).ti,ab. </w:t>
      </w:r>
      <w:r>
        <w:t xml:space="preserve">(0)</w:t>
      </w:r>
    </w:p>
    <w:p>
      <w:pPr>
        <w:pStyle w:val="Corpsdetexte"/>
        <w:tabs>
          <w:tab w:val="left" w:pos="712"/>
        </w:tabs>
      </w:pPr>
      <w:r>
        <w:t xml:space="preserve">66</w:t>
      </w:r>
      <w:r>
        <w:tab/>
        <w:t xml:space="preserve">("ZD-9393" </w:t>
      </w:r>
      <w:r>
        <w:t xml:space="preserve">ou </w:t>
      </w:r>
      <w:r>
        <w:t xml:space="preserve">ZD9393).ti,ab. </w:t>
      </w:r>
      <w:r>
        <w:t xml:space="preserve">(0)</w:t>
      </w:r>
    </w:p>
    <w:p>
      <w:pPr>
        <w:pStyle w:val="Paragraphedeliste"/>
        <w:numPr>
          <w:ilvl w:val="0"/>
          <w:numId w:val="54"/>
        </w:numPr>
        <w:tabs>
          <w:tab w:val="left" w:pos="712"/>
          <w:tab w:val="left" w:pos="713"/>
        </w:tabs>
        <w:spacing w:before="38"/>
        <w:ind w:hanging="553"/>
      </w:pPr>
      <w:r>
        <w:t xml:space="preserve">zoladex.ti,ab. </w:t>
      </w:r>
      <w:r>
        <w:t xml:space="preserve">(3)</w:t>
      </w:r>
    </w:p>
    <w:p>
      <w:pPr>
        <w:pStyle w:val="Paragraphedeliste"/>
        <w:numPr>
          <w:ilvl w:val="0"/>
          <w:numId w:val="54"/>
        </w:numPr>
        <w:tabs>
          <w:tab w:val="left" w:pos="712"/>
          <w:tab w:val="left" w:pos="713"/>
        </w:tabs>
        <w:spacing w:before="38"/>
        <w:ind w:hanging="553"/>
      </w:pPr>
      <w:r>
        <w:t xml:space="preserve">leuprorelin.ti,ab. </w:t>
      </w:r>
      <w:r>
        <w:t xml:space="preserve">(12)</w:t>
      </w:r>
    </w:p>
    <w:p>
      <w:pPr>
        <w:pStyle w:val="Paragraphedeliste"/>
        <w:numPr>
          <w:ilvl w:val="0"/>
          <w:numId w:val="54"/>
        </w:numPr>
        <w:tabs>
          <w:tab w:val="left" w:pos="712"/>
          <w:tab w:val="left" w:pos="713"/>
        </w:tabs>
        <w:ind w:hanging="553"/>
      </w:pPr>
      <w:r>
        <w:t xml:space="preserve">carcinil.ti,ab. </w:t>
      </w:r>
      <w:r>
        <w:t xml:space="preserve">(0)</w:t>
      </w:r>
    </w:p>
    <w:p>
      <w:pPr>
        <w:pStyle w:val="Paragraphedeliste"/>
        <w:numPr>
          <w:ilvl w:val="0"/>
          <w:numId w:val="54"/>
        </w:numPr>
        <w:tabs>
          <w:tab w:val="left" w:pos="712"/>
          <w:tab w:val="left" w:pos="713"/>
        </w:tabs>
        <w:spacing w:before="40"/>
        <w:ind w:hanging="553"/>
      </w:pPr>
      <w:r>
        <w:t xml:space="preserve">enanton*.ti,ab. </w:t>
      </w:r>
      <w:r>
        <w:t xml:space="preserve">(1)</w:t>
      </w:r>
    </w:p>
    <w:p>
      <w:pPr>
        <w:pStyle w:val="Paragraphedeliste"/>
        <w:numPr>
          <w:ilvl w:val="0"/>
          <w:numId w:val="54"/>
        </w:numPr>
        <w:tabs>
          <w:tab w:val="left" w:pos="712"/>
          <w:tab w:val="left" w:pos="713"/>
        </w:tabs>
        <w:ind w:hanging="553"/>
      </w:pPr>
      <w:r>
        <w:t xml:space="preserve">ginecrin.ti,ab. </w:t>
      </w:r>
      <w:r>
        <w:t xml:space="preserve">(0)</w:t>
      </w:r>
    </w:p>
    <w:p>
      <w:pPr>
        <w:pStyle w:val="Paragraphedeliste"/>
        <w:numPr>
          <w:ilvl w:val="0"/>
          <w:numId w:val="54"/>
        </w:numPr>
        <w:tabs>
          <w:tab w:val="left" w:pos="712"/>
          <w:tab w:val="left" w:pos="713"/>
        </w:tabs>
        <w:spacing w:before="38"/>
        <w:ind w:hanging="553"/>
      </w:pPr>
      <w:r>
        <w:t xml:space="preserve">leuplin.ti,ab. </w:t>
      </w:r>
      <w:r>
        <w:t xml:space="preserve">(0)</w:t>
      </w:r>
    </w:p>
    <w:p>
      <w:pPr>
        <w:pStyle w:val="Paragraphedeliste"/>
        <w:numPr>
          <w:ilvl w:val="0"/>
          <w:numId w:val="54"/>
        </w:numPr>
        <w:tabs>
          <w:tab w:val="left" w:pos="712"/>
          <w:tab w:val="left" w:pos="713"/>
        </w:tabs>
        <w:ind w:hanging="553"/>
      </w:pPr>
      <w:r>
        <w:t xml:space="preserve">leuprolide.ti,ab. </w:t>
      </w:r>
      <w:r>
        <w:t xml:space="preserve">(79)</w:t>
      </w:r>
    </w:p>
    <w:p>
      <w:pPr>
        <w:pStyle w:val="Paragraphedeliste"/>
        <w:numPr>
          <w:ilvl w:val="0"/>
          <w:numId w:val="54"/>
        </w:numPr>
        <w:tabs>
          <w:tab w:val="left" w:pos="712"/>
          <w:tab w:val="left" w:pos="713"/>
        </w:tabs>
        <w:spacing w:before="40"/>
        <w:ind w:hanging="553"/>
      </w:pPr>
      <w:r>
        <w:t xml:space="preserve">lucrin.ti,ab. </w:t>
      </w:r>
      <w:r>
        <w:t xml:space="preserve">(1)</w:t>
      </w:r>
    </w:p>
    <w:p>
      <w:pPr>
        <w:pStyle w:val="Paragraphedeliste"/>
        <w:numPr>
          <w:ilvl w:val="0"/>
          <w:numId w:val="54"/>
        </w:numPr>
        <w:tabs>
          <w:tab w:val="left" w:pos="712"/>
          <w:tab w:val="left" w:pos="713"/>
        </w:tabs>
        <w:spacing w:before="38"/>
        <w:ind w:hanging="553"/>
      </w:pPr>
      <w:r>
        <w:t xml:space="preserve">lupron.ti,ab. </w:t>
      </w:r>
      <w:r>
        <w:t xml:space="preserve">(18)</w:t>
      </w:r>
    </w:p>
    <w:p>
      <w:pPr>
        <w:pStyle w:val="Paragraphedeliste"/>
        <w:numPr>
          <w:ilvl w:val="0"/>
          <w:numId w:val="54"/>
        </w:numPr>
        <w:tabs>
          <w:tab w:val="left" w:pos="712"/>
          <w:tab w:val="left" w:pos="713"/>
        </w:tabs>
        <w:ind w:hanging="553"/>
      </w:pPr>
      <w:r>
        <w:t xml:space="preserve">provren.ti,ab. </w:t>
      </w:r>
      <w:r>
        <w:t xml:space="preserve">(0)</w:t>
      </w:r>
    </w:p>
    <w:p>
      <w:pPr>
        <w:pStyle w:val="Paragraphedeliste"/>
        <w:numPr>
          <w:ilvl w:val="0"/>
          <w:numId w:val="54"/>
        </w:numPr>
        <w:tabs>
          <w:tab w:val="left" w:pos="712"/>
          <w:tab w:val="left" w:pos="713"/>
        </w:tabs>
        <w:ind w:hanging="553"/>
      </w:pPr>
      <w:r>
        <w:t xml:space="preserve">procrine.ti,ab. </w:t>
      </w:r>
      <w:r>
        <w:t xml:space="preserve">(0)</w:t>
      </w:r>
    </w:p>
    <w:p>
      <w:pPr>
        <w:pStyle w:val="Corpsdetexte"/>
        <w:tabs>
          <w:tab w:val="left" w:pos="712"/>
        </w:tabs>
        <w:spacing w:before="38"/>
      </w:pPr>
      <w:r>
        <w:t xml:space="preserve">78</w:t>
      </w:r>
      <w:r>
        <w:tab/>
        <w:t xml:space="preserve">("tap </w:t>
      </w:r>
      <w:r>
        <w:t xml:space="preserve">144" </w:t>
      </w:r>
      <w:r>
        <w:t xml:space="preserve">ou </w:t>
      </w:r>
      <w:r>
        <w:t xml:space="preserve">tap144).ti,ab. </w:t>
      </w:r>
      <w:r>
        <w:t xml:space="preserve">(1)</w:t>
      </w:r>
    </w:p>
    <w:p>
      <w:pPr>
        <w:pStyle w:val="Corpsdetexte"/>
        <w:tabs>
          <w:tab w:val="left" w:pos="712"/>
        </w:tabs>
        <w:spacing w:before="40"/>
      </w:pPr>
      <w:r>
        <w:t xml:space="preserve">79</w:t>
      </w:r>
      <w:r>
        <w:tab/>
        <w:t xml:space="preserve">(a-43818 </w:t>
      </w:r>
      <w:r>
        <w:t xml:space="preserve">ou </w:t>
      </w:r>
      <w:r>
        <w:t xml:space="preserve">a43818).ti,ab. </w:t>
      </w:r>
      <w:r>
        <w:t xml:space="preserve">(0)</w:t>
      </w:r>
    </w:p>
    <w:p>
      <w:pPr>
        <w:pStyle w:val="Paragraphedeliste"/>
        <w:numPr>
          <w:ilvl w:val="0"/>
          <w:numId w:val="53"/>
        </w:numPr>
        <w:tabs>
          <w:tab w:val="left" w:pos="712"/>
          <w:tab w:val="left" w:pos="713"/>
        </w:tabs>
        <w:ind w:hanging="553"/>
      </w:pPr>
      <w:r>
        <w:t xml:space="preserve">Trenantone.ti,ab. </w:t>
      </w:r>
      <w:r>
        <w:t xml:space="preserve">(0)</w:t>
      </w:r>
    </w:p>
    <w:p>
      <w:pPr>
        <w:pStyle w:val="Paragraphedeliste"/>
        <w:numPr>
          <w:ilvl w:val="0"/>
          <w:numId w:val="53"/>
        </w:numPr>
        <w:tabs>
          <w:tab w:val="left" w:pos="712"/>
          <w:tab w:val="left" w:pos="713"/>
        </w:tabs>
        <w:spacing w:before="38"/>
        <w:ind w:hanging="553"/>
      </w:pPr>
      <w:r>
        <w:t xml:space="preserve">staladex.ti,ab. </w:t>
      </w:r>
      <w:r>
        <w:t xml:space="preserve">(0)</w:t>
      </w:r>
    </w:p>
    <w:p>
      <w:pPr>
        <w:pStyle w:val="Paragraphedeliste"/>
        <w:numPr>
          <w:ilvl w:val="0"/>
          <w:numId w:val="53"/>
        </w:numPr>
        <w:tabs>
          <w:tab w:val="left" w:pos="712"/>
          <w:tab w:val="left" w:pos="713"/>
        </w:tabs>
        <w:ind w:hanging="553"/>
      </w:pPr>
      <w:r>
        <w:t xml:space="preserve">prostap.ti,ab. </w:t>
      </w:r>
      <w:r>
        <w:t xml:space="preserve">(0)</w:t>
      </w:r>
    </w:p>
    <w:p>
      <w:pPr>
        <w:pStyle w:val="Paragraphedeliste"/>
        <w:numPr>
          <w:ilvl w:val="0"/>
          <w:numId w:val="53"/>
        </w:numPr>
        <w:tabs>
          <w:tab w:val="left" w:pos="712"/>
          <w:tab w:val="left" w:pos="713"/>
        </w:tabs>
        <w:spacing w:before="38"/>
        <w:ind w:hanging="553"/>
      </w:pPr>
      <w:r>
        <w:t xml:space="preserve">nafarelin.ti,ab. </w:t>
      </w:r>
      <w:r>
        <w:t xml:space="preserve">(1)</w:t>
      </w:r>
    </w:p>
    <w:p>
      <w:pPr>
        <w:pStyle w:val="Corpsdetexte"/>
        <w:tabs>
          <w:tab w:val="left" w:pos="712"/>
        </w:tabs>
        <w:spacing w:before="40"/>
      </w:pPr>
      <w:r>
        <w:t xml:space="preserve">84</w:t>
      </w:r>
      <w:r>
        <w:tab/>
        <w:t xml:space="preserve">("76932-56-4" </w:t>
      </w:r>
      <w:r>
        <w:t xml:space="preserve">ou </w:t>
      </w:r>
      <w:r>
        <w:t xml:space="preserve">"76932564").ti,ab. </w:t>
      </w:r>
      <w:r>
        <w:t xml:space="preserve">(0)</w:t>
      </w:r>
    </w:p>
    <w:p>
      <w:pPr>
        <w:pStyle w:val="Corpsdetexte"/>
        <w:tabs>
          <w:tab w:val="left" w:pos="712"/>
        </w:tabs>
      </w:pPr>
      <w:r>
        <w:t xml:space="preserve">85</w:t>
      </w:r>
      <w:r>
        <w:tab/>
        <w:t xml:space="preserve">("76932-60-0" </w:t>
      </w:r>
      <w:r>
        <w:t xml:space="preserve">ou </w:t>
      </w:r>
      <w:r>
        <w:t xml:space="preserve">"76932600").ti,ab. </w:t>
      </w:r>
      <w:r>
        <w:t xml:space="preserve">(0)</w:t>
      </w:r>
    </w:p>
    <w:p>
      <w:pPr>
        <w:pStyle w:val="Corpsdetexte"/>
        <w:tabs>
          <w:tab w:val="left" w:pos="712"/>
        </w:tabs>
      </w:pPr>
      <w:r>
        <w:t xml:space="preserve">86</w:t>
      </w:r>
      <w:r>
        <w:tab/>
        <w:t xml:space="preserve">("86220-42-0" </w:t>
      </w:r>
      <w:r>
        <w:t xml:space="preserve">ou </w:t>
      </w:r>
      <w:r>
        <w:t xml:space="preserve">"86220420").ti,ab. </w:t>
      </w:r>
      <w:r>
        <w:t xml:space="preserve">(0)</w:t>
      </w:r>
    </w:p>
    <w:p>
      <w:pPr>
        <w:pStyle w:val="Corpsdetexte"/>
        <w:tabs>
          <w:tab w:val="left" w:pos="712"/>
        </w:tabs>
        <w:spacing w:before="38"/>
      </w:pPr>
      <w:r>
        <w:t xml:space="preserve">87</w:t>
      </w:r>
      <w:r>
        <w:tab/>
        <w:t xml:space="preserve">("rs </w:t>
      </w:r>
      <w:r>
        <w:t xml:space="preserve">94991 </w:t>
      </w:r>
      <w:r>
        <w:t xml:space="preserve">298" </w:t>
      </w:r>
      <w:r>
        <w:t xml:space="preserve">ou </w:t>
      </w:r>
      <w:r>
        <w:t xml:space="preserve">rs94991298).ti,ab. </w:t>
      </w:r>
      <w:r>
        <w:t xml:space="preserve">(0)</w:t>
      </w:r>
    </w:p>
    <w:p>
      <w:pPr>
        <w:pStyle w:val="Paragraphedeliste"/>
        <w:numPr>
          <w:ilvl w:val="0"/>
          <w:numId w:val="52"/>
        </w:numPr>
        <w:tabs>
          <w:tab w:val="left" w:pos="712"/>
          <w:tab w:val="left" w:pos="713"/>
        </w:tabs>
        <w:spacing w:before="40"/>
        <w:ind w:hanging="553"/>
      </w:pPr>
      <w:r>
        <w:t xml:space="preserve">synarel.ti,ab. </w:t>
      </w:r>
      <w:r>
        <w:t xml:space="preserve">(0)</w:t>
      </w:r>
    </w:p>
    <w:p>
      <w:pPr>
        <w:pStyle w:val="Paragraphedeliste"/>
        <w:numPr>
          <w:ilvl w:val="0"/>
          <w:numId w:val="52"/>
        </w:numPr>
        <w:tabs>
          <w:tab w:val="left" w:pos="712"/>
          <w:tab w:val="left" w:pos="713"/>
        </w:tabs>
        <w:ind w:hanging="553"/>
      </w:pPr>
      <w:r>
        <w:t xml:space="preserve">deslorelin.ti,ab. </w:t>
      </w:r>
      <w:r>
        <w:t xml:space="preserve">(8)</w:t>
      </w:r>
    </w:p>
    <w:p>
      <w:pPr>
        <w:pStyle w:val="Paragraphedeliste"/>
        <w:numPr>
          <w:ilvl w:val="0"/>
          <w:numId w:val="52"/>
        </w:numPr>
        <w:tabs>
          <w:tab w:val="left" w:pos="712"/>
          <w:tab w:val="left" w:pos="713"/>
        </w:tabs>
        <w:ind w:hanging="553"/>
      </w:pPr>
      <w:r>
        <w:t xml:space="preserve">gonadorelin.ti,ab. </w:t>
      </w:r>
      <w:r>
        <w:t xml:space="preserve">(3)</w:t>
      </w:r>
    </w:p>
    <w:p>
      <w:pPr>
        <w:pStyle w:val="Corpsdetexte"/>
        <w:tabs>
          <w:tab w:val="left" w:pos="712"/>
        </w:tabs>
        <w:spacing w:before="38"/>
      </w:pPr>
      <w:r>
        <w:t xml:space="preserve">91</w:t>
      </w:r>
      <w:r>
        <w:tab/>
        <w:t xml:space="preserve">("33515-09-2" </w:t>
      </w:r>
      <w:r>
        <w:t xml:space="preserve">ou </w:t>
      </w:r>
      <w:r>
        <w:t xml:space="preserve">"33515092").ti,ab. </w:t>
      </w:r>
      <w:r>
        <w:t xml:space="preserve">(0)</w:t>
      </w:r>
    </w:p>
    <w:p>
      <w:pPr>
        <w:pStyle w:val="Corpsdetexte"/>
        <w:tabs>
          <w:tab w:val="left" w:pos="712"/>
        </w:tabs>
      </w:pPr>
      <w:r>
        <w:t xml:space="preserve">92</w:t>
      </w:r>
      <w:r>
        <w:tab/>
        <w:t xml:space="preserve">("51952-41-1" </w:t>
      </w:r>
      <w:r>
        <w:t xml:space="preserve">ou </w:t>
      </w:r>
      <w:r>
        <w:t xml:space="preserve">"51952411").ti,ab. </w:t>
      </w:r>
      <w:r>
        <w:t xml:space="preserve">(0)</w:t>
      </w:r>
    </w:p>
    <w:p>
      <w:pPr>
        <w:pStyle w:val="Corpsdetexte"/>
        <w:tabs>
          <w:tab w:val="left" w:pos="712"/>
        </w:tabs>
        <w:spacing w:before="41"/>
      </w:pPr>
      <w:r>
        <w:t xml:space="preserve">93</w:t>
      </w:r>
      <w:r>
        <w:tab/>
        <w:t xml:space="preserve">("52699-48-6" </w:t>
      </w:r>
      <w:r>
        <w:t xml:space="preserve">ou </w:t>
      </w:r>
      <w:r>
        <w:t xml:space="preserve">"52699486").ti,ab. </w:t>
      </w:r>
      <w:r>
        <w:t xml:space="preserve">(0)</w:t>
      </w:r>
    </w:p>
    <w:p>
      <w:pPr>
        <w:pStyle w:val="Paragraphedeliste"/>
        <w:numPr>
          <w:ilvl w:val="0"/>
          <w:numId w:val="51"/>
        </w:numPr>
        <w:tabs>
          <w:tab w:val="left" w:pos="712"/>
          <w:tab w:val="left" w:pos="713"/>
        </w:tabs>
        <w:ind w:hanging="553"/>
      </w:pPr>
      <w:r>
        <w:t xml:space="preserve">cetrorelix.ti,ab. </w:t>
      </w:r>
      <w:r>
        <w:t xml:space="preserve">(9)</w:t>
      </w:r>
    </w:p>
    <w:p>
      <w:pPr>
        <w:pStyle w:val="Paragraphedeliste"/>
        <w:numPr>
          <w:ilvl w:val="0"/>
          <w:numId w:val="51"/>
        </w:numPr>
        <w:tabs>
          <w:tab w:val="left" w:pos="712"/>
          <w:tab w:val="left" w:pos="713"/>
        </w:tabs>
        <w:spacing w:before="38"/>
        <w:ind w:hanging="553"/>
      </w:pPr>
      <w:r>
        <w:t xml:space="preserve">cetrotide.ti,ab. </w:t>
      </w:r>
      <w:r>
        <w:t xml:space="preserve">(0)</w:t>
      </w:r>
    </w:p>
    <w:p>
      <w:pPr>
        <w:pStyle w:val="Corpsdetexte"/>
        <w:tabs>
          <w:tab w:val="left" w:pos="712"/>
        </w:tabs>
      </w:pPr>
      <w:r>
        <w:t xml:space="preserve">96</w:t>
      </w:r>
      <w:r>
        <w:tab/>
        <w:t xml:space="preserve">("NS </w:t>
      </w:r>
      <w:r>
        <w:t xml:space="preserve">75A" </w:t>
      </w:r>
      <w:r>
        <w:t xml:space="preserve">ou </w:t>
      </w:r>
      <w:r>
        <w:t xml:space="preserve">NS75A).ti,ab. </w:t>
      </w:r>
      <w:r>
        <w:t xml:space="preserve">(0)</w:t>
      </w:r>
    </w:p>
    <w:p>
      <w:pPr>
        <w:pStyle w:val="Corpsdetexte"/>
        <w:tabs>
          <w:tab w:val="left" w:pos="712"/>
        </w:tabs>
        <w:spacing w:before="40"/>
      </w:pPr>
      <w:r>
        <w:t xml:space="preserve">97</w:t>
      </w:r>
      <w:r>
        <w:tab/>
        <w:t xml:space="preserve">("</w:t>
      </w:r>
      <w:r>
        <w:t xml:space="preserve">NS </w:t>
      </w:r>
      <w:r>
        <w:t xml:space="preserve">75B" </w:t>
      </w:r>
      <w:r>
        <w:t xml:space="preserve">ou </w:t>
      </w:r>
      <w:r>
        <w:t xml:space="preserve">NS75B).ti,ab. </w:t>
      </w:r>
      <w:r>
        <w:t xml:space="preserve">(0)</w:t>
      </w:r>
    </w:p>
    <w:p>
      <w:pPr>
        <w:pStyle w:val="Corpsdetexte"/>
        <w:tabs>
          <w:tab w:val="left" w:pos="712"/>
        </w:tabs>
      </w:pPr>
      <w:r>
        <w:t xml:space="preserve">98</w:t>
      </w:r>
      <w:r>
        <w:tab/>
        <w:t xml:space="preserve">("SB </w:t>
      </w:r>
      <w:r>
        <w:t xml:space="preserve">075" </w:t>
      </w:r>
      <w:r>
        <w:t xml:space="preserve">ou </w:t>
      </w:r>
      <w:r>
        <w:t xml:space="preserve">SB075).ti,ab. </w:t>
      </w:r>
      <w:r>
        <w:t xml:space="preserve">(0)</w:t>
      </w:r>
    </w:p>
    <w:p>
      <w:pPr>
        <w:pStyle w:val="Corpsdetexte"/>
        <w:tabs>
          <w:tab w:val="left" w:pos="712"/>
        </w:tabs>
        <w:spacing w:before="38"/>
      </w:pPr>
      <w:r>
        <w:t xml:space="preserve">99</w:t>
      </w:r>
      <w:r>
        <w:tab/>
        <w:t xml:space="preserve">("SB </w:t>
      </w:r>
      <w:r>
        <w:t xml:space="preserve">75" </w:t>
      </w:r>
      <w:r>
        <w:t xml:space="preserve">ou </w:t>
      </w:r>
      <w:r>
        <w:t xml:space="preserve">SB75).ti,ab. </w:t>
      </w:r>
      <w:r>
        <w:t xml:space="preserve">(1)</w:t>
      </w:r>
    </w:p>
    <w:p w:rsidR="00432386" w:rsidRDefault="00432386">
      <w:pPr>
        <w:sectPr w:rsidR="00432386">
          <w:pgSz w:w="11910" w:h="16840"/>
          <w:pgMar w:top="1180" w:right="980" w:bottom="1460" w:left="1280" w:header="0" w:footer="1183" w:gutter="0"/>
          <w:cols w:space="720"/>
        </w:sectPr>
      </w:pPr>
    </w:p>
    <w:p>
      <w:pPr>
        <w:pStyle w:val="Paragraphedeliste"/>
        <w:numPr>
          <w:ilvl w:val="0"/>
          <w:numId w:val="50"/>
        </w:numPr>
        <w:tabs>
          <w:tab w:val="left" w:pos="834"/>
          <w:tab w:val="left" w:pos="835"/>
        </w:tabs>
        <w:spacing w:before="78"/>
      </w:pPr>
      <w:r>
        <w:lastRenderedPageBreak/>
        <w:t xml:space="preserve">gonadoliberin.ti,ab. </w:t>
      </w:r>
      <w:r>
        <w:t xml:space="preserve">(1)</w:t>
      </w:r>
    </w:p>
    <w:p>
      <w:pPr>
        <w:pStyle w:val="Paragraphedeliste"/>
        <w:numPr>
          <w:ilvl w:val="0"/>
          <w:numId w:val="50"/>
        </w:numPr>
        <w:tabs>
          <w:tab w:val="left" w:pos="834"/>
          <w:tab w:val="left" w:pos="835"/>
        </w:tabs>
        <w:spacing w:before="38"/>
      </w:pPr>
      <w:r>
        <w:t xml:space="preserve">kryptocur.ti,ab. </w:t>
      </w:r>
      <w:r>
        <w:t xml:space="preserve">(0)</w:t>
      </w:r>
    </w:p>
    <w:p>
      <w:pPr>
        <w:pStyle w:val="Paragraphedeliste"/>
        <w:numPr>
          <w:ilvl w:val="0"/>
          <w:numId w:val="50"/>
        </w:numPr>
        <w:tabs>
          <w:tab w:val="left" w:pos="834"/>
          <w:tab w:val="left" w:pos="835"/>
        </w:tabs>
      </w:pPr>
      <w:r>
        <w:t xml:space="preserve">cetrorelix.ti,ab. </w:t>
      </w:r>
      <w:r>
        <w:t xml:space="preserve">(9)</w:t>
      </w:r>
    </w:p>
    <w:p>
      <w:pPr>
        <w:pStyle w:val="Paragraphedeliste"/>
        <w:numPr>
          <w:ilvl w:val="0"/>
          <w:numId w:val="50"/>
        </w:numPr>
        <w:tabs>
          <w:tab w:val="left" w:pos="834"/>
          <w:tab w:val="left" w:pos="835"/>
        </w:tabs>
        <w:spacing w:before="38"/>
      </w:pPr>
      <w:r>
        <w:t xml:space="preserve">cetrotide.ti,ab. </w:t>
      </w:r>
      <w:r>
        <w:t xml:space="preserve">(0)</w:t>
      </w:r>
    </w:p>
    <w:p>
      <w:pPr>
        <w:pStyle w:val="Paragraphedeliste"/>
        <w:numPr>
          <w:ilvl w:val="0"/>
          <w:numId w:val="50"/>
        </w:numPr>
        <w:tabs>
          <w:tab w:val="left" w:pos="834"/>
          <w:tab w:val="left" w:pos="835"/>
        </w:tabs>
        <w:spacing w:before="40"/>
      </w:pPr>
      <w:r>
        <w:t xml:space="preserve">antagoniste.ti,ab. </w:t>
      </w:r>
      <w:r>
        <w:t xml:space="preserve">(0)</w:t>
      </w:r>
    </w:p>
    <w:p>
      <w:pPr>
        <w:pStyle w:val="Paragraphedeliste"/>
        <w:numPr>
          <w:ilvl w:val="0"/>
          <w:numId w:val="50"/>
        </w:numPr>
        <w:tabs>
          <w:tab w:val="left" w:pos="834"/>
          <w:tab w:val="left" w:pos="835"/>
        </w:tabs>
      </w:pPr>
      <w:r>
        <w:t xml:space="preserve">ganirelix.ti,ab. </w:t>
      </w:r>
      <w:r>
        <w:t xml:space="preserve">(0)</w:t>
      </w:r>
    </w:p>
    <w:p>
      <w:pPr>
        <w:pStyle w:val="Corpsdetexte"/>
        <w:tabs>
          <w:tab w:val="left" w:pos="834"/>
        </w:tabs>
      </w:pPr>
      <w:r>
        <w:t xml:space="preserve">106</w:t>
      </w:r>
      <w:r>
        <w:tab/>
        <w:t xml:space="preserve">("ORG </w:t>
      </w:r>
      <w:r>
        <w:t xml:space="preserve">37462" </w:t>
      </w:r>
      <w:r>
        <w:t xml:space="preserve">ou </w:t>
      </w:r>
      <w:r>
        <w:t xml:space="preserve">ORG37462).ti,ab. </w:t>
      </w:r>
      <w:r>
        <w:t xml:space="preserve">(0)</w:t>
      </w:r>
    </w:p>
    <w:p>
      <w:pPr>
        <w:pStyle w:val="Corpsdetexte"/>
        <w:tabs>
          <w:tab w:val="left" w:pos="834"/>
        </w:tabs>
        <w:spacing w:before="38"/>
      </w:pPr>
      <w:r>
        <w:t xml:space="preserve">107orgalutran</w:t>
      </w:r>
      <w:r>
        <w:tab/>
        <w:t xml:space="preserve">.ti,ab. </w:t>
      </w:r>
      <w:r>
        <w:t xml:space="preserve">(0)</w:t>
      </w:r>
    </w:p>
    <w:p>
      <w:pPr>
        <w:pStyle w:val="Corpsdetexte"/>
        <w:tabs>
          <w:tab w:val="left" w:pos="834"/>
        </w:tabs>
      </w:pPr>
      <w:r>
        <w:t xml:space="preserve">108</w:t>
      </w:r>
      <w:r>
        <w:tab/>
        <w:t xml:space="preserve">("RS </w:t>
      </w:r>
      <w:r>
        <w:t xml:space="preserve">26306" </w:t>
      </w:r>
      <w:r>
        <w:t xml:space="preserve">ou </w:t>
      </w:r>
      <w:r>
        <w:t xml:space="preserve">RS26306).ti,ab. </w:t>
      </w:r>
      <w:r>
        <w:t xml:space="preserve">(0)</w:t>
      </w:r>
    </w:p>
    <w:p>
      <w:pPr>
        <w:pStyle w:val="Corpsdetexte"/>
        <w:tabs>
          <w:tab w:val="left" w:pos="834"/>
        </w:tabs>
        <w:spacing w:before="40"/>
      </w:pPr>
      <w:r>
        <w:t xml:space="preserve">109</w:t>
      </w:r>
      <w:r>
        <w:tab/>
        <w:t xml:space="preserve">("AY </w:t>
      </w:r>
      <w:r>
        <w:t xml:space="preserve">24031" </w:t>
      </w:r>
      <w:r>
        <w:t xml:space="preserve">ou </w:t>
      </w:r>
      <w:r>
        <w:t xml:space="preserve">AY24031).ti,ab. </w:t>
      </w:r>
      <w:r>
        <w:t xml:space="preserve">(0)</w:t>
      </w:r>
    </w:p>
    <w:p>
      <w:pPr>
        <w:pStyle w:val="Paragraphedeliste"/>
        <w:numPr>
          <w:ilvl w:val="0"/>
          <w:numId w:val="49"/>
        </w:numPr>
        <w:tabs>
          <w:tab w:val="left" w:pos="834"/>
          <w:tab w:val="left" w:pos="835"/>
        </w:tabs>
        <w:spacing w:before="38"/>
      </w:pPr>
      <w:r>
        <w:t xml:space="preserve">factrel.ti,ab. </w:t>
      </w:r>
      <w:r>
        <w:t xml:space="preserve">(0)</w:t>
      </w:r>
    </w:p>
    <w:p>
      <w:pPr>
        <w:pStyle w:val="Paragraphedeliste"/>
        <w:numPr>
          <w:ilvl w:val="0"/>
          <w:numId w:val="49"/>
        </w:numPr>
        <w:tabs>
          <w:tab w:val="left" w:pos="834"/>
          <w:tab w:val="left" w:pos="835"/>
        </w:tabs>
      </w:pPr>
      <w:r>
        <w:t xml:space="preserve">fertagyl.ti,ab. </w:t>
      </w:r>
      <w:r>
        <w:t xml:space="preserve">(0)</w:t>
      </w:r>
    </w:p>
    <w:p>
      <w:pPr>
        <w:pStyle w:val="Paragraphedeliste"/>
        <w:numPr>
          <w:ilvl w:val="0"/>
          <w:numId w:val="49"/>
        </w:numPr>
        <w:tabs>
          <w:tab w:val="left" w:pos="834"/>
          <w:tab w:val="left" w:pos="835"/>
        </w:tabs>
      </w:pPr>
      <w:r>
        <w:t xml:space="preserve">lutrelef.ti,ab. </w:t>
      </w:r>
      <w:r>
        <w:t xml:space="preserve">(0)</w:t>
      </w:r>
    </w:p>
    <w:p>
      <w:pPr>
        <w:pStyle w:val="Paragraphedeliste"/>
        <w:numPr>
          <w:ilvl w:val="0"/>
          <w:numId w:val="49"/>
        </w:numPr>
        <w:tabs>
          <w:tab w:val="left" w:pos="834"/>
          <w:tab w:val="left" w:pos="835"/>
        </w:tabs>
        <w:spacing w:before="40"/>
      </w:pPr>
      <w:r>
        <w:t xml:space="preserve">lutrepulse.ti,ab. </w:t>
      </w:r>
      <w:r>
        <w:t xml:space="preserve">(0)</w:t>
      </w:r>
    </w:p>
    <w:p>
      <w:pPr>
        <w:pStyle w:val="Paragraphedeliste"/>
        <w:numPr>
          <w:ilvl w:val="0"/>
          <w:numId w:val="49"/>
        </w:numPr>
        <w:tabs>
          <w:tab w:val="left" w:pos="834"/>
          <w:tab w:val="left" w:pos="835"/>
        </w:tabs>
        <w:spacing w:before="38"/>
      </w:pPr>
      <w:r>
        <w:t xml:space="preserve">relefact.ti,ab. </w:t>
      </w:r>
      <w:r>
        <w:t xml:space="preserve">(0)</w:t>
      </w:r>
    </w:p>
    <w:p>
      <w:pPr>
        <w:pStyle w:val="Paragraphedeliste"/>
        <w:numPr>
          <w:ilvl w:val="0"/>
          <w:numId w:val="49"/>
        </w:numPr>
        <w:tabs>
          <w:tab w:val="left" w:pos="834"/>
          <w:tab w:val="left" w:pos="835"/>
        </w:tabs>
        <w:spacing w:before="38"/>
      </w:pPr>
      <w:r>
        <w:t xml:space="preserve">fertiral.ti,ab. </w:t>
      </w:r>
      <w:r>
        <w:t xml:space="preserve">(0)</w:t>
      </w:r>
    </w:p>
    <w:p>
      <w:pPr>
        <w:pStyle w:val="Corpsdetexte"/>
        <w:tabs>
          <w:tab w:val="left" w:pos="834"/>
        </w:tabs>
      </w:pPr>
      <w:r>
        <w:t xml:space="preserve">116</w:t>
      </w:r>
      <w:r>
        <w:tab/>
        <w:t xml:space="preserve">(hoe471 </w:t>
      </w:r>
      <w:r>
        <w:t xml:space="preserve">ou </w:t>
      </w:r>
      <w:r>
        <w:t xml:space="preserve">"hoe </w:t>
      </w:r>
      <w:r>
        <w:t xml:space="preserve">471").ti,ab. </w:t>
      </w:r>
      <w:r>
        <w:t xml:space="preserve">(0)</w:t>
      </w:r>
    </w:p>
    <w:p>
      <w:pPr>
        <w:pStyle w:val="Paragraphedeliste"/>
        <w:numPr>
          <w:ilvl w:val="0"/>
          <w:numId w:val="48"/>
        </w:numPr>
        <w:tabs>
          <w:tab w:val="left" w:pos="834"/>
          <w:tab w:val="left" w:pos="835"/>
        </w:tabs>
        <w:spacing w:before="38"/>
      </w:pPr>
      <w:r>
        <w:t xml:space="preserve">relisorm.ti,ab. </w:t>
      </w:r>
      <w:r>
        <w:t xml:space="preserve">(0)</w:t>
      </w:r>
    </w:p>
    <w:p>
      <w:pPr>
        <w:pStyle w:val="Paragraphedeliste"/>
        <w:numPr>
          <w:ilvl w:val="0"/>
          <w:numId w:val="48"/>
        </w:numPr>
        <w:tabs>
          <w:tab w:val="left" w:pos="834"/>
          <w:tab w:val="left" w:pos="835"/>
        </w:tabs>
        <w:spacing w:before="39"/>
      </w:pPr>
      <w:r>
        <w:t xml:space="preserve">cystorelin.ti,ab. </w:t>
      </w:r>
      <w:r>
        <w:t xml:space="preserve">(0)</w:t>
      </w:r>
    </w:p>
    <w:p>
      <w:pPr>
        <w:pStyle w:val="Paragraphedeliste"/>
        <w:numPr>
          <w:ilvl w:val="0"/>
          <w:numId w:val="48"/>
        </w:numPr>
        <w:tabs>
          <w:tab w:val="left" w:pos="834"/>
          <w:tab w:val="left" w:pos="835"/>
        </w:tabs>
        <w:spacing w:before="38" w:line="276" w:lineRule="auto"/>
        <w:ind w:start="160" w:end="6914" w:firstLine="0"/>
      </w:pPr>
      <w:r>
        <w:t xml:space="preserve">dirigestran.ti,ab. (0) </w:t>
      </w:r>
      <w:r>
        <w:t xml:space="preserve">120ou/29-119 </w:t>
      </w:r>
      <w:r>
        <w:tab/>
        <w:t xml:space="preserve">(4869) </w:t>
      </w:r>
      <w:r>
        <w:t xml:space="preserve">12128 </w:t>
      </w:r>
      <w:r>
        <w:t xml:space="preserve">et </w:t>
      </w:r>
      <w:r>
        <w:t xml:space="preserve">120 </w:t>
      </w:r>
      <w:r>
        <w:t xml:space="preserve">(130)</w:t>
      </w:r>
    </w:p>
    <w:p>
      <w:pPr>
        <w:pStyle w:val="Paragraphedeliste"/>
        <w:numPr>
          <w:ilvl w:val="0"/>
          <w:numId w:val="47"/>
        </w:numPr>
        <w:tabs>
          <w:tab w:val="left" w:pos="834"/>
          <w:tab w:val="left" w:pos="835"/>
        </w:tabs>
        <w:spacing w:before="1"/>
      </w:pPr>
      <w:r>
        <w:t xml:space="preserve">limite </w:t>
      </w:r>
      <w:r>
        <w:t xml:space="preserve">121 </w:t>
      </w:r>
      <w:r>
        <w:t xml:space="preserve">à la </w:t>
      </w:r>
      <w:r>
        <w:t xml:space="preserve">langue </w:t>
      </w:r>
      <w:r>
        <w:t xml:space="preserve">anglaise </w:t>
      </w:r>
      <w:r>
        <w:t xml:space="preserve">(120)</w:t>
      </w:r>
    </w:p>
    <w:p>
      <w:pPr>
        <w:pStyle w:val="Paragraphedeliste"/>
        <w:numPr>
          <w:ilvl w:val="0"/>
          <w:numId w:val="47"/>
        </w:numPr>
        <w:tabs>
          <w:tab w:val="left" w:pos="834"/>
          <w:tab w:val="left" w:pos="835"/>
        </w:tabs>
      </w:pPr>
      <w:r>
        <w:t xml:space="preserve">limiter </w:t>
      </w:r>
      <w:r>
        <w:t xml:space="preserve">122 </w:t>
      </w:r>
      <w:r>
        <w:t xml:space="preserve">à </w:t>
      </w:r>
      <w:r>
        <w:t xml:space="preserve">yr="2000 </w:t>
      </w:r>
      <w:r>
        <w:t xml:space="preserve">-Current" </w:t>
      </w:r>
      <w:r>
        <w:t xml:space="preserve">(93)</w:t>
      </w:r>
    </w:p>
    <w:p w:rsidR="00432386" w:rsidRDefault="00432386">
      <w:pPr>
        <w:pStyle w:val="Corpsdetexte"/>
        <w:spacing w:before="0"/>
        <w:ind w:start="0"/>
        <w:rPr>
          <w:sz w:val="24"/>
        </w:rPr>
      </w:pPr>
    </w:p>
    <w:p w:rsidR="00432386" w:rsidRDefault="00432386">
      <w:pPr>
        <w:pStyle w:val="Corpsdetexte"/>
        <w:spacing w:before="0"/>
        <w:ind w:start="0"/>
        <w:rPr>
          <w:sz w:val="21"/>
        </w:rPr>
      </w:pPr>
    </w:p>
    <w:p>
      <w:pPr>
        <w:pStyle w:val="Titre1"/>
      </w:pPr>
      <w:bookmarkStart w:name="_bookmark15" w:id="16"/>
      <w:bookmarkEnd w:id="16"/>
      <w:r>
        <w:rPr>
          <w:color w:val="365F91"/>
        </w:rPr>
        <w:t xml:space="preserve">Annexe </w:t>
      </w:r>
      <w:r>
        <w:rPr>
          <w:color w:val="365F91"/>
        </w:rPr>
        <w:t xml:space="preserve">C </w:t>
      </w:r>
      <w:r>
        <w:rPr>
          <w:color w:val="365F91"/>
        </w:rPr>
        <w:t xml:space="preserve">Sélection des </w:t>
      </w:r>
      <w:r>
        <w:rPr>
          <w:color w:val="365F91"/>
        </w:rPr>
        <w:t xml:space="preserve">preuves</w:t>
      </w:r>
    </w:p>
    <w:p w:rsidR="00432386" w:rsidRDefault="00432386">
      <w:pPr>
        <w:pStyle w:val="Corpsdetexte"/>
        <w:spacing w:before="1"/>
        <w:ind w:start="0"/>
        <w:rPr>
          <w:b/>
          <w:sz w:val="21"/>
        </w:rPr>
      </w:pPr>
    </w:p>
    <w:p>
      <w:pPr>
        <w:pStyle w:val="Corpsdetexte"/>
        <w:spacing w:before="0" w:line="276" w:lineRule="auto"/>
        <w:ind w:end="493"/>
      </w:pPr>
      <w:r>
        <w:t xml:space="preserve">La recherche documentaire a permis d'identifier 525 références. Celles-ci ont été examinées à partir de leurs titres et </w:t>
      </w:r>
      <w:r>
        <w:t xml:space="preserve">résumés </w:t>
      </w:r>
      <w:r>
        <w:t xml:space="preserve">et 25 </w:t>
      </w:r>
      <w:r>
        <w:t xml:space="preserve">références </w:t>
      </w:r>
      <w:r>
        <w:t xml:space="preserve">ont été </w:t>
      </w:r>
      <w:r>
        <w:t xml:space="preserve">obtenues </w:t>
      </w:r>
      <w:r>
        <w:t xml:space="preserve">et </w:t>
      </w:r>
      <w:r>
        <w:t xml:space="preserve">évaluées </w:t>
      </w:r>
      <w:r>
        <w:t xml:space="preserve">pour leur </w:t>
      </w:r>
      <w:r>
        <w:t xml:space="preserve">pertinence. </w:t>
      </w:r>
      <w:r>
        <w:t xml:space="preserve">Parmi </w:t>
      </w:r>
      <w:r>
        <w:t xml:space="preserve">celles-ci,</w:t>
      </w:r>
    </w:p>
    <w:p>
      <w:pPr>
        <w:pStyle w:val="Corpsdetexte"/>
        <w:spacing w:before="0" w:line="278" w:lineRule="auto"/>
        <w:ind w:end="1276"/>
      </w:pPr>
      <w:r>
        <w:t xml:space="preserve">9 références sont incluses dans l'examen des preuves. Les 16 autres références ont été </w:t>
      </w:r>
      <w:r>
        <w:t xml:space="preserve">exclues </w:t>
      </w:r>
      <w:r>
        <w:t xml:space="preserve">et sont énumérées </w:t>
      </w:r>
      <w:r>
        <w:t xml:space="preserve">à l'</w:t>
      </w:r>
      <w:hyperlink w:history="1" w:anchor="_bookmark16">
        <w:r>
          <w:rPr>
            <w:color w:val="0000FF"/>
            <w:u w:val="single" w:color="0000FF"/>
          </w:rPr>
          <w:t xml:space="preserve">annexe</w:t>
        </w:r>
        <w:r>
          <w:rPr>
            <w:color w:val="0000FF"/>
            <w:u w:val="single" w:color="0000FF"/>
          </w:rPr>
          <w:t xml:space="preserve">D</w:t>
        </w:r>
      </w:hyperlink>
      <w:r>
        <w:t xml:space="preserve">.</w:t>
      </w:r>
    </w:p>
    <w:p w:rsidR="00432386" w:rsidRDefault="00432386">
      <w:pPr>
        <w:spacing w:line="278" w:lineRule="auto"/>
        <w:sectPr w:rsidR="00432386">
          <w:pgSz w:w="11910" w:h="16840"/>
          <w:pgMar w:top="1180" w:right="980" w:bottom="1460" w:left="1280" w:header="0" w:footer="1183" w:gutter="0"/>
          <w:cols w:space="720"/>
        </w:sectPr>
      </w:pPr>
    </w:p>
    <w:p>
      <w:pPr>
        <w:pStyle w:val="Titre1"/>
        <w:spacing w:before="79"/>
      </w:pPr>
      <w:r>
        <w:lastRenderedPageBreak/>
        <w:t xml:space="preserve">Figure </w:t>
      </w:r>
      <w:r>
        <w:t xml:space="preserve">1 </w:t>
      </w:r>
      <w:r>
        <w:t xml:space="preserve">- </w:t>
      </w:r>
      <w:r>
        <w:t xml:space="preserve">Diagramme de </w:t>
      </w:r>
      <w:r>
        <w:t xml:space="preserve">sélection des </w:t>
      </w:r>
      <w:r>
        <w:t xml:space="preserve">études</w:t>
      </w:r>
    </w:p>
    <w:p w:rsidR="00432386" w:rsidRDefault="00BE015C">
      <w:pPr>
        <w:pStyle w:val="Corpsdetexte"/>
        <w:spacing w:before="6"/>
        <w:ind w:start="0"/>
        <w:rPr>
          <w:b/>
          <w:sz w:val="21"/>
        </w:rPr>
      </w:pPr>
      <w:r>
        <w:pict>
          <v:group id="docshapegroup8" style="position:absolute;margin-left:93.9pt;margin-top:13.6pt;width:353.6pt;height:242.5pt;z-index:-15725568;mso-wrap-distance-left:0;mso-wrap-distance-right:0;mso-position-horizontal-relative:page" coordsize="7072,4850" coordorigin="1878,272" o:spid="_x0000_s1026">
            <v:shape id="docshape9" style="position:absolute;left:3247;top:296;width:3842;height:2661" coordsize="3842,2661" coordorigin="3247,297" o:spid="_x0000_s1041" filled="f" strokeweight="2.5pt" o:spt="100" adj="0,,0" path="m4861,467r13,-66l4911,347r54,-37l5032,297r1886,l6985,310r54,37l7076,401r13,66l7089,1149r-13,67l7039,1270r-54,37l6918,1320r-1886,l4965,1307r-54,-37l4874,1216r-13,-67l4861,467xm3247,2063r14,-70l3299,1936r57,-38l3426,1884r1870,l5366,1898r57,38l5461,1993r14,70l5475,2778r-14,70l5423,2905r-57,38l5296,2957r-1870,l3356,2943r-57,-38l3261,2848r-14,-70l3247,2063xe">
              <v:stroke joinstyle="round"/>
              <v:formulas/>
              <v:path arrowok="t" o:connecttype="segments"/>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0" style="position:absolute;left:4294;top:1571;width:135;height:343" o:spid="_x0000_s1040" type="#_x0000_t75">
              <v:imagedata o:title="" r:id="rId254"/>
            </v:shape>
            <v:shape id="docshape11" style="position:absolute;left:6285;top:1924;width:2640;height:1565" coordsize="2640,1565" coordorigin="6285,1925" o:spid="_x0000_s1039" filled="f" strokeweight="2.5pt" path="m6285,2185r9,-69l6321,2054r40,-53l6414,1960r62,-26l6546,1925r2118,l8734,1934r62,26l8849,2001r40,53l8916,2116r9,69l8925,3228r-9,69l8889,3360r-40,52l8796,3453r-62,27l8664,3489r-2118,l6476,3480r-62,-27l6361,3412r-40,-52l6294,3297r-9,-69l6285,2185xe">
              <v:path arrowok="t"/>
            </v:shape>
            <v:shape id="docshape12" style="position:absolute;left:7510;top:1570;width:135;height:344" o:spid="_x0000_s1038" type="#_x0000_t75">
              <v:imagedata o:title="" r:id="rId255"/>
            </v:shape>
            <v:shape id="docshape13" style="position:absolute;left:4361;top:1319;width:3229;height:270" coordsize="3229,270" coordorigin="4361,1320" o:spid="_x0000_s1037" filled="f" strokeweight="2.25pt" o:spt="100" adj="0,,0" path="m4361,1572r3229,m5975,1320r1,270e">
              <v:stroke joinstyle="round"/>
              <v:formulas/>
              <v:path arrowok="t" o:connecttype="segments"/>
            </v:shape>
            <v:shape id="docshape14" style="position:absolute;left:4428;top:3755;width:2227;height:1341" coordsize="2227,1341" coordorigin="4428,3756" o:spid="_x0000_s1036" filled="f" strokeweight="2.5pt" path="m4428,3979r11,-71l4471,3847r48,-48l4581,3767r70,-11l6432,3756r70,11l6564,3799r48,48l6644,3908r11,71l6655,4872r-11,71l6612,5004r-48,49l6502,5084r-70,12l4651,5096r-70,-12l4519,5053r-48,-49l4439,4943r-11,-71l4428,3979xe">
              <v:path arrowok="t"/>
            </v:shape>
            <v:shape id="docshape15" style="position:absolute;left:5490;top:3389;width:135;height:346" o:spid="_x0000_s1035" type="#_x0000_t75">
              <v:imagedata o:title="" r:id="rId256"/>
            </v:shape>
            <v:shape id="docshape16" style="position:absolute;left:1903;top:3748;width:2227;height:1022" coordsize="2227,1022" coordorigin="1903,3748" o:spid="_x0000_s1034" filled="f" strokeweight="2.5pt" path="m1903,3918r13,-66l1953,3798r54,-36l2073,3748r1887,l4026,3762r54,36l4117,3852r13,66l4130,4600r-13,66l4080,4720r-54,37l3960,4770r-1887,l2007,4757r-54,-37l1916,4666r-13,-66l1903,3918xe">
              <v:path arrowok="t"/>
            </v:shape>
            <v:shape id="docshape17" style="position:absolute;left:2904;top:3389;width:135;height:346" o:spid="_x0000_s1033" type="#_x0000_t75">
              <v:imagedata o:title="" r:id="rId256"/>
            </v:shape>
            <v:shape id="docshape18" style="position:absolute;left:2971;top:2956;width:2602;height:433" coordsize="2602,433" coordorigin="2971,2957" o:spid="_x0000_s1032" filled="f" strokeweight="2.25pt" o:spt="100" adj="0,,0" path="m2971,3385r2602,m4361,2957r,433e">
              <v:stroke joinstyle="round"/>
              <v:formulas/>
              <v:path arrowok="t" o:connecttype="segments"/>
            </v:shape>
            <v:shape id="docshape19" style="position:absolute;left:5271;top:479;width:1432;height:432" o:spid="_x0000_s1031" filled="f" stroked="f" type="#_x0000_t202">
              <v:textbox inset="0,0,0,0">
                <w:txbxContent>
                  <w:p>
                    <w:pPr>
                      <w:spacing w:line="183" w:lineRule="exact"/>
                      <w:rPr>
                        <w:rFonts w:ascii="Calibri"/>
                        <w:sz w:val="18"/>
                      </w:rPr>
                    </w:pPr>
                    <w:r>
                      <w:rPr>
                        <w:rFonts w:ascii="Calibri"/>
                        <w:sz w:val="18"/>
                      </w:rPr>
                      <w:t xml:space="preserve">Titres </w:t>
                    </w:r>
                    <w:r>
                      <w:rPr>
                        <w:rFonts w:ascii="Calibri"/>
                        <w:sz w:val="18"/>
                      </w:rPr>
                      <w:t xml:space="preserve">et </w:t>
                    </w:r>
                    <w:r>
                      <w:rPr>
                        <w:rFonts w:ascii="Calibri"/>
                        <w:sz w:val="18"/>
                      </w:rPr>
                      <w:t xml:space="preserve">résumés</w:t>
                    </w:r>
                  </w:p>
                  <w:p>
                    <w:pPr>
                      <w:spacing w:before="32" w:line="216" w:lineRule="exact"/>
                      <w:ind w:start="50"/>
                      <w:rPr>
                        <w:rFonts w:ascii="Calibri"/>
                        <w:sz w:val="18"/>
                      </w:rPr>
                    </w:pPr>
                    <w:r>
                      <w:rPr>
                        <w:rFonts w:ascii="Calibri"/>
                        <w:sz w:val="18"/>
                      </w:rPr>
                      <w:t xml:space="preserve">identifiés, </w:t>
                    </w:r>
                    <w:r>
                      <w:rPr>
                        <w:rFonts w:ascii="Calibri"/>
                        <w:sz w:val="18"/>
                      </w:rPr>
                      <w:t xml:space="preserve">N= </w:t>
                    </w:r>
                    <w:r>
                      <w:rPr>
                        <w:rFonts w:ascii="Calibri"/>
                        <w:sz w:val="18"/>
                      </w:rPr>
                      <w:t xml:space="preserve">525</w:t>
                    </w:r>
                  </w:p>
                </w:txbxContent>
              </v:textbox>
            </v:shape>
            <v:shape id="docshape20" style="position:absolute;left:3622;top:2068;width:1499;height:689" o:spid="_x0000_s1030" filled="f" stroked="f" type="#_x0000_t202">
              <v:textbox inset="0,0,0,0">
                <w:txbxContent>
                  <w:p>
                    <w:pPr>
                      <w:spacing w:line="183" w:lineRule="exact"/>
                      <w:ind w:end="19"/>
                      <w:jc w:val="center"/>
                      <w:rPr>
                        <w:rFonts w:ascii="Calibri"/>
                        <w:sz w:val="18"/>
                      </w:rPr>
                    </w:pPr>
                    <w:r>
                      <w:rPr>
                        <w:rFonts w:ascii="Calibri"/>
                        <w:sz w:val="18"/>
                      </w:rPr>
                      <w:t xml:space="preserve">Copies </w:t>
                    </w:r>
                    <w:r>
                      <w:rPr>
                        <w:rFonts w:ascii="Calibri"/>
                        <w:sz w:val="18"/>
                      </w:rPr>
                      <w:t xml:space="preserve">complètes </w:t>
                    </w:r>
                    <w:r>
                      <w:rPr>
                        <w:rFonts w:ascii="Calibri"/>
                        <w:sz w:val="18"/>
                      </w:rPr>
                      <w:t xml:space="preserve">récupérées</w:t>
                    </w:r>
                  </w:p>
                  <w:p>
                    <w:pPr>
                      <w:spacing w:before="32"/>
                      <w:ind w:end="18"/>
                      <w:jc w:val="center"/>
                      <w:rPr>
                        <w:rFonts w:ascii="Calibri"/>
                        <w:sz w:val="18"/>
                      </w:rPr>
                    </w:pPr>
                    <w:r>
                      <w:rPr>
                        <w:rFonts w:ascii="Calibri"/>
                        <w:sz w:val="18"/>
                      </w:rPr>
                      <w:t xml:space="preserve">et </w:t>
                    </w:r>
                    <w:r>
                      <w:rPr>
                        <w:rFonts w:ascii="Calibri"/>
                        <w:sz w:val="18"/>
                      </w:rPr>
                      <w:t xml:space="preserve">évalués </w:t>
                    </w:r>
                    <w:r>
                      <w:rPr>
                        <w:rFonts w:ascii="Calibri"/>
                        <w:sz w:val="18"/>
                      </w:rPr>
                      <w:t xml:space="preserve">pour</w:t>
                    </w:r>
                  </w:p>
                  <w:p>
                    <w:pPr>
                      <w:spacing w:before="37" w:line="216" w:lineRule="exact"/>
                      <w:ind w:end="19"/>
                      <w:jc w:val="center"/>
                      <w:rPr>
                        <w:rFonts w:ascii="Calibri"/>
                        <w:sz w:val="18"/>
                      </w:rPr>
                    </w:pPr>
                    <w:r>
                      <w:rPr>
                        <w:rFonts w:ascii="Calibri"/>
                        <w:sz w:val="18"/>
                      </w:rPr>
                      <w:t xml:space="preserve">éligibilité, </w:t>
                    </w:r>
                    <w:r>
                      <w:rPr>
                        <w:rFonts w:ascii="Calibri"/>
                        <w:sz w:val="18"/>
                      </w:rPr>
                      <w:t xml:space="preserve">N=25</w:t>
                    </w:r>
                  </w:p>
                </w:txbxContent>
              </v:textbox>
            </v:shape>
            <v:shape id="docshape21" style="position:absolute;left:6582;top:2132;width:2066;height:1193" o:spid="_x0000_s1029" filled="f" stroked="f" type="#_x0000_t202">
              <v:textbox inset="0,0,0,0">
                <w:txbxContent>
                  <w:p>
                    <w:pPr>
                      <w:spacing w:line="183" w:lineRule="exact"/>
                      <w:ind w:start="4" w:end="18"/>
                      <w:jc w:val="center"/>
                      <w:rPr>
                        <w:rFonts w:ascii="Calibri"/>
                        <w:sz w:val="18"/>
                      </w:rPr>
                    </w:pPr>
                    <w:r>
                      <w:rPr>
                        <w:rFonts w:ascii="Calibri"/>
                        <w:sz w:val="18"/>
                      </w:rPr>
                      <w:t xml:space="preserve">Exclus, </w:t>
                    </w:r>
                    <w:r>
                      <w:rPr>
                        <w:rFonts w:ascii="Calibri"/>
                        <w:sz w:val="18"/>
                      </w:rPr>
                      <w:t xml:space="preserve">N=500 </w:t>
                    </w:r>
                    <w:r>
                      <w:rPr>
                        <w:rFonts w:ascii="Calibri"/>
                        <w:sz w:val="18"/>
                      </w:rPr>
                      <w:t xml:space="preserve">(pas</w:t>
                    </w:r>
                  </w:p>
                  <w:p>
                    <w:pPr>
                      <w:spacing w:before="34" w:line="276" w:lineRule="auto"/>
                      <w:ind w:start="-1" w:end="18"/>
                      <w:jc w:val="center"/>
                      <w:rPr>
                        <w:rFonts w:ascii="Calibri"/>
                        <w:sz w:val="18"/>
                      </w:rPr>
                    </w:pPr>
                    <w:r>
                      <w:rPr>
                        <w:rFonts w:ascii="Calibri"/>
                        <w:sz w:val="18"/>
                      </w:rPr>
                      <w:t xml:space="preserve">population </w:t>
                    </w:r>
                    <w:r>
                      <w:rPr>
                        <w:rFonts w:ascii="Calibri"/>
                        <w:sz w:val="18"/>
                      </w:rPr>
                      <w:t xml:space="preserve">pertinente</w:t>
                    </w:r>
                    <w:r>
                      <w:rPr>
                        <w:rFonts w:ascii="Calibri"/>
                        <w:sz w:val="18"/>
                      </w:rPr>
                      <w:t xml:space="preserve">, </w:t>
                    </w:r>
                    <w:r>
                      <w:rPr>
                        <w:rFonts w:ascii="Calibri"/>
                        <w:sz w:val="18"/>
                      </w:rPr>
                      <w:t xml:space="preserve">conception, </w:t>
                    </w:r>
                    <w:r>
                      <w:rPr>
                        <w:rFonts w:ascii="Calibri"/>
                        <w:sz w:val="18"/>
                      </w:rPr>
                      <w:t xml:space="preserve">intervention, comparaison, </w:t>
                    </w:r>
                    <w:r>
                      <w:rPr>
                        <w:rFonts w:ascii="Calibri"/>
                        <w:sz w:val="18"/>
                      </w:rPr>
                      <w:t xml:space="preserve">résultats, </w:t>
                    </w:r>
                    <w:r>
                      <w:rPr>
                        <w:rFonts w:ascii="Calibri"/>
                        <w:sz w:val="18"/>
                      </w:rPr>
                      <w:t xml:space="preserve">incapacité </w:t>
                    </w:r>
                    <w:r>
                      <w:rPr>
                        <w:rFonts w:ascii="Calibri"/>
                        <w:sz w:val="18"/>
                      </w:rPr>
                      <w:t xml:space="preserve">à</w:t>
                    </w:r>
                  </w:p>
                  <w:p>
                    <w:pPr>
                      <w:spacing w:before="1" w:line="216" w:lineRule="exact"/>
                      <w:ind w:start="226" w:end="245"/>
                      <w:jc w:val="center"/>
                      <w:rPr>
                        <w:rFonts w:ascii="Calibri"/>
                        <w:sz w:val="18"/>
                      </w:rPr>
                    </w:pPr>
                    <w:r>
                      <w:rPr>
                        <w:rFonts w:ascii="Calibri"/>
                        <w:sz w:val="18"/>
                      </w:rPr>
                      <w:t xml:space="preserve">récupérer)</w:t>
                    </w:r>
                  </w:p>
                </w:txbxContent>
              </v:textbox>
            </v:shape>
            <v:shape id="docshape22" style="position:absolute;left:2150;top:3931;width:1751;height:435" o:spid="_x0000_s1028" filled="f" stroked="f" type="#_x0000_t202">
              <v:textbox inset="0,0,0,0">
                <w:txbxContent>
                  <w:p>
                    <w:pPr>
                      <w:spacing w:line="183" w:lineRule="exact"/>
                      <w:ind w:end="18"/>
                      <w:jc w:val="center"/>
                      <w:rPr>
                        <w:rFonts w:ascii="Calibri"/>
                        <w:sz w:val="18"/>
                      </w:rPr>
                    </w:pPr>
                    <w:r>
                      <w:rPr>
                        <w:rFonts w:ascii="Calibri"/>
                        <w:sz w:val="18"/>
                      </w:rPr>
                      <w:t xml:space="preserve">Publications </w:t>
                    </w:r>
                    <w:r>
                      <w:rPr>
                        <w:rFonts w:ascii="Calibri"/>
                        <w:sz w:val="18"/>
                      </w:rPr>
                      <w:t xml:space="preserve">incluses </w:t>
                    </w:r>
                    <w:r>
                      <w:rPr>
                        <w:rFonts w:ascii="Calibri"/>
                        <w:sz w:val="18"/>
                      </w:rPr>
                      <w:t xml:space="preserve">dans</w:t>
                    </w:r>
                  </w:p>
                  <w:p>
                    <w:pPr>
                      <w:spacing w:before="34" w:line="216" w:lineRule="exact"/>
                      <w:ind w:end="20"/>
                      <w:jc w:val="center"/>
                      <w:rPr>
                        <w:rFonts w:ascii="Calibri"/>
                        <w:sz w:val="18"/>
                      </w:rPr>
                    </w:pPr>
                    <w:r>
                      <w:rPr>
                        <w:rFonts w:ascii="Calibri"/>
                        <w:sz w:val="18"/>
                      </w:rPr>
                      <w:t xml:space="preserve">examen, </w:t>
                    </w:r>
                    <w:r>
                      <w:rPr>
                        <w:rFonts w:ascii="Calibri"/>
                        <w:sz w:val="18"/>
                      </w:rPr>
                      <w:t xml:space="preserve">N=9</w:t>
                    </w:r>
                  </w:p>
                </w:txbxContent>
              </v:textbox>
            </v:shape>
            <v:shape id="docshape23" style="position:absolute;left:4750;top:3955;width:1608;height:939" o:spid="_x0000_s1027" filled="f" stroked="f" type="#_x0000_t202">
              <v:textbox inset="0,0,0,0">
                <w:txbxContent>
                  <w:p>
                    <w:pPr>
                      <w:spacing w:line="183" w:lineRule="exact"/>
                      <w:ind w:end="18"/>
                      <w:jc w:val="center"/>
                      <w:rPr>
                        <w:rFonts w:ascii="Calibri"/>
                        <w:sz w:val="18"/>
                      </w:rPr>
                    </w:pPr>
                    <w:r>
                      <w:rPr>
                        <w:rFonts w:ascii="Calibri"/>
                        <w:spacing w:val="-1"/>
                        <w:sz w:val="18"/>
                      </w:rPr>
                      <w:t xml:space="preserve">Publications </w:t>
                    </w:r>
                    <w:r>
                      <w:rPr>
                        <w:rFonts w:ascii="Calibri"/>
                        <w:sz w:val="18"/>
                      </w:rPr>
                      <w:t xml:space="preserve">exclues</w:t>
                    </w:r>
                  </w:p>
                  <w:p>
                    <w:pPr>
                      <w:spacing w:before="32" w:line="276" w:lineRule="auto"/>
                      <w:ind w:end="21"/>
                      <w:jc w:val="center"/>
                      <w:rPr>
                        <w:rFonts w:ascii="Calibri"/>
                        <w:sz w:val="18"/>
                      </w:rPr>
                    </w:pPr>
                    <w:r>
                      <w:rPr>
                        <w:rFonts w:ascii="Calibri"/>
                        <w:sz w:val="18"/>
                      </w:rPr>
                      <w:t xml:space="preserve">de l'examen, N=16 </w:t>
                    </w:r>
                    <w:r>
                      <w:rPr>
                        <w:rFonts w:ascii="Calibri"/>
                        <w:sz w:val="18"/>
                      </w:rPr>
                      <w:t xml:space="preserve">(se référer </w:t>
                    </w:r>
                    <w:r>
                      <w:rPr>
                        <w:rFonts w:ascii="Calibri"/>
                        <w:sz w:val="18"/>
                      </w:rPr>
                      <w:t xml:space="preserve">à </w:t>
                    </w:r>
                    <w:r>
                      <w:rPr>
                        <w:rFonts w:ascii="Calibri"/>
                        <w:sz w:val="18"/>
                      </w:rPr>
                      <w:t xml:space="preserve">exclu</w:t>
                    </w:r>
                  </w:p>
                  <w:p>
                    <w:pPr>
                      <w:spacing w:before="1" w:line="216" w:lineRule="exact"/>
                      <w:ind w:end="23"/>
                      <w:jc w:val="center"/>
                      <w:rPr>
                        <w:rFonts w:ascii="Calibri"/>
                        <w:sz w:val="18"/>
                      </w:rPr>
                    </w:pPr>
                    <w:r>
                      <w:rPr>
                        <w:rFonts w:ascii="Calibri"/>
                        <w:sz w:val="18"/>
                      </w:rPr>
                      <w:t xml:space="preserve">liste des </w:t>
                    </w:r>
                    <w:r>
                      <w:rPr>
                        <w:rFonts w:ascii="Calibri"/>
                        <w:sz w:val="18"/>
                      </w:rPr>
                      <w:t xml:space="preserve">études</w:t>
                    </w:r>
                    <w:r>
                      <w:rPr>
                        <w:rFonts w:ascii="Calibri"/>
                        <w:sz w:val="18"/>
                      </w:rPr>
                      <w:t xml:space="preserve">)</w:t>
                    </w:r>
                  </w:p>
                </w:txbxContent>
              </v:textbox>
            </v:shape>
            <w10:wrap type="topAndBottom" anchorx="page"/>
          </v:group>
        </w:pict>
      </w:r>
    </w:p>
    <w:p w:rsidR="00432386" w:rsidRDefault="00432386">
      <w:pPr>
        <w:pStyle w:val="Corpsdetexte"/>
        <w:spacing w:before="0"/>
        <w:ind w:start="0"/>
        <w:rPr>
          <w:b/>
          <w:sz w:val="26"/>
        </w:rPr>
      </w:pPr>
    </w:p>
    <w:p w:rsidR="00432386" w:rsidRDefault="00432386">
      <w:pPr>
        <w:pStyle w:val="Corpsdetexte"/>
        <w:spacing w:before="10"/>
        <w:ind w:start="0"/>
        <w:rPr>
          <w:b/>
          <w:sz w:val="21"/>
        </w:rPr>
      </w:pPr>
    </w:p>
    <w:p>
      <w:pPr>
        <w:spacing w:before="1"/>
        <w:ind w:start="160"/>
        <w:rPr>
          <w:b/>
          <w:sz w:val="24"/>
        </w:rPr>
      </w:pPr>
      <w:r>
        <w:rPr>
          <w:b/>
          <w:color w:val="365F91"/>
          <w:sz w:val="24"/>
        </w:rPr>
        <w:t xml:space="preserve">Références </w:t>
      </w:r>
      <w:r>
        <w:rPr>
          <w:b/>
          <w:color w:val="365F91"/>
          <w:sz w:val="24"/>
        </w:rPr>
        <w:t xml:space="preserve">soumises </w:t>
      </w:r>
      <w:r>
        <w:rPr>
          <w:b/>
          <w:color w:val="365F91"/>
          <w:sz w:val="24"/>
        </w:rPr>
        <w:t xml:space="preserve">avec la </w:t>
      </w:r>
      <w:r>
        <w:rPr>
          <w:b/>
          <w:color w:val="365F91"/>
          <w:sz w:val="24"/>
        </w:rPr>
        <w:t xml:space="preserve">proposition de </w:t>
      </w:r>
      <w:r>
        <w:rPr>
          <w:b/>
          <w:color w:val="365F91"/>
          <w:sz w:val="24"/>
        </w:rPr>
        <w:t xml:space="preserve">politique </w:t>
      </w:r>
      <w:r>
        <w:rPr>
          <w:b/>
          <w:color w:val="365F91"/>
          <w:sz w:val="24"/>
        </w:rPr>
        <w:t xml:space="preserve">préliminaire</w:t>
      </w:r>
    </w:p>
    <w:p w:rsidR="00432386" w:rsidRDefault="00432386">
      <w:pPr>
        <w:pStyle w:val="Corpsdetexte"/>
        <w:spacing w:before="9"/>
        <w:ind w:start="0"/>
        <w:rPr>
          <w:b/>
          <w:sz w:val="20"/>
        </w:rPr>
      </w:pPr>
    </w:p>
    <w:p>
      <w:pPr>
        <w:pStyle w:val="Corpsdetexte"/>
        <w:spacing w:before="0"/>
      </w:pPr>
      <w:r>
        <w:t xml:space="preserve">Il </w:t>
      </w:r>
      <w:r>
        <w:t xml:space="preserve">n'y a pas de </w:t>
      </w:r>
      <w:r>
        <w:t xml:space="preserve">proposition de </w:t>
      </w:r>
      <w:r>
        <w:t xml:space="preserve">politique </w:t>
      </w:r>
      <w:r>
        <w:t xml:space="preserve">préliminaire </w:t>
      </w:r>
      <w:r>
        <w:t xml:space="preserve">pour </w:t>
      </w:r>
      <w:r>
        <w:t xml:space="preserve">cette </w:t>
      </w:r>
      <w:r>
        <w:t xml:space="preserve">politique.</w:t>
      </w:r>
    </w:p>
    <w:p w:rsidR="00432386" w:rsidRDefault="00432386">
      <w:pPr>
        <w:pStyle w:val="Corpsdetexte"/>
        <w:spacing w:before="0"/>
        <w:ind w:start="0"/>
        <w:rPr>
          <w:sz w:val="24"/>
        </w:rPr>
      </w:pPr>
    </w:p>
    <w:p>
      <w:pPr>
        <w:pStyle w:val="Titre1"/>
        <w:spacing w:before="206"/>
      </w:pPr>
      <w:bookmarkStart w:name="_bookmark16" w:id="17"/>
      <w:bookmarkEnd w:id="17"/>
      <w:r>
        <w:rPr>
          <w:color w:val="365F91"/>
        </w:rPr>
        <w:t xml:space="preserve">Annexe </w:t>
      </w:r>
      <w:r>
        <w:rPr>
          <w:color w:val="365F91"/>
        </w:rPr>
        <w:t xml:space="preserve">D </w:t>
      </w:r>
      <w:r>
        <w:rPr>
          <w:color w:val="365F91"/>
        </w:rPr>
        <w:t xml:space="preserve">Tableau des </w:t>
      </w:r>
      <w:r>
        <w:rPr>
          <w:color w:val="365F91"/>
        </w:rPr>
        <w:t xml:space="preserve">études </w:t>
      </w:r>
      <w:r>
        <w:rPr>
          <w:color w:val="365F91"/>
        </w:rPr>
        <w:t xml:space="preserve">exclues</w:t>
      </w:r>
    </w:p>
    <w:p w:rsidR="00432386" w:rsidRDefault="00432386">
      <w:pPr>
        <w:pStyle w:val="Corpsdetexte"/>
        <w:spacing w:before="4"/>
        <w:ind w:start="0"/>
        <w:rPr>
          <w:b/>
          <w:sz w:val="24"/>
        </w:r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6104"/>
        <w:gridCol w:w="2914"/>
      </w:tblGrid>
      <w:tr w:rsidR="00432386">
        <w:trPr>
          <w:trHeight w:val="275"/>
        </w:trPr>
        <w:tc>
          <w:tcPr>
            <w:tcW w:w="6104" w:type="dxa"/>
            <w:shd w:val="clear" w:color="auto" w:fill="CCC0D9"/>
          </w:tcPr>
          <w:p>
            <w:pPr>
              <w:pStyle w:val="TableParagraph"/>
              <w:spacing w:line="255" w:lineRule="exact"/>
              <w:ind w:start="107"/>
              <w:rPr>
                <w:b/>
                <w:sz w:val="24"/>
              </w:rPr>
            </w:pPr>
            <w:r>
              <w:rPr>
                <w:b/>
                <w:sz w:val="24"/>
              </w:rPr>
              <w:t xml:space="preserve">Référence de l'</w:t>
            </w:r>
            <w:r>
              <w:rPr>
                <w:b/>
                <w:sz w:val="24"/>
              </w:rPr>
              <w:t xml:space="preserve">étude</w:t>
            </w:r>
          </w:p>
        </w:tc>
        <w:tc>
          <w:tcPr>
            <w:tcW w:w="2914" w:type="dxa"/>
            <w:shd w:val="clear" w:color="auto" w:fill="CCC0D9"/>
          </w:tcPr>
          <w:p>
            <w:pPr>
              <w:pStyle w:val="TableParagraph"/>
              <w:spacing w:line="255" w:lineRule="exact"/>
              <w:ind w:start="107"/>
              <w:rPr>
                <w:b/>
                <w:sz w:val="24"/>
              </w:rPr>
            </w:pPr>
            <w:r>
              <w:rPr>
                <w:b/>
                <w:sz w:val="24"/>
              </w:rPr>
              <w:t xml:space="preserve">Motif de </w:t>
            </w:r>
            <w:r>
              <w:rPr>
                <w:b/>
                <w:sz w:val="24"/>
              </w:rPr>
              <w:t xml:space="preserve">l'</w:t>
            </w:r>
            <w:r>
              <w:rPr>
                <w:b/>
                <w:sz w:val="24"/>
              </w:rPr>
              <w:t xml:space="preserve">exclusion</w:t>
            </w:r>
          </w:p>
        </w:tc>
      </w:tr>
      <w:tr w:rsidR="00432386">
        <w:trPr>
          <w:trHeight w:val="1264"/>
        </w:trPr>
        <w:tc>
          <w:tcPr>
            <w:tcW w:w="6104" w:type="dxa"/>
          </w:tcPr>
          <w:p>
            <w:pPr>
              <w:pStyle w:val="TableParagraph"/>
              <w:ind w:start="107" w:end="280"/>
            </w:pPr>
            <w:r>
              <w:t xml:space="preserve">Achille, C., Taggart, T., Eaton, N.R. et al. (2020) </w:t>
            </w:r>
            <w:r>
              <w:t xml:space="preserve">Longitudinal impact of gender-affirming endocrine </w:t>
            </w:r>
            <w:r>
              <w:t xml:space="preserve">intervention </w:t>
            </w:r>
            <w:r>
              <w:t xml:space="preserve">on </w:t>
            </w:r>
            <w:r>
              <w:t xml:space="preserve">the </w:t>
            </w:r>
            <w:r>
              <w:t xml:space="preserve">mental </w:t>
            </w:r>
            <w:r>
              <w:t xml:space="preserve">health </w:t>
            </w:r>
            <w:r>
              <w:t xml:space="preserve">and </w:t>
            </w:r>
            <w:r>
              <w:t xml:space="preserve">well-being </w:t>
            </w:r>
            <w:r>
              <w:t xml:space="preserve">of</w:t>
            </w:r>
          </w:p>
          <w:p>
            <w:pPr>
              <w:pStyle w:val="TableParagraph"/>
              <w:spacing w:line="252" w:lineRule="exact"/>
              <w:ind w:start="107" w:end="280"/>
            </w:pPr>
            <w:r>
              <w:t xml:space="preserve">jeunes </w:t>
            </w:r>
            <w:r>
              <w:t xml:space="preserve">transgenres </w:t>
            </w:r>
            <w:r>
              <w:t xml:space="preserve">: </w:t>
            </w:r>
            <w:r>
              <w:t xml:space="preserve">Preliminary </w:t>
            </w:r>
            <w:r>
              <w:t xml:space="preserve">results. </w:t>
            </w:r>
            <w:r>
              <w:t xml:space="preserve">International </w:t>
            </w:r>
            <w:r>
              <w:t xml:space="preserve">Journal </w:t>
            </w:r>
            <w:r>
              <w:t xml:space="preserve">of </w:t>
            </w:r>
            <w:r>
              <w:t xml:space="preserve">Pediatric </w:t>
            </w:r>
            <w:r>
              <w:t xml:space="preserve">Endocrinology 2020(1) : </w:t>
            </w:r>
            <w:r>
              <w:t xml:space="preserve">8</w:t>
            </w:r>
          </w:p>
        </w:tc>
        <w:tc>
          <w:tcPr>
            <w:tcW w:w="2914" w:type="dxa"/>
          </w:tcPr>
          <w:p>
            <w:pPr>
              <w:pStyle w:val="TableParagraph"/>
              <w:ind w:start="107" w:end="380"/>
            </w:pPr>
            <w:r>
              <w:t xml:space="preserve">Intervention - les données relatives aux </w:t>
            </w:r>
            <w:r>
              <w:t xml:space="preserve">analogues de la GnRH ne </w:t>
            </w:r>
            <w:r>
              <w:t xml:space="preserve">sont </w:t>
            </w:r>
            <w:r>
              <w:t xml:space="preserve">pas </w:t>
            </w:r>
            <w:r>
              <w:t xml:space="preserve">rapportées séparément des </w:t>
            </w:r>
            <w:r>
              <w:t xml:space="preserve">autres </w:t>
            </w:r>
            <w:r>
              <w:t xml:space="preserve">interventions.</w:t>
            </w:r>
          </w:p>
        </w:tc>
      </w:tr>
      <w:tr w:rsidR="00432386">
        <w:trPr>
          <w:trHeight w:val="1012"/>
        </w:trPr>
        <w:tc>
          <w:tcPr>
            <w:tcW w:w="6104" w:type="dxa"/>
          </w:tcPr>
          <w:p>
            <w:pPr>
              <w:pStyle w:val="TableParagraph"/>
              <w:spacing w:before="2"/>
              <w:ind w:start="107" w:end="121"/>
            </w:pPr>
            <w:r>
              <w:t xml:space="preserve">Bechard, Melanie, Vanderlaan, Doug P, Wood, Hayley et al. </w:t>
            </w:r>
            <w:r>
              <w:t xml:space="preserve">(2017) Vulnérabilité psychosociale et psychologique chez les </w:t>
            </w:r>
            <w:r>
              <w:t xml:space="preserve">adolescents </w:t>
            </w:r>
            <w:r>
              <w:t xml:space="preserve">atteints de </w:t>
            </w:r>
            <w:r>
              <w:t xml:space="preserve">dysphorie de </w:t>
            </w:r>
            <w:r>
              <w:t xml:space="preserve">genre </w:t>
            </w:r>
            <w:r>
              <w:t xml:space="preserve">: </w:t>
            </w:r>
            <w:r>
              <w:t xml:space="preserve">Une </w:t>
            </w:r>
            <w:r>
              <w:t xml:space="preserve">"preuve </w:t>
            </w:r>
            <w:r>
              <w:t xml:space="preserve">de </w:t>
            </w:r>
            <w:r>
              <w:t xml:space="preserve">principe"</w:t>
            </w:r>
          </w:p>
          <w:p>
            <w:pPr>
              <w:pStyle w:val="TableParagraph"/>
              <w:spacing w:line="231" w:lineRule="exact"/>
              <w:ind w:start="107"/>
            </w:pPr>
            <w:r>
              <w:t xml:space="preserve">Étude. </w:t>
            </w:r>
            <w:r>
              <w:t xml:space="preserve">Journal </w:t>
            </w:r>
            <w:r>
              <w:t xml:space="preserve">of </w:t>
            </w:r>
            <w:r>
              <w:t xml:space="preserve">sex </w:t>
            </w:r>
            <w:r>
              <w:t xml:space="preserve">&amp; marital </w:t>
            </w:r>
            <w:r>
              <w:t xml:space="preserve">therapy 43(</w:t>
            </w:r>
            <w:r>
              <w:rPr>
                <w:spacing w:val="-1"/>
              </w:rPr>
              <w:t xml:space="preserve">7</w:t>
            </w:r>
            <w:r>
              <w:t xml:space="preserve">) : 678-688</w:t>
            </w:r>
          </w:p>
        </w:tc>
        <w:tc>
          <w:tcPr>
            <w:tcW w:w="2914" w:type="dxa"/>
          </w:tcPr>
          <w:p>
            <w:pPr>
              <w:pStyle w:val="TableParagraph"/>
              <w:spacing w:before="2"/>
              <w:ind w:start="107" w:end="223"/>
            </w:pPr>
            <w:r>
              <w:t xml:space="preserve">Population - pas d'</w:t>
            </w:r>
            <w:r>
              <w:t xml:space="preserve">analogues de la </w:t>
            </w:r>
            <w:r>
              <w:t xml:space="preserve">GnRH </w:t>
            </w:r>
            <w:r>
              <w:t xml:space="preserve">au </w:t>
            </w:r>
            <w:r>
              <w:t xml:space="preserve">moment de </w:t>
            </w:r>
            <w:r>
              <w:t xml:space="preserve">l'</w:t>
            </w:r>
            <w:r>
              <w:t xml:space="preserve">étude</w:t>
            </w:r>
          </w:p>
        </w:tc>
      </w:tr>
      <w:tr w:rsidR="00432386">
        <w:trPr>
          <w:trHeight w:val="1012"/>
        </w:trPr>
        <w:tc>
          <w:tcPr>
            <w:tcW w:w="6104" w:type="dxa"/>
          </w:tcPr>
          <w:p>
            <w:pPr>
              <w:pStyle w:val="TableParagraph"/>
              <w:ind w:start="107" w:end="280"/>
            </w:pPr>
            <w:r>
              <w:t xml:space="preserve">Chew, Denise, Anderson, Jemma, Williams, Katrina et al. </w:t>
            </w:r>
            <w:r>
              <w:t xml:space="preserve">(2018) Traitement hormonal chez les jeunes atteints de </w:t>
            </w:r>
            <w:r>
              <w:t xml:space="preserve">dysphorie de </w:t>
            </w:r>
            <w:r>
              <w:t xml:space="preserve">genre </w:t>
            </w:r>
            <w:r>
              <w:t xml:space="preserve">: Une </w:t>
            </w:r>
            <w:r>
              <w:t xml:space="preserve">revue systématique. Pediatrics 141(4)</w:t>
            </w:r>
          </w:p>
        </w:tc>
        <w:tc>
          <w:tcPr>
            <w:tcW w:w="2914" w:type="dxa"/>
          </w:tcPr>
          <w:p>
            <w:pPr>
              <w:pStyle w:val="TableParagraph"/>
              <w:ind w:start="107" w:end="99"/>
            </w:pPr>
            <w:r>
              <w:t xml:space="preserve">Toutes les études primaires ont été incluses</w:t>
            </w:r>
            <w:r>
              <w:t xml:space="preserve">, à l'exception d'un </w:t>
            </w:r>
            <w:r>
              <w:t xml:space="preserve">résumé de </w:t>
            </w:r>
            <w:r>
              <w:t xml:space="preserve">conférence.</w:t>
            </w:r>
          </w:p>
        </w:tc>
      </w:tr>
      <w:tr w:rsidR="00432386">
        <w:trPr>
          <w:trHeight w:val="1012"/>
        </w:trPr>
        <w:tc>
          <w:tcPr>
            <w:tcW w:w="6104" w:type="dxa"/>
          </w:tcPr>
          <w:p>
            <w:pPr>
              <w:pStyle w:val="TableParagraph"/>
              <w:ind w:start="107" w:end="280"/>
            </w:pPr>
            <w:r>
              <w:t xml:space="preserve">de Vries, Annelou L C, McGuire, Jenifer K et al. (2014) </w:t>
            </w:r>
            <w:r>
              <w:t xml:space="preserve">Résultat </w:t>
            </w:r>
            <w:r>
              <w:t xml:space="preserve">psychologique des </w:t>
            </w:r>
            <w:r>
              <w:t xml:space="preserve">jeunes </w:t>
            </w:r>
            <w:r>
              <w:t xml:space="preserve">adultes </w:t>
            </w:r>
            <w:r>
              <w:t xml:space="preserve">après la puberté.</w:t>
            </w:r>
          </w:p>
          <w:p>
            <w:pPr>
              <w:pStyle w:val="TableParagraph"/>
              <w:spacing w:line="252" w:lineRule="exact"/>
              <w:ind w:start="107" w:end="392"/>
            </w:pPr>
            <w:r>
              <w:t xml:space="preserve">suppression et réassignation sexuelle. Pédiatrie 134(4) : </w:t>
            </w:r>
            <w:r>
              <w:t xml:space="preserve">696-704</w:t>
            </w:r>
          </w:p>
        </w:tc>
        <w:tc>
          <w:tcPr>
            <w:tcW w:w="2914" w:type="dxa"/>
          </w:tcPr>
          <w:p>
            <w:pPr>
              <w:pStyle w:val="TableParagraph"/>
              <w:ind w:start="107" w:end="342"/>
            </w:pPr>
            <w:r>
              <w:t xml:space="preserve">Population - </w:t>
            </w:r>
            <w:r>
              <w:t xml:space="preserve">population </w:t>
            </w:r>
            <w:r>
              <w:t xml:space="preserve">pertinente </w:t>
            </w:r>
            <w:r>
              <w:t xml:space="preserve">incluse dans de </w:t>
            </w:r>
            <w:r>
              <w:t xml:space="preserve">Vries et </w:t>
            </w:r>
            <w:r>
              <w:t xml:space="preserve">al. </w:t>
            </w:r>
            <w:r>
              <w:t xml:space="preserve">2011</w:t>
            </w:r>
          </w:p>
        </w:tc>
      </w:tr>
      <w:tr w:rsidR="00432386">
        <w:trPr>
          <w:trHeight w:val="1264"/>
        </w:trPr>
        <w:tc>
          <w:tcPr>
            <w:tcW w:w="6104" w:type="dxa"/>
          </w:tcPr>
          <w:p>
            <w:pPr>
              <w:pStyle w:val="TableParagraph"/>
              <w:ind w:start="107"/>
            </w:pPr>
            <w:r>
              <w:t xml:space="preserve">Ghelani, Rahul, Lim, Cheryl, Brain, Caroline et al. (2020) </w:t>
            </w:r>
            <w:r>
              <w:t xml:space="preserve">Sudden sex hormone withdrawal and the effects on body </w:t>
            </w:r>
            <w:r>
              <w:t xml:space="preserve">composition in late pubertal adolescents with gender </w:t>
            </w:r>
            <w:r>
              <w:t xml:space="preserve">dysphoria. </w:t>
            </w:r>
            <w:r>
              <w:t xml:space="preserve">Journal </w:t>
            </w:r>
            <w:r>
              <w:t xml:space="preserve">of </w:t>
            </w:r>
            <w:r>
              <w:t xml:space="preserve">pediatric </w:t>
            </w:r>
            <w:r>
              <w:t xml:space="preserve">endocrinology </w:t>
            </w:r>
            <w:r>
              <w:t xml:space="preserve">&amp; </w:t>
            </w:r>
            <w:r>
              <w:t xml:space="preserve">metabolism :</w:t>
            </w:r>
          </w:p>
          <w:p>
            <w:pPr>
              <w:pStyle w:val="TableParagraph"/>
              <w:spacing w:line="232" w:lineRule="exact"/>
              <w:ind w:start="107"/>
            </w:pPr>
            <w:r>
              <w:t xml:space="preserve">JPEM </w:t>
            </w:r>
            <w:r>
              <w:t xml:space="preserve">33(1) : </w:t>
            </w:r>
            <w:r>
              <w:t xml:space="preserve">107-112</w:t>
            </w:r>
          </w:p>
        </w:tc>
        <w:tc>
          <w:tcPr>
            <w:tcW w:w="2914" w:type="dxa"/>
          </w:tcPr>
          <w:p>
            <w:pPr>
              <w:pStyle w:val="TableParagraph"/>
              <w:ind w:start="107" w:end="624"/>
            </w:pPr>
            <w:r>
              <w:t xml:space="preserve">Résultats - pas dans le </w:t>
            </w:r>
            <w:r>
              <w:t xml:space="preserve">PICO</w:t>
            </w:r>
          </w:p>
        </w:tc>
      </w:tr>
    </w:tbl>
    <w:p w:rsidR="00432386" w:rsidRDefault="00432386">
      <w:pPr>
        <w:sectPr w:rsidR="00432386">
          <w:pgSz w:w="11910" w:h="16840"/>
          <w:pgMar w:top="1180" w:right="980" w:bottom="1780" w:left="1280" w:header="0" w:footer="1183" w:gutter="0"/>
          <w:cols w:space="720"/>
        </w:sectPr>
      </w:pPr>
    </w:p>
    <w:tbl>
      <w:tblPr>
        <w:tblStyle w:val="TableNormal"/>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6104"/>
        <w:gridCol w:w="2914"/>
      </w:tblGrid>
      <w:tr w:rsidR="00432386">
        <w:trPr>
          <w:trHeight w:val="275"/>
        </w:trPr>
        <w:tc>
          <w:tcPr>
            <w:tcW w:w="6104" w:type="dxa"/>
            <w:shd w:val="clear" w:color="auto" w:fill="CCC0D9"/>
          </w:tcPr>
          <w:p>
            <w:pPr>
              <w:pStyle w:val="TableParagraph"/>
              <w:spacing w:line="255" w:lineRule="exact"/>
              <w:ind w:start="107"/>
              <w:rPr>
                <w:b/>
                <w:sz w:val="24"/>
              </w:rPr>
            </w:pPr>
            <w:r>
              <w:rPr>
                <w:b/>
                <w:sz w:val="24"/>
              </w:rPr>
              <w:t xml:space="preserve">Référence de l'</w:t>
            </w:r>
            <w:r>
              <w:rPr>
                <w:b/>
                <w:sz w:val="24"/>
              </w:rPr>
              <w:lastRenderedPageBreak/>
              <w:t xml:space="preserve">étude</w:t>
            </w:r>
          </w:p>
        </w:tc>
        <w:tc>
          <w:tcPr>
            <w:tcW w:w="2914" w:type="dxa"/>
            <w:shd w:val="clear" w:color="auto" w:fill="CCC0D9"/>
          </w:tcPr>
          <w:p>
            <w:pPr>
              <w:pStyle w:val="TableParagraph"/>
              <w:spacing w:line="255" w:lineRule="exact"/>
              <w:ind w:start="107"/>
              <w:rPr>
                <w:b/>
                <w:sz w:val="24"/>
              </w:rPr>
            </w:pPr>
            <w:r>
              <w:rPr>
                <w:b/>
                <w:sz w:val="24"/>
              </w:rPr>
              <w:t xml:space="preserve">Motif de </w:t>
            </w:r>
            <w:r>
              <w:rPr>
                <w:b/>
                <w:sz w:val="24"/>
              </w:rPr>
              <w:t xml:space="preserve">l'</w:t>
            </w:r>
            <w:r>
              <w:rPr>
                <w:b/>
                <w:sz w:val="24"/>
              </w:rPr>
              <w:t xml:space="preserve">exclusion</w:t>
            </w:r>
          </w:p>
        </w:tc>
      </w:tr>
      <w:tr w:rsidR="00432386">
        <w:trPr>
          <w:trHeight w:val="1264"/>
        </w:trPr>
        <w:tc>
          <w:tcPr>
            <w:tcW w:w="6104" w:type="dxa"/>
          </w:tcPr>
          <w:p>
            <w:pPr>
              <w:pStyle w:val="TableParagraph"/>
              <w:ind w:start="107" w:end="110"/>
            </w:pPr>
            <w:r>
              <w:t xml:space="preserve">Giovanardi, G, Morales, P, Mirabella, M et al. (2019) </w:t>
            </w:r>
            <w:r>
              <w:t xml:space="preserve">Transition memories : experiences of trans adult women with </w:t>
            </w:r>
            <w:r>
              <w:t xml:space="preserve">hormone therapy and their beliefs on the usage of hormone </w:t>
            </w:r>
            <w:r>
              <w:t xml:space="preserve">blockers </w:t>
            </w:r>
            <w:r>
              <w:t xml:space="preserve">to </w:t>
            </w:r>
            <w:r>
              <w:t xml:space="preserve">suppress </w:t>
            </w:r>
            <w:r>
              <w:t xml:space="preserve">puberty. </w:t>
            </w:r>
            <w:r>
              <w:t xml:space="preserve">Journal </w:t>
            </w:r>
            <w:r>
              <w:t xml:space="preserve">of </w:t>
            </w:r>
            <w:r>
              <w:t xml:space="preserve">endocrinological</w:t>
            </w:r>
          </w:p>
          <w:p>
            <w:pPr>
              <w:pStyle w:val="TableParagraph"/>
              <w:spacing w:before="1" w:line="232" w:lineRule="exact"/>
              <w:ind w:start="107"/>
            </w:pPr>
            <w:r>
              <w:t xml:space="preserve">enquête </w:t>
            </w:r>
            <w:r>
              <w:t xml:space="preserve">42(10) : </w:t>
            </w:r>
            <w:r>
              <w:t xml:space="preserve">1231-1240</w:t>
            </w:r>
          </w:p>
        </w:tc>
        <w:tc>
          <w:tcPr>
            <w:tcW w:w="2914" w:type="dxa"/>
          </w:tcPr>
          <w:p>
            <w:pPr>
              <w:pStyle w:val="TableParagraph"/>
              <w:ind w:start="107"/>
            </w:pPr>
            <w:r>
              <w:t xml:space="preserve">Population </w:t>
            </w:r>
            <w:r>
              <w:t xml:space="preserve">- </w:t>
            </w:r>
            <w:r>
              <w:t xml:space="preserve">adultes </w:t>
            </w:r>
            <w:r>
              <w:t xml:space="preserve">uniquement</w:t>
            </w:r>
          </w:p>
        </w:tc>
      </w:tr>
      <w:tr w:rsidR="00432386">
        <w:trPr>
          <w:trHeight w:val="1012"/>
        </w:trPr>
        <w:tc>
          <w:tcPr>
            <w:tcW w:w="6104" w:type="dxa"/>
          </w:tcPr>
          <w:p>
            <w:pPr>
              <w:pStyle w:val="TableParagraph"/>
              <w:ind w:start="107" w:end="121"/>
            </w:pPr>
            <w:r>
              <w:t xml:space="preserve">Hewitt, Jacqueline K, Paul, Campbell, Kasiannan, Porpavai </w:t>
            </w:r>
            <w:r>
              <w:t xml:space="preserve">et </w:t>
            </w:r>
            <w:r>
              <w:t xml:space="preserve">al. </w:t>
            </w:r>
            <w:r>
              <w:t xml:space="preserve">(2012) </w:t>
            </w:r>
            <w:r>
              <w:t xml:space="preserve">Traitement </w:t>
            </w:r>
            <w:r>
              <w:t xml:space="preserve">hormonal </w:t>
            </w:r>
            <w:r>
              <w:t xml:space="preserve">du </w:t>
            </w:r>
            <w:r>
              <w:t xml:space="preserve">trouble de l'</w:t>
            </w:r>
            <w:r>
              <w:t xml:space="preserve">identité </w:t>
            </w:r>
            <w:r>
              <w:t xml:space="preserve">sexuelle.</w:t>
            </w:r>
          </w:p>
          <w:p>
            <w:pPr>
              <w:pStyle w:val="TableParagraph"/>
              <w:spacing w:line="252" w:lineRule="exact"/>
              <w:ind w:start="107" w:end="158"/>
            </w:pPr>
            <w:r>
              <w:t xml:space="preserve">dans une cohorte d'enfants et d'adolescents. The Medical journal </w:t>
            </w:r>
            <w:r>
              <w:t xml:space="preserve">of Australia 196(9) : </w:t>
            </w:r>
            <w:r>
              <w:t xml:space="preserve">578-81</w:t>
            </w:r>
          </w:p>
        </w:tc>
        <w:tc>
          <w:tcPr>
            <w:tcW w:w="2914" w:type="dxa"/>
          </w:tcPr>
          <w:p>
            <w:pPr>
              <w:pStyle w:val="TableParagraph"/>
              <w:ind w:start="107" w:end="809"/>
              <w:jc w:val="both"/>
            </w:pPr>
            <w:r>
              <w:t xml:space="preserve">Résultats - aucune donnée </w:t>
            </w:r>
            <w:r>
              <w:t xml:space="preserve">rapportée pour les </w:t>
            </w:r>
            <w:r>
              <w:t xml:space="preserve">résultats </w:t>
            </w:r>
            <w:r>
              <w:t xml:space="preserve">pertinents</w:t>
            </w:r>
          </w:p>
        </w:tc>
      </w:tr>
      <w:tr w:rsidR="00432386">
        <w:trPr>
          <w:trHeight w:val="1264"/>
        </w:trPr>
        <w:tc>
          <w:tcPr>
            <w:tcW w:w="6104" w:type="dxa"/>
          </w:tcPr>
          <w:p>
            <w:pPr>
              <w:pStyle w:val="TableParagraph"/>
              <w:ind w:start="107" w:end="121"/>
            </w:pPr>
            <w:r>
              <w:t xml:space="preserve">Jensen, </w:t>
            </w:r>
            <w:r>
              <w:t xml:space="preserve">R.K., </w:t>
            </w:r>
            <w:r>
              <w:t xml:space="preserve">Jensen, </w:t>
            </w:r>
            <w:r>
              <w:t xml:space="preserve">J.K., </w:t>
            </w:r>
            <w:r>
              <w:t xml:space="preserve">Simons, </w:t>
            </w:r>
            <w:r>
              <w:t xml:space="preserve">L.K. </w:t>
            </w:r>
            <w:r>
              <w:t xml:space="preserve">et </w:t>
            </w:r>
            <w:r>
              <w:t xml:space="preserve">al. </w:t>
            </w:r>
            <w:r>
              <w:t xml:space="preserve">(2019) </w:t>
            </w:r>
            <w:r>
              <w:t xml:space="preserve">Effet </w:t>
            </w:r>
            <w:r>
              <w:t xml:space="preserve">d'un </w:t>
            </w:r>
            <w:r>
              <w:t xml:space="preserve">traitement </w:t>
            </w:r>
            <w:r>
              <w:t xml:space="preserve">concomitant par agoniste de l'hormone de libération de la gonadotrophine </w:t>
            </w:r>
            <w:r>
              <w:t xml:space="preserve">sur la dose et les effets secondaires de l'</w:t>
            </w:r>
            <w:r>
              <w:t xml:space="preserve">hormonothérapie d</w:t>
            </w:r>
            <w:r>
              <w:t xml:space="preserve">'affirmation du genre </w:t>
            </w:r>
            <w:r>
              <w:t xml:space="preserve">chez les </w:t>
            </w:r>
            <w:r>
              <w:t xml:space="preserve">adolescents </w:t>
            </w:r>
            <w:r>
              <w:t xml:space="preserve">transgenres</w:t>
            </w:r>
            <w:r>
              <w:t xml:space="preserve">.</w:t>
            </w:r>
          </w:p>
          <w:p>
            <w:pPr>
              <w:pStyle w:val="TableParagraph"/>
              <w:spacing w:line="232" w:lineRule="exact"/>
              <w:ind w:start="107"/>
            </w:pPr>
            <w:r>
              <w:t xml:space="preserve">Transgender </w:t>
            </w:r>
            <w:r>
              <w:t xml:space="preserve">Health </w:t>
            </w:r>
            <w:r>
              <w:t xml:space="preserve">4(1) : </w:t>
            </w:r>
            <w:r>
              <w:t xml:space="preserve">300-303</w:t>
            </w:r>
          </w:p>
        </w:tc>
        <w:tc>
          <w:tcPr>
            <w:tcW w:w="2914" w:type="dxa"/>
          </w:tcPr>
          <w:p>
            <w:pPr>
              <w:pStyle w:val="TableParagraph"/>
              <w:ind w:start="107" w:end="624"/>
            </w:pPr>
            <w:r>
              <w:t xml:space="preserve">Résultats - pas dans le </w:t>
            </w:r>
            <w:r>
              <w:t xml:space="preserve">PICO</w:t>
            </w:r>
          </w:p>
        </w:tc>
      </w:tr>
      <w:tr w:rsidR="00432386">
        <w:trPr>
          <w:trHeight w:val="1012"/>
        </w:trPr>
        <w:tc>
          <w:tcPr>
            <w:tcW w:w="6104" w:type="dxa"/>
          </w:tcPr>
          <w:p>
            <w:pPr>
              <w:pStyle w:val="TableParagraph"/>
              <w:ind w:start="107" w:end="281"/>
            </w:pPr>
            <w:r>
              <w:t xml:space="preserve">Klaver, Maartje, de Mutsert, Renee, Wiepjes, Chantal M et </w:t>
            </w:r>
            <w:r>
              <w:t xml:space="preserve">al. (2018) </w:t>
            </w:r>
            <w:r>
              <w:t xml:space="preserve">Le </w:t>
            </w:r>
            <w:r>
              <w:t xml:space="preserve">traitement </w:t>
            </w:r>
            <w:r>
              <w:t xml:space="preserve">hormonal </w:t>
            </w:r>
            <w:r>
              <w:t xml:space="preserve">précoce </w:t>
            </w:r>
            <w:r>
              <w:t xml:space="preserve">affecte le corps.</w:t>
            </w:r>
          </w:p>
          <w:p>
            <w:pPr>
              <w:pStyle w:val="TableParagraph"/>
              <w:spacing w:line="252" w:lineRule="exact"/>
              <w:ind w:start="107"/>
            </w:pPr>
            <w:r>
              <w:t xml:space="preserve">Composition et forme du corps chez les jeunes adolescents transgenres</w:t>
            </w:r>
            <w:r>
              <w:t xml:space="preserve">. </w:t>
            </w:r>
            <w:r>
              <w:t xml:space="preserve">The </w:t>
            </w:r>
            <w:r>
              <w:t xml:space="preserve">journal </w:t>
            </w:r>
            <w:r>
              <w:t xml:space="preserve">of </w:t>
            </w:r>
            <w:r>
              <w:t xml:space="preserve">sexual </w:t>
            </w:r>
            <w:r>
              <w:t xml:space="preserve">medicine </w:t>
            </w:r>
            <w:r>
              <w:t xml:space="preserve">15(2) : </w:t>
            </w:r>
            <w:r>
              <w:t xml:space="preserve">251-260</w:t>
            </w:r>
          </w:p>
        </w:tc>
        <w:tc>
          <w:tcPr>
            <w:tcW w:w="2914" w:type="dxa"/>
          </w:tcPr>
          <w:p>
            <w:pPr>
              <w:pStyle w:val="TableParagraph"/>
              <w:ind w:start="107" w:end="624"/>
            </w:pPr>
            <w:r>
              <w:t xml:space="preserve">Résultats - pas dans le </w:t>
            </w:r>
            <w:r>
              <w:t xml:space="preserve">PICO</w:t>
            </w:r>
          </w:p>
        </w:tc>
      </w:tr>
      <w:tr w:rsidR="00432386">
        <w:trPr>
          <w:trHeight w:val="758"/>
        </w:trPr>
        <w:tc>
          <w:tcPr>
            <w:tcW w:w="6104" w:type="dxa"/>
          </w:tcPr>
          <w:p>
            <w:pPr>
              <w:pStyle w:val="TableParagraph"/>
              <w:ind w:start="107" w:end="146"/>
            </w:pPr>
            <w:r>
              <w:t xml:space="preserve">Klaver, Maartje, de Mutsert, Renee van der Loos, Maria A T </w:t>
            </w:r>
            <w:r>
              <w:t xml:space="preserve">C </w:t>
            </w:r>
            <w:r>
              <w:t xml:space="preserve">et </w:t>
            </w:r>
            <w:r>
              <w:t xml:space="preserve">al. </w:t>
            </w:r>
            <w:r>
              <w:t xml:space="preserve">(2020) </w:t>
            </w:r>
            <w:r>
              <w:t xml:space="preserve">Hormonal </w:t>
            </w:r>
            <w:r>
              <w:t xml:space="preserve">Treatment and </w:t>
            </w:r>
            <w:r>
              <w:t xml:space="preserve">Cardiovascular</w:t>
            </w:r>
          </w:p>
          <w:p>
            <w:pPr>
              <w:pStyle w:val="TableParagraph"/>
              <w:spacing w:line="232" w:lineRule="exact"/>
              <w:ind w:start="107"/>
            </w:pPr>
            <w:r>
              <w:t xml:space="preserve">Profil de </w:t>
            </w:r>
            <w:r>
              <w:t xml:space="preserve">risque </w:t>
            </w:r>
            <w:r>
              <w:t xml:space="preserve">chez les </w:t>
            </w:r>
            <w:r>
              <w:t xml:space="preserve">adolescents </w:t>
            </w:r>
            <w:r>
              <w:t xml:space="preserve">transgenres</w:t>
            </w:r>
            <w:r>
              <w:t xml:space="preserve">. </w:t>
            </w:r>
            <w:r>
              <w:t xml:space="preserve">Pédiatrie </w:t>
            </w:r>
            <w:r>
              <w:t xml:space="preserve">145(3)</w:t>
            </w:r>
          </w:p>
        </w:tc>
        <w:tc>
          <w:tcPr>
            <w:tcW w:w="2914" w:type="dxa"/>
          </w:tcPr>
          <w:p>
            <w:pPr>
              <w:pStyle w:val="TableParagraph"/>
              <w:ind w:start="107" w:end="624"/>
            </w:pPr>
            <w:r>
              <w:t xml:space="preserve">Résultats - pas dans le </w:t>
            </w:r>
            <w:r>
              <w:t xml:space="preserve">PICO</w:t>
            </w:r>
          </w:p>
        </w:tc>
      </w:tr>
      <w:tr w:rsidR="00432386">
        <w:trPr>
          <w:trHeight w:val="1264"/>
        </w:trPr>
        <w:tc>
          <w:tcPr>
            <w:tcW w:w="6104" w:type="dxa"/>
          </w:tcPr>
          <w:p>
            <w:pPr>
              <w:pStyle w:val="TableParagraph"/>
              <w:ind w:start="107" w:end="256"/>
            </w:pPr>
            <w:r>
              <w:t xml:space="preserve">Lopez, Carla Marisa, Solomon, Daniel, Boulware, Susan D </w:t>
            </w:r>
            <w:r>
              <w:t xml:space="preserve">et al. (2018) Tendances dans l'utilisation des bloqueurs de puberté chez les </w:t>
            </w:r>
            <w:r>
              <w:t xml:space="preserve">enfants </w:t>
            </w:r>
            <w:r>
              <w:t xml:space="preserve">transgenres </w:t>
            </w:r>
            <w:r>
              <w:t xml:space="preserve">aux </w:t>
            </w:r>
            <w:r>
              <w:t xml:space="preserve">États-Unis</w:t>
            </w:r>
            <w:r>
              <w:t xml:space="preserve">. Journal </w:t>
            </w:r>
            <w:r>
              <w:t xml:space="preserve">of</w:t>
            </w:r>
          </w:p>
          <w:p>
            <w:pPr>
              <w:pStyle w:val="TableParagraph"/>
              <w:spacing w:line="252" w:lineRule="exact"/>
              <w:ind w:start="107" w:end="403"/>
            </w:pPr>
            <w:r>
              <w:t xml:space="preserve">endocrinologie et métabolisme pédiatriques : JPEM 31(6) : 665- 670</w:t>
            </w:r>
          </w:p>
        </w:tc>
        <w:tc>
          <w:tcPr>
            <w:tcW w:w="2914" w:type="dxa"/>
          </w:tcPr>
          <w:p>
            <w:pPr>
              <w:pStyle w:val="TableParagraph"/>
              <w:ind w:start="107" w:end="624"/>
            </w:pPr>
            <w:r>
              <w:t xml:space="preserve">Résultats - pas dans le </w:t>
            </w:r>
            <w:r>
              <w:t xml:space="preserve">PICO</w:t>
            </w:r>
          </w:p>
        </w:tc>
      </w:tr>
      <w:tr w:rsidR="00432386">
        <w:trPr>
          <w:trHeight w:val="1264"/>
        </w:trPr>
        <w:tc>
          <w:tcPr>
            <w:tcW w:w="6104" w:type="dxa"/>
            <w:tcBorders>
              <w:bottom w:val="single" w:color="000000" w:sz="6" w:space="0"/>
            </w:tcBorders>
          </w:tcPr>
          <w:p>
            <w:pPr>
              <w:pStyle w:val="TableParagraph"/>
              <w:spacing w:before="2"/>
              <w:ind w:start="107"/>
            </w:pPr>
            <w:r>
              <w:t xml:space="preserve">Schagen, Sebastian E E, Lustenhouwer, Paul, Cohen- </w:t>
            </w:r>
            <w:r>
              <w:t xml:space="preserve">Kettenis, Peggy T et al. (2018) Changements dans les </w:t>
            </w:r>
            <w:r>
              <w:t xml:space="preserve">androgènes </w:t>
            </w:r>
            <w:r>
              <w:t xml:space="preserve">surrénaliens </w:t>
            </w:r>
            <w:r>
              <w:t xml:space="preserve">au cours de la </w:t>
            </w:r>
            <w:r>
              <w:t xml:space="preserve">suppression de la </w:t>
            </w:r>
            <w:r>
              <w:t xml:space="preserve">puberté </w:t>
            </w:r>
            <w:r>
              <w:t xml:space="preserve">et du </w:t>
            </w:r>
            <w:r>
              <w:t xml:space="preserve">genre.</w:t>
            </w:r>
          </w:p>
          <w:p>
            <w:pPr>
              <w:pStyle w:val="TableParagraph"/>
              <w:spacing w:line="252" w:lineRule="exact"/>
              <w:ind w:start="107"/>
            </w:pPr>
            <w:r>
              <w:t xml:space="preserve">Traitement hormonal affirmatif chez les adolescents atteints de </w:t>
            </w:r>
            <w:r>
              <w:t xml:space="preserve">dysphorie de </w:t>
            </w:r>
            <w:r>
              <w:t xml:space="preserve">genre</w:t>
            </w:r>
            <w:r>
              <w:t xml:space="preserve">. </w:t>
            </w:r>
            <w:r>
              <w:t xml:space="preserve">The </w:t>
            </w:r>
            <w:r>
              <w:t xml:space="preserve">journal </w:t>
            </w:r>
            <w:r>
              <w:t xml:space="preserve">of </w:t>
            </w:r>
            <w:r>
              <w:t xml:space="preserve">sexual </w:t>
            </w:r>
            <w:r>
              <w:t xml:space="preserve">medicine </w:t>
            </w:r>
            <w:r>
              <w:t xml:space="preserve">15(9) : </w:t>
            </w:r>
            <w:r>
              <w:t xml:space="preserve">1357-1363</w:t>
            </w:r>
          </w:p>
        </w:tc>
        <w:tc>
          <w:tcPr>
            <w:tcW w:w="2914" w:type="dxa"/>
            <w:tcBorders>
              <w:bottom w:val="single" w:color="000000" w:sz="6" w:space="0"/>
            </w:tcBorders>
          </w:tcPr>
          <w:p>
            <w:pPr>
              <w:pStyle w:val="TableParagraph"/>
              <w:spacing w:before="2"/>
              <w:ind w:start="107" w:end="624"/>
            </w:pPr>
            <w:r>
              <w:t xml:space="preserve">Résultats - pas dans le </w:t>
            </w:r>
            <w:r>
              <w:t xml:space="preserve">PICO</w:t>
            </w:r>
          </w:p>
        </w:tc>
      </w:tr>
      <w:tr w:rsidR="00432386">
        <w:trPr>
          <w:trHeight w:val="1007"/>
        </w:trPr>
        <w:tc>
          <w:tcPr>
            <w:tcW w:w="6104" w:type="dxa"/>
            <w:tcBorders>
              <w:top w:val="single" w:color="000000" w:sz="6" w:space="0"/>
            </w:tcBorders>
          </w:tcPr>
          <w:p>
            <w:pPr>
              <w:pStyle w:val="TableParagraph"/>
              <w:ind w:start="107" w:end="115"/>
            </w:pPr>
            <w:r>
              <w:t xml:space="preserve">Swendiman, </w:t>
            </w:r>
            <w:r>
              <w:t xml:space="preserve">Robert </w:t>
            </w:r>
            <w:r>
              <w:t xml:space="preserve">A, </w:t>
            </w:r>
            <w:r>
              <w:t xml:space="preserve">Vogiatzi, Maria G, </w:t>
            </w:r>
            <w:r>
              <w:t xml:space="preserve">Alter, Craig </w:t>
            </w:r>
            <w:r>
              <w:t xml:space="preserve">A </w:t>
            </w:r>
            <w:r>
              <w:t xml:space="preserve">et </w:t>
            </w:r>
            <w:r>
              <w:t xml:space="preserve">al. (2019) Implantation de l'histrelin dans la population pédiatrique : Une </w:t>
            </w:r>
            <w:r>
              <w:t xml:space="preserve">expérience </w:t>
            </w:r>
            <w:r>
              <w:t xml:space="preserve">institutionnelle </w:t>
            </w:r>
            <w:r>
              <w:t xml:space="preserve">de </w:t>
            </w:r>
            <w:r>
              <w:t xml:space="preserve">10 ans</w:t>
            </w:r>
            <w:r>
              <w:t xml:space="preserve">. </w:t>
            </w:r>
            <w:r>
              <w:t xml:space="preserve">Journal </w:t>
            </w:r>
            <w:r>
              <w:t xml:space="preserve">de la </w:t>
            </w:r>
            <w:r>
              <w:t xml:space="preserve">chirurgie </w:t>
            </w:r>
            <w:r>
              <w:t xml:space="preserve">pédiatrique</w:t>
            </w:r>
          </w:p>
          <w:p>
            <w:pPr>
              <w:pStyle w:val="TableParagraph"/>
              <w:spacing w:line="231" w:lineRule="exact"/>
              <w:ind w:start="107"/>
            </w:pPr>
            <w:r>
              <w:t xml:space="preserve">54(7) : </w:t>
            </w:r>
            <w:r>
              <w:t xml:space="preserve">1457-1461</w:t>
            </w:r>
          </w:p>
        </w:tc>
        <w:tc>
          <w:tcPr>
            <w:tcW w:w="2914" w:type="dxa"/>
            <w:tcBorders>
              <w:top w:val="single" w:color="000000" w:sz="6" w:space="0"/>
            </w:tcBorders>
          </w:tcPr>
          <w:p>
            <w:pPr>
              <w:pStyle w:val="TableParagraph"/>
              <w:ind w:start="107" w:end="110"/>
            </w:pPr>
            <w:r>
              <w:t xml:space="preserve">Population - moins de 10 % </w:t>
            </w:r>
            <w:r>
              <w:t xml:space="preserve">des participants souffraient de </w:t>
            </w:r>
            <w:r>
              <w:t xml:space="preserve">dysphorie de </w:t>
            </w:r>
            <w:r>
              <w:t xml:space="preserve">genre </w:t>
            </w:r>
            <w:r>
              <w:t xml:space="preserve">; </w:t>
            </w:r>
            <w:r>
              <w:t xml:space="preserve">données </w:t>
            </w:r>
            <w:r>
              <w:t xml:space="preserve">non disponibles.</w:t>
            </w:r>
          </w:p>
          <w:p>
            <w:pPr>
              <w:pStyle w:val="TableParagraph"/>
              <w:spacing w:line="231" w:lineRule="exact"/>
              <w:ind w:start="107"/>
            </w:pPr>
            <w:r>
              <w:t xml:space="preserve">rapporté </w:t>
            </w:r>
            <w:r>
              <w:t xml:space="preserve">séparément</w:t>
            </w:r>
          </w:p>
        </w:tc>
      </w:tr>
      <w:tr w:rsidR="00432386">
        <w:trPr>
          <w:trHeight w:val="1012"/>
        </w:trPr>
        <w:tc>
          <w:tcPr>
            <w:tcW w:w="6104" w:type="dxa"/>
          </w:tcPr>
          <w:p>
            <w:pPr>
              <w:pStyle w:val="TableParagraph"/>
              <w:spacing w:before="2"/>
              <w:ind w:start="107" w:end="475"/>
            </w:pPr>
            <w:r>
              <w:t xml:space="preserve">Turban, Jack L, King, Dana, Carswell, Jeremi M et al. </w:t>
            </w:r>
            <w:r>
              <w:t xml:space="preserve">(2020) Pubertal Suppression for Transgender Youth and </w:t>
            </w:r>
            <w:r>
              <w:t xml:space="preserve">Risk of Suicidal </w:t>
            </w:r>
            <w:r>
              <w:t xml:space="preserve">Ideation. </w:t>
            </w:r>
            <w:r>
              <w:t xml:space="preserve">Pediatrics </w:t>
            </w:r>
            <w:r>
              <w:t xml:space="preserve">145(2)</w:t>
            </w:r>
          </w:p>
        </w:tc>
        <w:tc>
          <w:tcPr>
            <w:tcW w:w="2914" w:type="dxa"/>
          </w:tcPr>
          <w:p>
            <w:pPr>
              <w:pStyle w:val="TableParagraph"/>
              <w:spacing w:before="2"/>
              <w:ind w:start="107" w:end="392"/>
            </w:pPr>
            <w:r>
              <w:t xml:space="preserve">Intervention - les données relatives aux </w:t>
            </w:r>
            <w:r>
              <w:t xml:space="preserve">analogues de la GnRH ne </w:t>
            </w:r>
            <w:r>
              <w:t xml:space="preserve">sont </w:t>
            </w:r>
            <w:r>
              <w:t xml:space="preserve">pas </w:t>
            </w:r>
            <w:r>
              <w:t xml:space="preserve">rapportées </w:t>
            </w:r>
            <w:r>
              <w:t xml:space="preserve">séparément </w:t>
            </w:r>
            <w:r>
              <w:t xml:space="preserve">de celles relatives à l'intervention.</w:t>
            </w:r>
          </w:p>
          <w:p>
            <w:pPr>
              <w:pStyle w:val="TableParagraph"/>
              <w:spacing w:line="231" w:lineRule="exact"/>
              <w:ind w:start="107"/>
            </w:pPr>
            <w:r>
              <w:t xml:space="preserve">autres </w:t>
            </w:r>
            <w:r>
              <w:t xml:space="preserve">interventions</w:t>
            </w:r>
          </w:p>
        </w:tc>
      </w:tr>
      <w:tr w:rsidR="00432386">
        <w:trPr>
          <w:trHeight w:val="1264"/>
        </w:trPr>
        <w:tc>
          <w:tcPr>
            <w:tcW w:w="6104" w:type="dxa"/>
          </w:tcPr>
          <w:p>
            <w:pPr>
              <w:pStyle w:val="TableParagraph"/>
              <w:ind w:start="107"/>
            </w:pPr>
            <w:r>
              <w:t xml:space="preserve">Vrouenraets, Lieke Josephina Jeanne Johanna, Fredriks, A </w:t>
            </w:r>
            <w:r>
              <w:t xml:space="preserve">Miranda, Hannema, Sabine E et al. (2016) Perceptions du </w:t>
            </w:r>
            <w:r>
              <w:t xml:space="preserve">sexe, du </w:t>
            </w:r>
            <w:r>
              <w:t xml:space="preserve">genre et de la </w:t>
            </w:r>
            <w:r>
              <w:t xml:space="preserve">suppression de la </w:t>
            </w:r>
            <w:r>
              <w:t xml:space="preserve">puberté </w:t>
            </w:r>
            <w:r>
              <w:t xml:space="preserve">: A </w:t>
            </w:r>
            <w:r>
              <w:t xml:space="preserve">Qualitative</w:t>
            </w:r>
          </w:p>
          <w:p>
            <w:pPr>
              <w:pStyle w:val="TableParagraph"/>
              <w:spacing w:line="252" w:lineRule="exact"/>
              <w:ind w:start="107" w:end="146"/>
            </w:pPr>
            <w:r>
              <w:t xml:space="preserve">Analyse des jeunes transgenres. Archives of sexual behavior </w:t>
            </w:r>
            <w:r>
              <w:t xml:space="preserve">45(7) : </w:t>
            </w:r>
            <w:r>
              <w:t xml:space="preserve">1697-703</w:t>
            </w:r>
          </w:p>
        </w:tc>
        <w:tc>
          <w:tcPr>
            <w:tcW w:w="2914" w:type="dxa"/>
          </w:tcPr>
          <w:p>
            <w:pPr>
              <w:pStyle w:val="TableParagraph"/>
              <w:ind w:start="107" w:end="624"/>
            </w:pPr>
            <w:r>
              <w:t xml:space="preserve">Résultats - pas dans le </w:t>
            </w:r>
            <w:r>
              <w:t xml:space="preserve">PICO</w:t>
            </w:r>
          </w:p>
        </w:tc>
      </w:tr>
      <w:tr w:rsidR="00432386">
        <w:trPr>
          <w:trHeight w:val="1267"/>
        </w:trPr>
        <w:tc>
          <w:tcPr>
            <w:tcW w:w="6104" w:type="dxa"/>
          </w:tcPr>
          <w:p>
            <w:pPr>
              <w:pStyle w:val="TableParagraph"/>
              <w:spacing w:before="2"/>
              <w:ind w:start="107" w:end="292"/>
            </w:pPr>
            <w:r>
              <w:t xml:space="preserve">Zucker, Kenneth J, Bradley, Susan J, Owen-Anderson, </w:t>
            </w:r>
            <w:r>
              <w:t xml:space="preserve">Allison et al. (2010) Puberty-blocking hormonal therapy for </w:t>
            </w:r>
            <w:r>
              <w:t xml:space="preserve">adolescents with gender identity disorder : Une </w:t>
            </w:r>
            <w:r>
              <w:t xml:space="preserve">étude </w:t>
            </w:r>
            <w:r>
              <w:t xml:space="preserve">clinique </w:t>
            </w:r>
            <w:r>
              <w:t xml:space="preserve">descriptive</w:t>
            </w:r>
            <w:r>
              <w:t xml:space="preserve">. </w:t>
            </w:r>
            <w:r>
              <w:t xml:space="preserve">Journal </w:t>
            </w:r>
            <w:r>
              <w:t xml:space="preserve">of </w:t>
            </w:r>
            <w:r>
              <w:t xml:space="preserve">Gay </w:t>
            </w:r>
            <w:r>
              <w:t xml:space="preserve">&amp; Lesbian </w:t>
            </w:r>
            <w:r>
              <w:t xml:space="preserve">Mental </w:t>
            </w:r>
            <w:r>
              <w:t xml:space="preserve">Health (en anglais)</w:t>
            </w:r>
          </w:p>
          <w:p>
            <w:pPr>
              <w:pStyle w:val="TableParagraph"/>
              <w:spacing w:line="233" w:lineRule="exact"/>
              <w:ind w:start="107"/>
            </w:pPr>
            <w:r>
              <w:t xml:space="preserve">15(1</w:t>
            </w:r>
            <w:r>
              <w:t xml:space="preserve">) : </w:t>
            </w:r>
            <w:r>
              <w:t xml:space="preserve">58-82</w:t>
            </w:r>
          </w:p>
        </w:tc>
        <w:tc>
          <w:tcPr>
            <w:tcW w:w="2914" w:type="dxa"/>
          </w:tcPr>
          <w:p>
            <w:pPr>
              <w:pStyle w:val="TableParagraph"/>
              <w:spacing w:before="2"/>
              <w:ind w:start="107" w:end="380"/>
            </w:pPr>
            <w:r>
              <w:t xml:space="preserve">Intervention - les données relatives aux </w:t>
            </w:r>
            <w:r>
              <w:t xml:space="preserve">analogues de la GnRH ne </w:t>
            </w:r>
            <w:r>
              <w:t xml:space="preserve">sont </w:t>
            </w:r>
            <w:r>
              <w:t xml:space="preserve">pas </w:t>
            </w:r>
            <w:r>
              <w:t xml:space="preserve">rapportées séparément des </w:t>
            </w:r>
            <w:r>
              <w:t xml:space="preserve">autres </w:t>
            </w:r>
            <w:r>
              <w:t xml:space="preserve">interventions.</w:t>
            </w:r>
          </w:p>
        </w:tc>
      </w:tr>
    </w:tbl>
    <w:p w:rsidR="00432386" w:rsidRDefault="00432386">
      <w:pPr>
        <w:sectPr w:rsidR="00432386">
          <w:type w:val="continuous"/>
          <w:pgSz w:w="11910" w:h="16840"/>
          <w:pgMar w:top="1260" w:right="980" w:bottom="1380" w:left="1280" w:header="0" w:footer="1183" w:gutter="0"/>
          <w:cols w:space="720"/>
        </w:sectPr>
      </w:pPr>
    </w:p>
    <w:p w:rsidR="00432386" w:rsidRDefault="00432386">
      <w:pPr>
        <w:pStyle w:val="Corpsdetexte"/>
        <w:spacing w:before="6"/>
        <w:ind w:start="0"/>
        <w:rPr>
          <w:b/>
        </w:rPr>
      </w:pPr>
    </w:p>
    <w:p>
      <w:pPr>
        <w:pStyle w:val="Titre1"/>
        <w:spacing w:before="92"/>
        <w:ind w:start="100"/>
      </w:pPr>
      <w:bookmarkStart w:name="_bookmark17" w:id="18"/>
      <w:bookmarkEnd w:id="18"/>
      <w:r>
        <w:rPr>
          <w:color w:val="365F91"/>
        </w:rPr>
        <w:t xml:space="preserve">Annexe </w:t>
      </w:r>
      <w:r>
        <w:rPr>
          <w:color w:val="365F91"/>
        </w:rPr>
        <w:t xml:space="preserve">E </w:t>
      </w:r>
      <w:r>
        <w:rPr>
          <w:color w:val="365F91"/>
        </w:rPr>
        <w:t xml:space="preserve">Tableaux de </w:t>
      </w:r>
      <w:r>
        <w:rPr>
          <w:color w:val="365F91"/>
        </w:rPr>
        <w:t xml:space="preserve">données probantes</w:t>
      </w:r>
    </w:p>
    <w:p w:rsidR="00432386" w:rsidRDefault="00432386">
      <w:pPr>
        <w:pStyle w:val="Corpsdetexte"/>
        <w:spacing w:before="0"/>
        <w:ind w:start="0"/>
        <w:rPr>
          <w:b/>
          <w:sz w:val="21"/>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86"/>
        <w:gridCol w:w="2564"/>
        <w:gridCol w:w="2127"/>
        <w:gridCol w:w="3858"/>
        <w:gridCol w:w="3405"/>
      </w:tblGrid>
      <w:tr w:rsidR="00432386">
        <w:trPr>
          <w:trHeight w:val="282"/>
        </w:trPr>
        <w:tc>
          <w:tcPr>
            <w:tcW w:w="2986"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2564" w:type="dxa"/>
            <w:shd w:val="clear" w:color="auto" w:fill="8DB3E1"/>
          </w:tcPr>
          <w:p>
            <w:pPr>
              <w:pStyle w:val="TableParagraph"/>
              <w:spacing w:line="229" w:lineRule="exact"/>
              <w:ind w:start="107"/>
              <w:rPr>
                <w:b/>
                <w:sz w:val="20"/>
              </w:rPr>
            </w:pPr>
            <w:r>
              <w:rPr>
                <w:b/>
                <w:sz w:val="20"/>
              </w:rPr>
              <w:t xml:space="preserve">Population</w:t>
            </w:r>
          </w:p>
        </w:tc>
        <w:tc>
          <w:tcPr>
            <w:tcW w:w="2127" w:type="dxa"/>
            <w:shd w:val="clear" w:color="auto" w:fill="8DB3E1"/>
          </w:tcPr>
          <w:p>
            <w:pPr>
              <w:pStyle w:val="TableParagraph"/>
              <w:spacing w:line="229" w:lineRule="exact"/>
              <w:ind w:start="107"/>
              <w:rPr>
                <w:b/>
                <w:sz w:val="20"/>
              </w:rPr>
            </w:pPr>
            <w:r>
              <w:rPr>
                <w:b/>
                <w:sz w:val="20"/>
              </w:rPr>
              <w:t xml:space="preserve">Interventions</w:t>
            </w:r>
          </w:p>
        </w:tc>
        <w:tc>
          <w:tcPr>
            <w:tcW w:w="3858"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405" w:type="dxa"/>
            <w:shd w:val="clear" w:color="auto" w:fill="8DB3E1"/>
          </w:tcPr>
          <w:p>
            <w:pPr>
              <w:pStyle w:val="TableParagraph"/>
              <w:spacing w:line="229" w:lineRule="exact"/>
              <w:ind w:start="106"/>
              <w:rPr>
                <w:b/>
                <w:sz w:val="20"/>
              </w:rPr>
            </w:pPr>
            <w:r>
              <w:rPr>
                <w:b/>
                <w:sz w:val="20"/>
              </w:rPr>
              <w:t xml:space="preserve">Évaluation </w:t>
            </w:r>
            <w:r>
              <w:rPr>
                <w:b/>
                <w:sz w:val="20"/>
              </w:rPr>
              <w:t xml:space="preserve">et </w:t>
            </w:r>
            <w:r>
              <w:rPr>
                <w:b/>
                <w:sz w:val="20"/>
              </w:rPr>
              <w:t xml:space="preserve">financement</w:t>
            </w:r>
          </w:p>
        </w:tc>
      </w:tr>
      <w:tr w:rsidR="00432386">
        <w:trPr>
          <w:trHeight w:val="8050"/>
        </w:trPr>
        <w:tc>
          <w:tcPr>
            <w:tcW w:w="2986" w:type="dxa"/>
            <w:tcBorders>
              <w:bottom w:val="single" w:color="000000" w:sz="6" w:space="0"/>
            </w:tcBorders>
          </w:tcPr>
          <w:p>
            <w:pPr>
              <w:pStyle w:val="TableParagraph"/>
              <w:ind w:start="107" w:end="99"/>
              <w:rPr>
                <w:sz w:val="20"/>
              </w:rPr>
            </w:pPr>
            <w:r>
              <w:rPr>
                <w:sz w:val="20"/>
              </w:rPr>
              <w:t xml:space="preserve">Brik T, Vrouenraets L, de Vries </w:t>
            </w:r>
            <w:r>
              <w:rPr>
                <w:sz w:val="20"/>
              </w:rPr>
              <w:t xml:space="preserve">M, et al. (2020) </w:t>
            </w:r>
            <w:hyperlink r:id="rId257">
              <w:r>
                <w:rPr>
                  <w:color w:val="0000FF"/>
                  <w:sz w:val="20"/>
                  <w:u w:val="single" w:color="0000FF"/>
                </w:rPr>
                <w:t xml:space="preserve">Trajectoires d'</w:t>
              </w:r>
            </w:hyperlink>
            <w:hyperlink r:id="rId258">
              <w:r>
                <w:rPr>
                  <w:color w:val="0000FF"/>
                  <w:sz w:val="20"/>
                  <w:u w:val="single" w:color="0000FF"/>
                </w:rPr>
                <w:t xml:space="preserve">adolescents traités par </w:t>
              </w:r>
            </w:hyperlink>
            <w:hyperlink r:id="rId260">
              <w:r>
                <w:rPr>
                  <w:color w:val="0000FF"/>
                  <w:sz w:val="20"/>
                  <w:u w:val="single" w:color="0000FF"/>
                </w:rPr>
                <w:t xml:space="preserve">analogues de l'hormone de </w:t>
              </w:r>
            </w:hyperlink>
            <w:hyperlink r:id="rId259">
              <w:r>
                <w:rPr>
                  <w:color w:val="0000FF"/>
                  <w:sz w:val="20"/>
                  <w:u w:val="single" w:color="0000FF"/>
                </w:rPr>
                <w:t xml:space="preserve">libération de la gonadotrophine </w:t>
              </w:r>
            </w:hyperlink>
            <w:hyperlink r:id="rId260">
              <w:r>
                <w:rPr>
                  <w:color w:val="0000FF"/>
                  <w:sz w:val="20"/>
                  <w:u w:val="single" w:color="0000FF"/>
                </w:rPr>
                <w:t xml:space="preserve">pour la </w:t>
              </w:r>
            </w:hyperlink>
            <w:hyperlink r:id="rId261">
              <w:r>
                <w:rPr>
                  <w:color w:val="0000FF"/>
                  <w:sz w:val="20"/>
                  <w:u w:val="single" w:color="0000FF"/>
                </w:rPr>
                <w:t xml:space="preserve">dysphorie de </w:t>
              </w:r>
            </w:hyperlink>
            <w:hyperlink r:id="rId260">
              <w:r>
                <w:rPr>
                  <w:color w:val="0000FF"/>
                  <w:sz w:val="20"/>
                  <w:u w:val="single" w:color="0000FF"/>
                </w:rPr>
                <w:t xml:space="preserve">genre</w:t>
              </w:r>
            </w:hyperlink>
            <w:hyperlink r:id="rId261">
              <w:r>
                <w:rPr>
                  <w:sz w:val="20"/>
                </w:rPr>
                <w:t xml:space="preserve">. </w:t>
              </w:r>
            </w:hyperlink>
            <w:r>
              <w:rPr>
                <w:sz w:val="20"/>
              </w:rPr>
              <w:t xml:space="preserve">Archives of Sexual </w:t>
            </w:r>
            <w:r>
              <w:rPr>
                <w:sz w:val="20"/>
              </w:rPr>
              <w:t xml:space="preserve">Behaviour </w:t>
            </w:r>
            <w:r>
              <w:rPr>
                <w:spacing w:val="-1"/>
                <w:sz w:val="20"/>
              </w:rPr>
              <w:t xml:space="preserve">https://doi.org/10.1007/s10508- </w:t>
            </w:r>
            <w:r>
              <w:rPr>
                <w:sz w:val="20"/>
              </w:rPr>
              <w:t xml:space="preserve">020-01660-8</w:t>
            </w:r>
          </w:p>
          <w:p w:rsidR="00432386" w:rsidRDefault="00432386">
            <w:pPr>
              <w:pStyle w:val="TableParagraph"/>
              <w:spacing w:before="1"/>
              <w:rPr>
                <w:b/>
                <w:sz w:val="20"/>
              </w:rPr>
            </w:pPr>
          </w:p>
          <w:p>
            <w:pPr>
              <w:pStyle w:val="TableParagraph"/>
              <w:ind w:start="107"/>
              <w:rPr>
                <w:sz w:val="20"/>
              </w:rPr>
            </w:pPr>
            <w:r>
              <w:rPr>
                <w:sz w:val="20"/>
              </w:rPr>
              <w:t xml:space="preserve">Pays-Bas</w:t>
            </w:r>
          </w:p>
          <w:p w:rsidR="00432386" w:rsidRDefault="00432386">
            <w:pPr>
              <w:pStyle w:val="TableParagraph"/>
              <w:spacing w:before="10"/>
              <w:rPr>
                <w:b/>
                <w:sz w:val="19"/>
              </w:rPr>
            </w:pPr>
          </w:p>
          <w:p>
            <w:pPr>
              <w:pStyle w:val="TableParagraph"/>
              <w:ind w:start="107" w:end="400"/>
              <w:rPr>
                <w:sz w:val="20"/>
              </w:rPr>
            </w:pPr>
            <w:r>
              <w:rPr>
                <w:sz w:val="20"/>
              </w:rPr>
              <w:t xml:space="preserve">Étude </w:t>
            </w:r>
            <w:r>
              <w:rPr>
                <w:spacing w:val="-1"/>
                <w:sz w:val="20"/>
              </w:rPr>
              <w:t xml:space="preserve">rétrospective </w:t>
            </w:r>
            <w:r>
              <w:rPr>
                <w:sz w:val="20"/>
              </w:rPr>
              <w:t xml:space="preserve">observationnelle </w:t>
            </w:r>
            <w:r>
              <w:rPr>
                <w:sz w:val="20"/>
              </w:rPr>
              <w:t xml:space="preserve">monocentrique</w:t>
            </w:r>
          </w:p>
          <w:p w:rsidR="00432386" w:rsidRDefault="00432386">
            <w:pPr>
              <w:pStyle w:val="TableParagraph"/>
              <w:spacing w:before="2"/>
              <w:rPr>
                <w:b/>
                <w:sz w:val="20"/>
              </w:rPr>
            </w:pPr>
          </w:p>
          <w:p>
            <w:pPr>
              <w:pStyle w:val="TableParagraph"/>
              <w:ind w:start="107" w:end="177"/>
              <w:rPr>
                <w:sz w:val="20"/>
              </w:rPr>
            </w:pPr>
            <w:r>
              <w:rPr>
                <w:sz w:val="20"/>
              </w:rPr>
              <w:t xml:space="preserve">Documenter les trajectoires après l'</w:t>
            </w:r>
            <w:r>
              <w:rPr>
                <w:sz w:val="20"/>
              </w:rPr>
              <w:t xml:space="preserve">initiation des </w:t>
            </w:r>
            <w:r>
              <w:rPr>
                <w:sz w:val="20"/>
              </w:rPr>
              <w:t xml:space="preserve">analogues de la </w:t>
            </w:r>
            <w:r>
              <w:rPr>
                <w:sz w:val="20"/>
              </w:rPr>
              <w:t xml:space="preserve">GnRH </w:t>
            </w:r>
            <w:r>
              <w:rPr>
                <w:sz w:val="20"/>
              </w:rPr>
              <w:t xml:space="preserve">et </w:t>
            </w:r>
            <w:r>
              <w:rPr>
                <w:sz w:val="20"/>
              </w:rPr>
              <w:t xml:space="preserve">explorer les </w:t>
            </w:r>
            <w:r>
              <w:rPr>
                <w:sz w:val="20"/>
              </w:rPr>
              <w:t xml:space="preserve">raisons </w:t>
            </w:r>
            <w:r>
              <w:rPr>
                <w:sz w:val="20"/>
              </w:rPr>
              <w:t xml:space="preserve">de l'utilisation prolongée et de l'</w:t>
            </w:r>
            <w:r>
              <w:rPr>
                <w:sz w:val="20"/>
              </w:rPr>
              <w:t xml:space="preserve">arrêt des </w:t>
            </w:r>
            <w:r>
              <w:rPr>
                <w:sz w:val="20"/>
              </w:rPr>
              <w:t xml:space="preserve">analogues de la </w:t>
            </w:r>
            <w:r>
              <w:rPr>
                <w:sz w:val="20"/>
              </w:rPr>
              <w:t xml:space="preserve">GnRH</w:t>
            </w:r>
            <w:r>
              <w:rPr>
                <w:sz w:val="20"/>
              </w:rPr>
              <w:t xml:space="preserve">.</w:t>
            </w:r>
          </w:p>
          <w:p w:rsidR="00432386" w:rsidRDefault="00432386">
            <w:pPr>
              <w:pStyle w:val="TableParagraph"/>
              <w:rPr>
                <w:b/>
                <w:sz w:val="20"/>
              </w:rPr>
            </w:pPr>
          </w:p>
          <w:p>
            <w:pPr>
              <w:pStyle w:val="TableParagraph"/>
              <w:spacing w:before="1"/>
              <w:ind w:start="107" w:end="241"/>
              <w:rPr>
                <w:sz w:val="20"/>
              </w:rPr>
            </w:pPr>
            <w:r>
              <w:rPr>
                <w:sz w:val="20"/>
              </w:rPr>
              <w:t xml:space="preserve">Comprend les participants vus </w:t>
            </w:r>
            <w:r>
              <w:rPr>
                <w:sz w:val="20"/>
              </w:rPr>
              <w:t xml:space="preserve">entre </w:t>
            </w:r>
            <w:r>
              <w:rPr>
                <w:sz w:val="20"/>
              </w:rPr>
              <w:t xml:space="preserve">novembre </w:t>
            </w:r>
            <w:r>
              <w:rPr>
                <w:sz w:val="20"/>
              </w:rPr>
              <w:t xml:space="preserve">2010 </w:t>
            </w:r>
            <w:r>
              <w:rPr>
                <w:sz w:val="20"/>
              </w:rPr>
              <w:t xml:space="preserve">et </w:t>
            </w:r>
            <w:r>
              <w:rPr>
                <w:sz w:val="20"/>
              </w:rPr>
              <w:t xml:space="preserve">le 1er </w:t>
            </w:r>
            <w:r>
              <w:rPr>
                <w:sz w:val="20"/>
              </w:rPr>
              <w:t xml:space="preserve">janvier </w:t>
            </w:r>
            <w:r>
              <w:rPr>
                <w:sz w:val="20"/>
              </w:rPr>
              <w:t xml:space="preserve">2018.</w:t>
            </w:r>
          </w:p>
        </w:tc>
        <w:tc>
          <w:tcPr>
            <w:tcW w:w="2564" w:type="dxa"/>
            <w:tcBorders>
              <w:bottom w:val="single" w:color="000000" w:sz="6" w:space="0"/>
            </w:tcBorders>
          </w:tcPr>
          <w:p>
            <w:pPr>
              <w:pStyle w:val="TableParagraph"/>
              <w:ind w:start="107" w:end="279"/>
              <w:rPr>
                <w:sz w:val="20"/>
              </w:rPr>
            </w:pPr>
            <w:r>
              <w:rPr>
                <w:sz w:val="20"/>
              </w:rPr>
              <w:t xml:space="preserve">Les critères d'inclusion étaient les </w:t>
            </w:r>
            <w:r>
              <w:rPr>
                <w:sz w:val="20"/>
              </w:rPr>
              <w:t xml:space="preserve">adolescents </w:t>
            </w:r>
            <w:r>
              <w:rPr>
                <w:sz w:val="20"/>
              </w:rPr>
              <w:t xml:space="preserve">souffrant de </w:t>
            </w:r>
            <w:r>
              <w:rPr>
                <w:sz w:val="20"/>
              </w:rPr>
              <w:t xml:space="preserve">dysphorie </w:t>
            </w:r>
            <w:r>
              <w:rPr>
                <w:sz w:val="20"/>
              </w:rPr>
              <w:t xml:space="preserve">de genre</w:t>
            </w:r>
            <w:r>
              <w:rPr>
                <w:sz w:val="20"/>
              </w:rPr>
              <w:t xml:space="preserve">, selon les </w:t>
            </w:r>
            <w:r>
              <w:rPr>
                <w:sz w:val="20"/>
              </w:rPr>
              <w:t xml:space="preserve">critères du </w:t>
            </w:r>
            <w:r>
              <w:rPr>
                <w:sz w:val="20"/>
              </w:rPr>
              <w:t xml:space="preserve">DSM-5</w:t>
            </w:r>
            <w:r>
              <w:rPr>
                <w:sz w:val="20"/>
              </w:rPr>
              <w:t xml:space="preserve">, </w:t>
            </w:r>
            <w:r>
              <w:rPr>
                <w:sz w:val="20"/>
              </w:rPr>
              <w:t xml:space="preserve">vus </w:t>
            </w:r>
            <w:r>
              <w:rPr>
                <w:sz w:val="20"/>
              </w:rPr>
              <w:t xml:space="preserve">dans le centre unique et </w:t>
            </w:r>
            <w:r>
              <w:rPr>
                <w:sz w:val="20"/>
              </w:rPr>
              <w:t xml:space="preserve">traités par des </w:t>
            </w:r>
            <w:r>
              <w:rPr>
                <w:sz w:val="20"/>
              </w:rPr>
              <w:t xml:space="preserve">analogues de la </w:t>
            </w:r>
            <w:r>
              <w:rPr>
                <w:sz w:val="20"/>
              </w:rPr>
              <w:t xml:space="preserve">GnRH </w:t>
            </w:r>
            <w:r>
              <w:rPr>
                <w:sz w:val="20"/>
              </w:rPr>
              <w:t xml:space="preserve">entre </w:t>
            </w:r>
            <w:r>
              <w:rPr>
                <w:sz w:val="20"/>
              </w:rPr>
              <w:t xml:space="preserve">novembre </w:t>
            </w:r>
            <w:r>
              <w:rPr>
                <w:sz w:val="20"/>
              </w:rPr>
              <w:t xml:space="preserve">2010 </w:t>
            </w:r>
            <w:r>
              <w:rPr>
                <w:sz w:val="20"/>
              </w:rPr>
              <w:t xml:space="preserve">et mars 2010</w:t>
            </w:r>
            <w:r>
              <w:rPr>
                <w:sz w:val="20"/>
              </w:rPr>
              <w:t xml:space="preserve">.</w:t>
            </w:r>
          </w:p>
          <w:p>
            <w:pPr>
              <w:pStyle w:val="TableParagraph"/>
              <w:spacing w:before="1"/>
              <w:ind w:start="107"/>
              <w:rPr>
                <w:sz w:val="20"/>
              </w:rPr>
            </w:pPr>
            <w:r>
              <w:rPr>
                <w:sz w:val="20"/>
              </w:rPr>
              <w:t xml:space="preserve">Le </w:t>
            </w:r>
            <w:r>
              <w:rPr>
                <w:sz w:val="20"/>
              </w:rPr>
              <w:t xml:space="preserve">1er </w:t>
            </w:r>
            <w:r>
              <w:rPr>
                <w:sz w:val="20"/>
              </w:rPr>
              <w:t xml:space="preserve">janvier </w:t>
            </w:r>
            <w:r>
              <w:rPr>
                <w:sz w:val="20"/>
              </w:rPr>
              <w:t xml:space="preserve">2018.</w:t>
            </w:r>
          </w:p>
          <w:p w:rsidR="00432386" w:rsidRDefault="00432386">
            <w:pPr>
              <w:pStyle w:val="TableParagraph"/>
              <w:rPr>
                <w:b/>
                <w:sz w:val="20"/>
              </w:rPr>
            </w:pPr>
          </w:p>
          <w:p>
            <w:pPr>
              <w:pStyle w:val="TableParagraph"/>
              <w:ind w:start="107" w:end="158"/>
              <w:rPr>
                <w:sz w:val="20"/>
              </w:rPr>
            </w:pPr>
            <w:r>
              <w:rPr>
                <w:sz w:val="20"/>
              </w:rPr>
              <w:t xml:space="preserve">L'étude a exclu les </w:t>
            </w:r>
            <w:r>
              <w:rPr>
                <w:sz w:val="20"/>
              </w:rPr>
              <w:t xml:space="preserve">adolescents sans </w:t>
            </w:r>
            <w:r>
              <w:rPr>
                <w:sz w:val="20"/>
              </w:rPr>
              <w:t xml:space="preserve">diagnostic de </w:t>
            </w:r>
            <w:r>
              <w:rPr>
                <w:sz w:val="20"/>
              </w:rPr>
              <w:t xml:space="preserve">dysphorie </w:t>
            </w:r>
            <w:r>
              <w:rPr>
                <w:sz w:val="20"/>
              </w:rPr>
              <w:t xml:space="preserve">de genre</w:t>
            </w:r>
            <w:r>
              <w:rPr>
                <w:sz w:val="20"/>
              </w:rPr>
              <w:t xml:space="preserve">, </w:t>
            </w:r>
            <w:r>
              <w:rPr>
                <w:sz w:val="20"/>
              </w:rPr>
              <w:t xml:space="preserve">ceux </w:t>
            </w:r>
            <w:r>
              <w:rPr>
                <w:sz w:val="20"/>
              </w:rPr>
              <w:t xml:space="preserve">qui </w:t>
            </w:r>
            <w:r>
              <w:rPr>
                <w:sz w:val="20"/>
              </w:rPr>
              <w:t xml:space="preserve">présentaient des </w:t>
            </w:r>
            <w:r>
              <w:rPr>
                <w:sz w:val="20"/>
              </w:rPr>
              <w:t xml:space="preserve">problèmes coexistants </w:t>
            </w:r>
            <w:r>
              <w:rPr>
                <w:sz w:val="20"/>
              </w:rPr>
              <w:t xml:space="preserve">interférant avec le </w:t>
            </w:r>
            <w:r>
              <w:rPr>
                <w:sz w:val="20"/>
              </w:rPr>
              <w:t xml:space="preserve">processus de </w:t>
            </w:r>
            <w:r>
              <w:rPr>
                <w:sz w:val="20"/>
              </w:rPr>
              <w:t xml:space="preserve">diagnostic </w:t>
            </w:r>
            <w:r>
              <w:rPr>
                <w:sz w:val="20"/>
              </w:rPr>
              <w:t xml:space="preserve">et/ou </w:t>
            </w:r>
            <w:r>
              <w:rPr>
                <w:sz w:val="20"/>
              </w:rPr>
              <w:t xml:space="preserve">susceptibles d'interférer avec la </w:t>
            </w:r>
            <w:r>
              <w:rPr>
                <w:sz w:val="20"/>
              </w:rPr>
              <w:t xml:space="preserve">réussite du traitement (non </w:t>
            </w:r>
            <w:r>
              <w:rPr>
                <w:sz w:val="20"/>
              </w:rPr>
              <w:t xml:space="preserve">définis plus avant), les </w:t>
            </w:r>
            <w:r>
              <w:rPr>
                <w:sz w:val="20"/>
              </w:rPr>
              <w:t xml:space="preserve">adolescents ne souhaitant pas prendre d'</w:t>
            </w:r>
            <w:r>
              <w:rPr>
                <w:sz w:val="20"/>
              </w:rPr>
              <w:t xml:space="preserve">hormones, ceux dont </w:t>
            </w:r>
            <w:r>
              <w:rPr>
                <w:sz w:val="20"/>
              </w:rPr>
              <w:t xml:space="preserve">le diagnostic était en cours d'</w:t>
            </w:r>
            <w:r>
              <w:rPr>
                <w:sz w:val="20"/>
              </w:rPr>
              <w:t xml:space="preserve">évaluation et ceux qui </w:t>
            </w:r>
            <w:r>
              <w:rPr>
                <w:sz w:val="20"/>
              </w:rPr>
              <w:t xml:space="preserve">ne se rendaient pas aux </w:t>
            </w:r>
            <w:r>
              <w:rPr>
                <w:sz w:val="20"/>
              </w:rPr>
              <w:t xml:space="preserve">rendez-vous.</w:t>
            </w:r>
          </w:p>
          <w:p w:rsidR="00432386" w:rsidRDefault="00432386">
            <w:pPr>
              <w:pStyle w:val="TableParagraph"/>
              <w:spacing w:before="1"/>
              <w:rPr>
                <w:b/>
                <w:sz w:val="20"/>
              </w:rPr>
            </w:pPr>
          </w:p>
          <w:p>
            <w:pPr>
              <w:pStyle w:val="TableParagraph"/>
              <w:ind w:start="107" w:end="216"/>
              <w:rPr>
                <w:sz w:val="20"/>
              </w:rPr>
            </w:pPr>
            <w:r>
              <w:rPr>
                <w:sz w:val="20"/>
              </w:rPr>
              <w:t xml:space="preserve">L'échantillon était composé de </w:t>
            </w:r>
            <w:r>
              <w:rPr>
                <w:sz w:val="20"/>
              </w:rPr>
              <w:t xml:space="preserve">143 </w:t>
            </w:r>
            <w:r>
              <w:rPr>
                <w:sz w:val="20"/>
              </w:rPr>
              <w:t xml:space="preserve">adolescents </w:t>
            </w:r>
            <w:r>
              <w:rPr>
                <w:sz w:val="20"/>
              </w:rPr>
              <w:t xml:space="preserve">répondant aux </w:t>
            </w:r>
            <w:r>
              <w:rPr>
                <w:sz w:val="20"/>
              </w:rPr>
              <w:t xml:space="preserve">critères d'</w:t>
            </w:r>
            <w:r>
              <w:rPr>
                <w:sz w:val="20"/>
              </w:rPr>
              <w:t xml:space="preserve">inclusion/exclusion</w:t>
            </w:r>
            <w:r>
              <w:rPr>
                <w:sz w:val="20"/>
              </w:rPr>
              <w:t xml:space="preserve">, dont </w:t>
            </w:r>
            <w:r>
              <w:rPr>
                <w:sz w:val="20"/>
              </w:rPr>
              <w:t xml:space="preserve">38 </w:t>
            </w:r>
            <w:r>
              <w:rPr>
                <w:sz w:val="20"/>
              </w:rPr>
              <w:t xml:space="preserve">transfemmes,</w:t>
            </w:r>
          </w:p>
          <w:p>
            <w:pPr>
              <w:pStyle w:val="TableParagraph"/>
              <w:ind w:start="107"/>
              <w:rPr>
                <w:sz w:val="20"/>
              </w:rPr>
            </w:pPr>
            <w:r>
              <w:rPr>
                <w:sz w:val="20"/>
              </w:rPr>
              <w:t xml:space="preserve">105 transmales, dont l'</w:t>
            </w:r>
            <w:r>
              <w:rPr>
                <w:sz w:val="20"/>
              </w:rPr>
              <w:t xml:space="preserve">âge </w:t>
            </w:r>
            <w:r>
              <w:rPr>
                <w:sz w:val="20"/>
              </w:rPr>
              <w:t xml:space="preserve">médian </w:t>
            </w:r>
            <w:r>
              <w:rPr>
                <w:sz w:val="20"/>
              </w:rPr>
              <w:t xml:space="preserve">est de </w:t>
            </w:r>
            <w:r>
              <w:rPr>
                <w:sz w:val="20"/>
              </w:rPr>
              <w:t xml:space="preserve">15,0 ans.</w:t>
            </w:r>
          </w:p>
          <w:p>
            <w:pPr>
              <w:pStyle w:val="TableParagraph"/>
              <w:spacing w:line="228" w:lineRule="exact"/>
              <w:ind w:start="107" w:end="209"/>
              <w:rPr>
                <w:sz w:val="20"/>
              </w:rPr>
            </w:pPr>
            <w:r>
              <w:rPr>
                <w:sz w:val="20"/>
              </w:rPr>
              <w:t xml:space="preserve">ans </w:t>
            </w:r>
            <w:r>
              <w:rPr>
                <w:sz w:val="20"/>
              </w:rPr>
              <w:t xml:space="preserve">(intervalle de </w:t>
            </w:r>
            <w:r>
              <w:rPr>
                <w:sz w:val="20"/>
              </w:rPr>
              <w:t xml:space="preserve">11,1 </w:t>
            </w:r>
            <w:r>
              <w:rPr>
                <w:sz w:val="20"/>
              </w:rPr>
              <w:t xml:space="preserve">à </w:t>
            </w:r>
            <w:r>
              <w:rPr>
                <w:sz w:val="20"/>
              </w:rPr>
              <w:t xml:space="preserve">18,6 </w:t>
            </w:r>
            <w:r>
              <w:rPr>
                <w:sz w:val="20"/>
              </w:rPr>
              <w:t xml:space="preserve">ans) </w:t>
            </w:r>
            <w:r>
              <w:rPr>
                <w:sz w:val="20"/>
              </w:rPr>
              <w:t xml:space="preserve">et </w:t>
            </w:r>
            <w:r>
              <w:rPr>
                <w:sz w:val="20"/>
              </w:rPr>
              <w:t xml:space="preserve">16,1 </w:t>
            </w:r>
            <w:r>
              <w:rPr>
                <w:sz w:val="20"/>
              </w:rPr>
              <w:t xml:space="preserve">ans</w:t>
            </w:r>
          </w:p>
        </w:tc>
        <w:tc>
          <w:tcPr>
            <w:tcW w:w="2127" w:type="dxa"/>
            <w:tcBorders>
              <w:bottom w:val="single" w:color="000000" w:sz="6" w:space="0"/>
            </w:tcBorders>
          </w:tcPr>
          <w:p>
            <w:pPr>
              <w:pStyle w:val="TableParagraph"/>
              <w:ind w:start="107" w:end="205"/>
              <w:rPr>
                <w:sz w:val="20"/>
              </w:rPr>
            </w:pPr>
            <w:r>
              <w:rPr>
                <w:sz w:val="20"/>
              </w:rPr>
              <w:t xml:space="preserve">L'</w:t>
            </w:r>
            <w:r>
              <w:rPr>
                <w:sz w:val="20"/>
              </w:rPr>
              <w:t xml:space="preserve">étude </w:t>
            </w:r>
            <w:r>
              <w:rPr>
                <w:sz w:val="20"/>
              </w:rPr>
              <w:t xml:space="preserve">indique </w:t>
            </w:r>
            <w:r>
              <w:rPr>
                <w:sz w:val="20"/>
              </w:rPr>
              <w:t xml:space="preserve">seulement </w:t>
            </w:r>
            <w:r>
              <w:rPr>
                <w:sz w:val="20"/>
              </w:rPr>
              <w:t xml:space="preserve">que </w:t>
            </w:r>
            <w:r>
              <w:rPr>
                <w:sz w:val="20"/>
              </w:rPr>
              <w:t xml:space="preserve">des analogues de la </w:t>
            </w:r>
            <w:r>
              <w:rPr>
                <w:sz w:val="20"/>
              </w:rPr>
              <w:t xml:space="preserve">GnRH </w:t>
            </w:r>
            <w:r>
              <w:rPr>
                <w:sz w:val="20"/>
              </w:rPr>
              <w:t xml:space="preserve">ont été </w:t>
            </w:r>
            <w:r>
              <w:rPr>
                <w:sz w:val="20"/>
              </w:rPr>
              <w:t xml:space="preserve">administrés, sans préciser le </w:t>
            </w:r>
            <w:r>
              <w:rPr>
                <w:sz w:val="20"/>
              </w:rPr>
              <w:t xml:space="preserve">médicament, la </w:t>
            </w:r>
            <w:r>
              <w:rPr>
                <w:sz w:val="20"/>
              </w:rPr>
              <w:t xml:space="preserve">dose, la </w:t>
            </w:r>
            <w:r>
              <w:rPr>
                <w:sz w:val="20"/>
              </w:rPr>
              <w:t xml:space="preserve">voie </w:t>
            </w:r>
            <w:r>
              <w:rPr>
                <w:sz w:val="20"/>
              </w:rPr>
              <w:t xml:space="preserve">ou la </w:t>
            </w:r>
            <w:r>
              <w:rPr>
                <w:sz w:val="20"/>
              </w:rPr>
              <w:t xml:space="preserve">fréquence d'</w:t>
            </w:r>
            <w:r>
              <w:rPr>
                <w:sz w:val="20"/>
              </w:rPr>
              <w:t xml:space="preserve">administration</w:t>
            </w:r>
            <w:r>
              <w:rPr>
                <w:sz w:val="20"/>
              </w:rPr>
              <w:t xml:space="preserve">.</w:t>
            </w:r>
          </w:p>
          <w:p w:rsidR="00432386" w:rsidRDefault="00432386">
            <w:pPr>
              <w:pStyle w:val="TableParagraph"/>
              <w:spacing w:before="1"/>
              <w:rPr>
                <w:b/>
                <w:sz w:val="20"/>
              </w:rPr>
            </w:pPr>
          </w:p>
          <w:p>
            <w:pPr>
              <w:pStyle w:val="TableParagraph"/>
              <w:ind w:start="107" w:end="335"/>
              <w:rPr>
                <w:sz w:val="20"/>
              </w:rPr>
            </w:pPr>
            <w:r>
              <w:rPr>
                <w:sz w:val="20"/>
              </w:rPr>
              <w:t xml:space="preserve">Aucune </w:t>
            </w:r>
            <w:r>
              <w:rPr>
                <w:sz w:val="20"/>
              </w:rPr>
              <w:t xml:space="preserve">cohorte de </w:t>
            </w:r>
            <w:r>
              <w:rPr>
                <w:sz w:val="20"/>
              </w:rPr>
              <w:t xml:space="preserve">comparaison n'a </w:t>
            </w:r>
            <w:r>
              <w:rPr>
                <w:sz w:val="20"/>
              </w:rPr>
              <w:t xml:space="preserve">été </w:t>
            </w:r>
            <w:r>
              <w:rPr>
                <w:sz w:val="20"/>
              </w:rPr>
              <w:t xml:space="preserve">utilisée </w:t>
            </w:r>
            <w:r>
              <w:rPr>
                <w:sz w:val="20"/>
              </w:rPr>
              <w:t xml:space="preserve">dans l</w:t>
            </w:r>
            <w:r>
              <w:rPr>
                <w:sz w:val="20"/>
              </w:rPr>
              <w:t xml:space="preserve">'</w:t>
            </w:r>
            <w:r>
              <w:rPr>
                <w:sz w:val="20"/>
              </w:rPr>
              <w:t xml:space="preserve">étude.</w:t>
            </w:r>
          </w:p>
          <w:p w:rsidR="00432386" w:rsidRDefault="00432386">
            <w:pPr>
              <w:pStyle w:val="TableParagraph"/>
              <w:spacing w:before="11"/>
              <w:rPr>
                <w:b/>
                <w:sz w:val="19"/>
              </w:rPr>
            </w:pPr>
          </w:p>
          <w:p>
            <w:pPr>
              <w:pStyle w:val="TableParagraph"/>
              <w:ind w:start="107" w:end="163"/>
              <w:rPr>
                <w:sz w:val="20"/>
              </w:rPr>
            </w:pPr>
            <w:r>
              <w:rPr>
                <w:sz w:val="20"/>
              </w:rPr>
              <w:t xml:space="preserve">Le </w:t>
            </w:r>
            <w:r>
              <w:rPr>
                <w:sz w:val="20"/>
              </w:rPr>
              <w:t xml:space="preserve">suivi </w:t>
            </w:r>
            <w:r>
              <w:rPr>
                <w:sz w:val="20"/>
              </w:rPr>
              <w:t xml:space="preserve">était </w:t>
            </w:r>
            <w:r>
              <w:rPr>
                <w:sz w:val="20"/>
              </w:rPr>
              <w:t xml:space="preserve">de </w:t>
            </w:r>
            <w:r>
              <w:rPr>
                <w:sz w:val="20"/>
              </w:rPr>
              <w:t xml:space="preserve">(jusqu'à</w:t>
            </w:r>
            <w:r>
              <w:rPr>
                <w:sz w:val="20"/>
              </w:rPr>
              <w:t xml:space="preserve">) 9 ans (dernier </w:t>
            </w:r>
            <w:r>
              <w:rPr>
                <w:sz w:val="20"/>
              </w:rPr>
              <w:t xml:space="preserve">suivi </w:t>
            </w:r>
            <w:r>
              <w:rPr>
                <w:sz w:val="20"/>
              </w:rPr>
              <w:t xml:space="preserve">en juillet </w:t>
            </w:r>
            <w:r>
              <w:rPr>
                <w:sz w:val="20"/>
              </w:rPr>
              <w:t xml:space="preserve">2019).</w:t>
            </w:r>
          </w:p>
        </w:tc>
        <w:tc>
          <w:tcPr>
            <w:tcW w:w="3858" w:type="dxa"/>
            <w:tcBorders>
              <w:bottom w:val="single" w:color="000000" w:sz="6" w:space="0"/>
            </w:tcBorders>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ind w:start="106"/>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
              <w:rPr>
                <w:b/>
                <w:sz w:val="20"/>
              </w:rPr>
            </w:pPr>
          </w:p>
          <w:p>
            <w:pPr>
              <w:pStyle w:val="TableParagraph"/>
              <w:ind w:start="106" w:end="1763"/>
              <w:jc w:val="both"/>
              <w:rPr>
                <w:sz w:val="20"/>
              </w:rPr>
            </w:pPr>
            <w:r>
              <w:rPr>
                <w:b/>
                <w:sz w:val="20"/>
              </w:rPr>
              <w:t xml:space="preserve">Résultats importants </w:t>
            </w:r>
            <w:r>
              <w:rPr>
                <w:b/>
                <w:i/>
                <w:sz w:val="20"/>
              </w:rPr>
              <w:t xml:space="preserve">Impact psychosocial </w:t>
            </w:r>
            <w:r>
              <w:rPr>
                <w:sz w:val="20"/>
              </w:rPr>
              <w:t xml:space="preserve">Non </w:t>
            </w:r>
            <w:r>
              <w:rPr>
                <w:sz w:val="20"/>
              </w:rPr>
              <w:t xml:space="preserve">évalué.</w:t>
            </w:r>
          </w:p>
          <w:p w:rsidR="00432386" w:rsidRDefault="00432386">
            <w:pPr>
              <w:pStyle w:val="TableParagraph"/>
              <w:rPr>
                <w:b/>
                <w:sz w:val="20"/>
              </w:rPr>
            </w:pPr>
          </w:p>
          <w:p>
            <w:pPr>
              <w:pStyle w:val="TableParagraph"/>
              <w:ind w:start="106" w:end="107"/>
              <w:rPr>
                <w:sz w:val="20"/>
              </w:rPr>
            </w:pPr>
            <w:r>
              <w:rPr>
                <w:b/>
                <w:i/>
                <w:sz w:val="20"/>
              </w:rPr>
              <w:t xml:space="preserve">Engagement avec les services de soins de santé </w:t>
            </w:r>
            <w:r>
              <w:rPr>
                <w:sz w:val="20"/>
              </w:rPr>
              <w:t xml:space="preserve">Pas d'évaluation formelle mais l'étude </w:t>
            </w:r>
            <w:r>
              <w:rPr>
                <w:sz w:val="20"/>
              </w:rPr>
              <w:t xml:space="preserve">rapporte que sur 214 </w:t>
            </w:r>
            <w:r>
              <w:rPr>
                <w:sz w:val="20"/>
              </w:rPr>
              <w:t xml:space="preserve">adolescents </w:t>
            </w:r>
            <w:r>
              <w:rPr>
                <w:sz w:val="20"/>
              </w:rPr>
              <w:t xml:space="preserve">d'</w:t>
            </w:r>
            <w:r>
              <w:rPr>
                <w:sz w:val="20"/>
              </w:rPr>
              <w:t xml:space="preserve">âge et de </w:t>
            </w:r>
            <w:r>
              <w:rPr>
                <w:sz w:val="20"/>
              </w:rPr>
              <w:t xml:space="preserve">développement </w:t>
            </w:r>
            <w:r>
              <w:rPr>
                <w:sz w:val="20"/>
              </w:rPr>
              <w:t xml:space="preserve">appropriés </w:t>
            </w:r>
            <w:r>
              <w:rPr>
                <w:sz w:val="20"/>
              </w:rPr>
              <w:t xml:space="preserve">pour une </w:t>
            </w:r>
            <w:r>
              <w:rPr>
                <w:sz w:val="20"/>
              </w:rPr>
              <w:t xml:space="preserve">inclusion </w:t>
            </w:r>
            <w:r>
              <w:rPr>
                <w:sz w:val="20"/>
              </w:rPr>
              <w:t xml:space="preserve">potentielle dans </w:t>
            </w:r>
            <w:r>
              <w:rPr>
                <w:sz w:val="20"/>
              </w:rPr>
              <w:t xml:space="preserve">l'</w:t>
            </w:r>
            <w:r>
              <w:rPr>
                <w:sz w:val="20"/>
              </w:rPr>
              <w:t xml:space="preserve">étude, </w:t>
            </w:r>
            <w:r>
              <w:rPr>
                <w:sz w:val="20"/>
              </w:rPr>
              <w:t xml:space="preserve">9 </w:t>
            </w:r>
            <w:r>
              <w:rPr>
                <w:sz w:val="20"/>
              </w:rPr>
              <w:t xml:space="preserve">ont été </w:t>
            </w:r>
            <w:r>
              <w:rPr>
                <w:sz w:val="20"/>
              </w:rPr>
              <w:t xml:space="preserve">exclus </w:t>
            </w:r>
            <w:r>
              <w:rPr>
                <w:sz w:val="20"/>
              </w:rPr>
              <w:t xml:space="preserve">car </w:t>
            </w:r>
            <w:r>
              <w:rPr>
                <w:sz w:val="20"/>
              </w:rPr>
              <w:t xml:space="preserve">ils ont </w:t>
            </w:r>
            <w:r>
              <w:rPr>
                <w:sz w:val="20"/>
              </w:rPr>
              <w:t xml:space="preserve">cessé de </w:t>
            </w:r>
            <w:r>
              <w:rPr>
                <w:sz w:val="20"/>
              </w:rPr>
              <w:t xml:space="preserve">se rendre à leurs </w:t>
            </w:r>
            <w:r>
              <w:rPr>
                <w:sz w:val="20"/>
              </w:rPr>
              <w:t xml:space="preserve">rendez-vous </w:t>
            </w:r>
            <w:r>
              <w:rPr>
                <w:sz w:val="20"/>
              </w:rPr>
              <w:t xml:space="preserve">(4,2%).</w:t>
            </w:r>
          </w:p>
          <w:p w:rsidR="00432386" w:rsidRDefault="00432386">
            <w:pPr>
              <w:pStyle w:val="TableParagraph"/>
              <w:spacing w:before="1"/>
              <w:rPr>
                <w:b/>
                <w:sz w:val="20"/>
              </w:rPr>
            </w:pPr>
          </w:p>
          <w:p>
            <w:pPr>
              <w:pStyle w:val="TableParagraph"/>
              <w:ind w:start="106"/>
              <w:rPr>
                <w:b/>
                <w:i/>
                <w:sz w:val="20"/>
              </w:rPr>
            </w:pPr>
            <w:r>
              <w:rPr>
                <w:b/>
                <w:i/>
                <w:sz w:val="20"/>
              </w:rPr>
              <w:t xml:space="preserve">Arrêt du </w:t>
            </w:r>
            <w:r>
              <w:rPr>
                <w:b/>
                <w:i/>
                <w:sz w:val="20"/>
              </w:rPr>
              <w:t xml:space="preserve">traitement</w:t>
            </w:r>
          </w:p>
          <w:p>
            <w:pPr>
              <w:pStyle w:val="TableParagraph"/>
              <w:spacing w:before="1" w:line="229" w:lineRule="exact"/>
              <w:ind w:start="106"/>
              <w:rPr>
                <w:sz w:val="20"/>
              </w:rPr>
            </w:pPr>
            <w:r>
              <w:rPr>
                <w:sz w:val="20"/>
              </w:rPr>
              <w:t xml:space="preserve">Sur </w:t>
            </w:r>
            <w:r>
              <w:rPr>
                <w:sz w:val="20"/>
              </w:rPr>
              <w:t xml:space="preserve">les </w:t>
            </w:r>
            <w:r>
              <w:rPr>
                <w:sz w:val="20"/>
              </w:rPr>
              <w:t xml:space="preserve">143 </w:t>
            </w:r>
            <w:r>
              <w:rPr>
                <w:sz w:val="20"/>
              </w:rPr>
              <w:t xml:space="preserve">adolescents, </w:t>
            </w:r>
            <w:r>
              <w:rPr>
                <w:sz w:val="20"/>
              </w:rPr>
              <w:t xml:space="preserve">9 </w:t>
            </w:r>
            <w:r>
              <w:rPr>
                <w:sz w:val="20"/>
              </w:rPr>
              <w:t xml:space="preserve">(6,2%,</w:t>
            </w:r>
          </w:p>
          <w:p>
            <w:pPr>
              <w:pStyle w:val="TableParagraph"/>
              <w:ind w:start="106" w:end="103"/>
              <w:rPr>
                <w:sz w:val="20"/>
              </w:rPr>
            </w:pPr>
            <w:r>
              <w:rPr>
                <w:sz w:val="20"/>
              </w:rPr>
              <w:t xml:space="preserve">1 </w:t>
            </w:r>
            <w:r>
              <w:rPr>
                <w:sz w:val="20"/>
              </w:rPr>
              <w:t xml:space="preserve">transfemme </w:t>
            </w:r>
            <w:r>
              <w:rPr>
                <w:sz w:val="20"/>
              </w:rPr>
              <w:t xml:space="preserve">et </w:t>
            </w:r>
            <w:r>
              <w:rPr>
                <w:sz w:val="20"/>
              </w:rPr>
              <w:t xml:space="preserve">8 </w:t>
            </w:r>
            <w:r>
              <w:rPr>
                <w:sz w:val="20"/>
              </w:rPr>
              <w:t xml:space="preserve">transmales) ont </w:t>
            </w:r>
            <w:r>
              <w:rPr>
                <w:sz w:val="20"/>
              </w:rPr>
              <w:t xml:space="preserve">cessé de </w:t>
            </w:r>
            <w:r>
              <w:rPr>
                <w:sz w:val="20"/>
              </w:rPr>
              <w:t xml:space="preserve">prendre des analogues de la GnRH après une </w:t>
            </w:r>
            <w:r>
              <w:rPr>
                <w:sz w:val="20"/>
              </w:rPr>
              <w:t xml:space="preserve">durée </w:t>
            </w:r>
            <w:r>
              <w:rPr>
                <w:sz w:val="20"/>
              </w:rPr>
              <w:t xml:space="preserve">médiane </w:t>
            </w:r>
            <w:r>
              <w:rPr>
                <w:sz w:val="20"/>
              </w:rPr>
              <w:t xml:space="preserve">de 0,8 an (plage de 0,1 à 3,0). </w:t>
            </w:r>
            <w:r>
              <w:rPr>
                <w:sz w:val="20"/>
              </w:rPr>
              <w:t xml:space="preserve">Quatre adolescents (2,8 %) ont arrêté les </w:t>
            </w:r>
            <w:r>
              <w:rPr>
                <w:sz w:val="20"/>
              </w:rPr>
              <w:t xml:space="preserve">analogues de la GnRH alors qu'ils souhaitaient </w:t>
            </w:r>
            <w:r>
              <w:rPr>
                <w:sz w:val="20"/>
              </w:rPr>
              <w:t xml:space="preserve">poursuivre les traitements endocriniens pour la </w:t>
            </w:r>
            <w:r>
              <w:rPr>
                <w:sz w:val="20"/>
              </w:rPr>
              <w:t xml:space="preserve">dysphorie de </w:t>
            </w:r>
            <w:r>
              <w:rPr>
                <w:sz w:val="20"/>
              </w:rPr>
              <w:t xml:space="preserve">genre </w:t>
            </w:r>
            <w:r>
              <w:rPr>
                <w:sz w:val="20"/>
              </w:rPr>
              <w:t xml:space="preserve">:</w:t>
            </w:r>
          </w:p>
          <w:p>
            <w:pPr>
              <w:pStyle w:val="TableParagraph"/>
              <w:numPr>
                <w:ilvl w:val="0"/>
                <w:numId w:val="46"/>
              </w:numPr>
              <w:tabs>
                <w:tab w:val="left" w:pos="466"/>
                <w:tab w:val="left" w:pos="467"/>
              </w:tabs>
              <w:ind w:start="466" w:end="146"/>
              <w:rPr>
                <w:sz w:val="13"/>
              </w:rPr>
            </w:pPr>
            <w:r>
              <w:rPr>
                <w:sz w:val="20"/>
              </w:rPr>
              <w:t xml:space="preserve">1 </w:t>
            </w:r>
            <w:r>
              <w:rPr>
                <w:sz w:val="20"/>
              </w:rPr>
              <w:t xml:space="preserve">transmale </w:t>
            </w:r>
            <w:r>
              <w:rPr>
                <w:sz w:val="20"/>
              </w:rPr>
              <w:t xml:space="preserve">a arrêté </w:t>
            </w:r>
            <w:r>
              <w:rPr>
                <w:sz w:val="20"/>
              </w:rPr>
              <w:t xml:space="preserve">en raison </w:t>
            </w:r>
            <w:r>
              <w:rPr>
                <w:sz w:val="20"/>
              </w:rPr>
              <w:t xml:space="preserve">d'une </w:t>
            </w:r>
            <w:r>
              <w:rPr>
                <w:sz w:val="20"/>
              </w:rPr>
              <w:t xml:space="preserve">augmentation des </w:t>
            </w:r>
            <w:r>
              <w:rPr>
                <w:sz w:val="20"/>
              </w:rPr>
              <w:t xml:space="preserve">problèmes d'humeur, des pensées suicidaires </w:t>
            </w:r>
            <w:r>
              <w:rPr>
                <w:sz w:val="20"/>
              </w:rPr>
              <w:t xml:space="preserve">et de la confusion attribuée aux </w:t>
            </w:r>
            <w:r>
              <w:rPr>
                <w:sz w:val="20"/>
              </w:rPr>
              <w:t xml:space="preserve">analogues de la </w:t>
            </w:r>
            <w:r>
              <w:rPr>
                <w:sz w:val="20"/>
              </w:rPr>
              <w:t xml:space="preserve">GnRH </w:t>
            </w:r>
            <w:r>
              <w:rPr>
                <w:sz w:val="20"/>
              </w:rPr>
              <w:t xml:space="preserve">(elle a ensuite reçu des </w:t>
            </w:r>
            <w:r>
              <w:rPr>
                <w:sz w:val="20"/>
              </w:rPr>
              <w:t xml:space="preserve">hormones d'affirmation du </w:t>
            </w:r>
            <w:r>
              <w:rPr>
                <w:sz w:val="20"/>
              </w:rPr>
              <w:t xml:space="preserve">genre </w:t>
            </w:r>
            <w:r>
              <w:rPr>
                <w:sz w:val="20"/>
              </w:rPr>
              <w:t xml:space="preserve">dans une </w:t>
            </w:r>
            <w:r>
              <w:rPr>
                <w:sz w:val="20"/>
              </w:rPr>
              <w:t xml:space="preserve">clinique pour </w:t>
            </w:r>
            <w:r>
              <w:rPr>
                <w:sz w:val="20"/>
              </w:rPr>
              <w:t xml:space="preserve">adultes</w:t>
            </w:r>
            <w:r>
              <w:rPr>
                <w:sz w:val="20"/>
              </w:rPr>
              <w:t xml:space="preserve">)</w:t>
            </w:r>
            <w:r>
              <w:rPr>
                <w:position w:val="6"/>
                <w:sz w:val="13"/>
              </w:rPr>
              <w:t xml:space="preserve">1</w:t>
            </w:r>
            <w:r>
              <w:rPr>
                <w:sz w:val="20"/>
              </w:rPr>
              <w:t xml:space="preserve">.</w:t>
            </w:r>
          </w:p>
          <w:p>
            <w:pPr>
              <w:pStyle w:val="TableParagraph"/>
              <w:numPr>
                <w:ilvl w:val="0"/>
                <w:numId w:val="46"/>
              </w:numPr>
              <w:tabs>
                <w:tab w:val="left" w:pos="466"/>
                <w:tab w:val="left" w:pos="467"/>
              </w:tabs>
              <w:ind w:start="466" w:end="114"/>
              <w:rPr>
                <w:sz w:val="20"/>
              </w:rPr>
            </w:pPr>
            <w:r>
              <w:rPr>
                <w:sz w:val="20"/>
              </w:rPr>
              <w:t xml:space="preserve">1 </w:t>
            </w:r>
            <w:r>
              <w:rPr>
                <w:sz w:val="20"/>
              </w:rPr>
              <w:t xml:space="preserve">transmale </w:t>
            </w:r>
            <w:r>
              <w:rPr>
                <w:sz w:val="20"/>
              </w:rPr>
              <w:t xml:space="preserve">a souffert de </w:t>
            </w:r>
            <w:r>
              <w:rPr>
                <w:sz w:val="20"/>
              </w:rPr>
              <w:t xml:space="preserve">bouffées de chaleur, d'une </w:t>
            </w:r>
            <w:r>
              <w:rPr>
                <w:sz w:val="20"/>
              </w:rPr>
              <w:t xml:space="preserve">augmentation des migraines, d'une peur des </w:t>
            </w:r>
            <w:r>
              <w:rPr>
                <w:sz w:val="20"/>
              </w:rPr>
              <w:t xml:space="preserve">injections, de stress à l'école et de </w:t>
            </w:r>
            <w:r>
              <w:rPr>
                <w:sz w:val="20"/>
              </w:rPr>
              <w:t xml:space="preserve">problèmes </w:t>
            </w:r>
            <w:r>
              <w:rPr>
                <w:sz w:val="20"/>
              </w:rPr>
              <w:t xml:space="preserve">médicaux </w:t>
            </w:r>
            <w:r>
              <w:rPr>
                <w:sz w:val="20"/>
              </w:rPr>
              <w:t xml:space="preserve">non liés</w:t>
            </w:r>
            <w:r>
              <w:rPr>
                <w:sz w:val="20"/>
              </w:rPr>
              <w:t xml:space="preserve">, </w:t>
            </w:r>
            <w:r>
              <w:rPr>
                <w:sz w:val="20"/>
              </w:rPr>
              <w:t xml:space="preserve">et</w:t>
            </w:r>
          </w:p>
        </w:tc>
        <w:tc>
          <w:tcPr>
            <w:tcW w:w="3405" w:type="dxa"/>
            <w:tcBorders>
              <w:bottom w:val="single" w:color="000000" w:sz="6" w:space="0"/>
            </w:tcBorders>
          </w:tcPr>
          <w:p>
            <w:pPr>
              <w:pStyle w:val="TableParagraph"/>
              <w:ind w:start="106" w:end="166"/>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w:t>
            </w:r>
            <w:r>
              <w:rPr>
                <w:sz w:val="20"/>
              </w:rPr>
              <w:t xml:space="preserve">outil Newcastle-Ottawa pour les </w:t>
            </w:r>
            <w:r>
              <w:rPr>
                <w:sz w:val="20"/>
              </w:rPr>
              <w:t xml:space="preserve">études de </w:t>
            </w:r>
            <w:r>
              <w:rPr>
                <w:sz w:val="20"/>
              </w:rPr>
              <w:t xml:space="preserve">cohorte</w:t>
            </w:r>
            <w:r>
              <w:rPr>
                <w:sz w:val="20"/>
              </w:rPr>
              <w:t xml:space="preserve">.</w:t>
            </w:r>
          </w:p>
          <w:p w:rsidR="00432386" w:rsidRDefault="00432386">
            <w:pPr>
              <w:pStyle w:val="TableParagraph"/>
              <w:spacing w:before="1"/>
              <w:rPr>
                <w:b/>
                <w:sz w:val="20"/>
              </w:rPr>
            </w:pPr>
          </w:p>
          <w:p>
            <w:pPr>
              <w:pStyle w:val="TableParagraph"/>
              <w:ind w:start="106"/>
              <w:rPr>
                <w:b/>
                <w:sz w:val="20"/>
              </w:rPr>
            </w:pPr>
            <w:r>
              <w:rPr>
                <w:b/>
                <w:sz w:val="20"/>
              </w:rPr>
              <w:t xml:space="preserve">Domaine </w:t>
            </w:r>
            <w:r>
              <w:rPr>
                <w:b/>
                <w:sz w:val="20"/>
              </w:rPr>
              <w:t xml:space="preserve">1 : </w:t>
            </w:r>
            <w:r>
              <w:rPr>
                <w:b/>
                <w:sz w:val="20"/>
              </w:rPr>
              <w:t xml:space="preserve">Sélection</w:t>
            </w:r>
          </w:p>
          <w:p>
            <w:pPr>
              <w:pStyle w:val="TableParagraph"/>
              <w:numPr>
                <w:ilvl w:val="0"/>
                <w:numId w:val="45"/>
              </w:numPr>
              <w:tabs>
                <w:tab w:val="left" w:pos="467"/>
              </w:tabs>
              <w:spacing w:before="1" w:line="229" w:lineRule="exact"/>
              <w:ind w:hanging="361"/>
              <w:rPr>
                <w:sz w:val="20"/>
              </w:rPr>
            </w:pPr>
            <w:r>
              <w:rPr>
                <w:sz w:val="20"/>
              </w:rPr>
              <w:t xml:space="preserve">quelque peu </w:t>
            </w:r>
            <w:r>
              <w:rPr>
                <w:sz w:val="20"/>
              </w:rPr>
              <w:t xml:space="preserve">représentatif</w:t>
            </w:r>
          </w:p>
          <w:p>
            <w:pPr>
              <w:pStyle w:val="TableParagraph"/>
              <w:numPr>
                <w:ilvl w:val="0"/>
                <w:numId w:val="45"/>
              </w:numPr>
              <w:tabs>
                <w:tab w:val="left" w:pos="467"/>
              </w:tabs>
              <w:spacing w:line="229" w:lineRule="exact"/>
              <w:ind w:hanging="361"/>
              <w:rPr>
                <w:sz w:val="20"/>
              </w:rPr>
            </w:pPr>
            <w:r>
              <w:rPr>
                <w:sz w:val="20"/>
              </w:rPr>
              <w:t xml:space="preserve">cohorte </w:t>
            </w:r>
            <w:r>
              <w:rPr>
                <w:sz w:val="20"/>
              </w:rPr>
              <w:t xml:space="preserve">non </w:t>
            </w:r>
            <w:r>
              <w:rPr>
                <w:sz w:val="20"/>
              </w:rPr>
              <w:t xml:space="preserve">exposée</w:t>
            </w:r>
          </w:p>
          <w:p>
            <w:pPr>
              <w:pStyle w:val="TableParagraph"/>
              <w:numPr>
                <w:ilvl w:val="0"/>
                <w:numId w:val="45"/>
              </w:numPr>
              <w:tabs>
                <w:tab w:val="left" w:pos="467"/>
              </w:tabs>
              <w:ind w:hanging="361"/>
              <w:rPr>
                <w:sz w:val="20"/>
              </w:rPr>
            </w:pPr>
            <w:r>
              <w:rPr>
                <w:sz w:val="20"/>
              </w:rPr>
              <w:t xml:space="preserve">dossier </w:t>
            </w:r>
            <w:r>
              <w:rPr>
                <w:sz w:val="20"/>
              </w:rPr>
              <w:t xml:space="preserve">sécurisé</w:t>
            </w:r>
          </w:p>
          <w:p>
            <w:pPr>
              <w:pStyle w:val="TableParagraph"/>
              <w:numPr>
                <w:ilvl w:val="0"/>
                <w:numId w:val="45"/>
              </w:numPr>
              <w:tabs>
                <w:tab w:val="left" w:pos="467"/>
              </w:tabs>
              <w:spacing w:before="1"/>
              <w:ind w:hanging="361"/>
              <w:rPr>
                <w:sz w:val="20"/>
              </w:rPr>
            </w:pPr>
            <w:r>
              <w:rPr>
                <w:sz w:val="20"/>
              </w:rPr>
              <w:t xml:space="preserve">oui</w:t>
            </w:r>
          </w:p>
          <w:p>
            <w:pPr>
              <w:pStyle w:val="TableParagraph"/>
              <w:ind w:start="106"/>
              <w:rPr>
                <w:b/>
                <w:sz w:val="20"/>
              </w:rPr>
            </w:pPr>
            <w:r>
              <w:rPr>
                <w:b/>
                <w:sz w:val="20"/>
              </w:rPr>
              <w:t xml:space="preserve">Domaine </w:t>
            </w:r>
            <w:r>
              <w:rPr>
                <w:b/>
                <w:sz w:val="20"/>
              </w:rPr>
              <w:t xml:space="preserve">2 : </w:t>
            </w:r>
            <w:r>
              <w:rPr>
                <w:b/>
                <w:sz w:val="20"/>
              </w:rPr>
              <w:t xml:space="preserve">Comparabilité</w:t>
            </w:r>
          </w:p>
          <w:p>
            <w:pPr>
              <w:pStyle w:val="TableParagraph"/>
              <w:spacing w:line="229" w:lineRule="exact"/>
              <w:ind w:start="106"/>
              <w:rPr>
                <w:sz w:val="20"/>
              </w:rPr>
            </w:pPr>
            <w:r>
              <w:rPr>
                <w:sz w:val="20"/>
              </w:rPr>
              <w:t xml:space="preserve">1. </w:t>
            </w:r>
            <w:r>
              <w:rPr>
                <w:sz w:val="20"/>
              </w:rPr>
              <w:t xml:space="preserve">pas de </w:t>
            </w:r>
            <w:r>
              <w:rPr>
                <w:sz w:val="20"/>
              </w:rPr>
              <w:t xml:space="preserve">comparateur</w:t>
            </w:r>
          </w:p>
          <w:p>
            <w:pPr>
              <w:pStyle w:val="TableParagraph"/>
              <w:spacing w:line="229" w:lineRule="exact"/>
              <w:ind w:start="106"/>
              <w:rPr>
                <w:b/>
                <w:sz w:val="20"/>
              </w:rPr>
            </w:pPr>
            <w:r>
              <w:rPr>
                <w:b/>
                <w:sz w:val="20"/>
              </w:rPr>
              <w:t xml:space="preserve">Domaine </w:t>
            </w:r>
            <w:r>
              <w:rPr>
                <w:b/>
                <w:sz w:val="20"/>
              </w:rPr>
              <w:t xml:space="preserve">3 : </w:t>
            </w:r>
            <w:r>
              <w:rPr>
                <w:b/>
                <w:sz w:val="20"/>
              </w:rPr>
              <w:t xml:space="preserve">Résultat</w:t>
            </w:r>
          </w:p>
          <w:p>
            <w:pPr>
              <w:pStyle w:val="TableParagraph"/>
              <w:numPr>
                <w:ilvl w:val="0"/>
                <w:numId w:val="44"/>
              </w:numPr>
              <w:tabs>
                <w:tab w:val="left" w:pos="467"/>
              </w:tabs>
              <w:spacing w:before="1"/>
              <w:ind w:hanging="361"/>
              <w:rPr>
                <w:sz w:val="20"/>
              </w:rPr>
            </w:pPr>
            <w:r>
              <w:rPr>
                <w:sz w:val="20"/>
              </w:rPr>
              <w:t xml:space="preserve">liaison de </w:t>
            </w:r>
            <w:r>
              <w:rPr>
                <w:sz w:val="20"/>
              </w:rPr>
              <w:t xml:space="preserve">documents</w:t>
            </w:r>
          </w:p>
          <w:p>
            <w:pPr>
              <w:pStyle w:val="TableParagraph"/>
              <w:numPr>
                <w:ilvl w:val="0"/>
                <w:numId w:val="44"/>
              </w:numPr>
              <w:tabs>
                <w:tab w:val="left" w:pos="467"/>
              </w:tabs>
              <w:ind w:hanging="361"/>
              <w:rPr>
                <w:sz w:val="20"/>
              </w:rPr>
            </w:pPr>
            <w:r>
              <w:rPr>
                <w:sz w:val="20"/>
              </w:rPr>
              <w:t xml:space="preserve">oui</w:t>
            </w:r>
          </w:p>
          <w:p>
            <w:pPr>
              <w:pStyle w:val="TableParagraph"/>
              <w:numPr>
                <w:ilvl w:val="0"/>
                <w:numId w:val="44"/>
              </w:numPr>
              <w:tabs>
                <w:tab w:val="left" w:pos="467"/>
              </w:tabs>
              <w:spacing w:before="1"/>
              <w:ind w:hanging="361"/>
              <w:rPr>
                <w:sz w:val="20"/>
              </w:rPr>
            </w:pPr>
            <w:r>
              <w:rPr>
                <w:sz w:val="20"/>
              </w:rPr>
              <w:t xml:space="preserve">suivi </w:t>
            </w:r>
            <w:r>
              <w:rPr>
                <w:sz w:val="20"/>
              </w:rPr>
              <w:t xml:space="preserve">complet</w:t>
            </w:r>
          </w:p>
          <w:p w:rsidR="00432386" w:rsidRDefault="00432386">
            <w:pPr>
              <w:pStyle w:val="TableParagraph"/>
              <w:spacing w:before="1"/>
              <w:rPr>
                <w:b/>
                <w:sz w:val="20"/>
              </w:rPr>
            </w:pPr>
          </w:p>
          <w:p>
            <w:pPr>
              <w:pStyle w:val="TableParagraph"/>
              <w:ind w:start="106" w:end="450"/>
              <w:rPr>
                <w:b/>
                <w:sz w:val="20"/>
              </w:rPr>
            </w:pPr>
            <w:r>
              <w:rPr>
                <w:b/>
                <w:sz w:val="20"/>
              </w:rPr>
              <w:t xml:space="preserve">La </w:t>
            </w:r>
            <w:r>
              <w:rPr>
                <w:b/>
                <w:sz w:val="20"/>
              </w:rPr>
              <w:t xml:space="preserve">qualité </w:t>
            </w:r>
            <w:r>
              <w:rPr>
                <w:b/>
                <w:sz w:val="20"/>
              </w:rPr>
              <w:t xml:space="preserve">globale </w:t>
            </w:r>
            <w:r>
              <w:rPr>
                <w:b/>
                <w:sz w:val="20"/>
              </w:rPr>
              <w:t xml:space="preserve">est </w:t>
            </w:r>
            <w:r>
              <w:rPr>
                <w:b/>
                <w:sz w:val="20"/>
              </w:rPr>
              <w:t xml:space="preserve">jugée </w:t>
            </w:r>
            <w:r>
              <w:rPr>
                <w:b/>
                <w:sz w:val="20"/>
              </w:rPr>
              <w:t xml:space="preserve">médiocre.</w:t>
            </w:r>
          </w:p>
          <w:p w:rsidR="00432386" w:rsidRDefault="00432386">
            <w:pPr>
              <w:pStyle w:val="TableParagraph"/>
              <w:spacing w:before="10"/>
              <w:rPr>
                <w:b/>
                <w:sz w:val="19"/>
              </w:rPr>
            </w:pPr>
          </w:p>
          <w:p>
            <w:pPr>
              <w:pStyle w:val="TableParagraph"/>
              <w:ind w:start="106" w:end="154"/>
              <w:rPr>
                <w:sz w:val="20"/>
              </w:rPr>
            </w:pPr>
            <w:r>
              <w:rPr>
                <w:sz w:val="20"/>
              </w:rPr>
              <w:t xml:space="preserve">Autres commentaires : </w:t>
            </w:r>
            <w:r>
              <w:rPr>
                <w:sz w:val="20"/>
              </w:rPr>
              <w:t xml:space="preserve">La comorbidité </w:t>
            </w:r>
            <w:r>
              <w:rPr>
                <w:sz w:val="20"/>
              </w:rPr>
              <w:t xml:space="preserve">physique et </w:t>
            </w:r>
            <w:r>
              <w:rPr>
                <w:sz w:val="20"/>
              </w:rPr>
              <w:t xml:space="preserve">psychologique a été </w:t>
            </w:r>
            <w:r>
              <w:rPr>
                <w:sz w:val="20"/>
              </w:rPr>
              <w:t xml:space="preserve">mal </w:t>
            </w:r>
            <w:r>
              <w:rPr>
                <w:sz w:val="20"/>
              </w:rPr>
              <w:t xml:space="preserve">signalée, l'</w:t>
            </w:r>
            <w:r>
              <w:rPr>
                <w:sz w:val="20"/>
              </w:rPr>
              <w:t xml:space="preserve">utilisation </w:t>
            </w:r>
            <w:r>
              <w:rPr>
                <w:sz w:val="20"/>
              </w:rPr>
              <w:t xml:space="preserve">concomitante </w:t>
            </w:r>
            <w:r>
              <w:rPr>
                <w:sz w:val="20"/>
              </w:rPr>
              <w:t xml:space="preserve">d'</w:t>
            </w:r>
            <w:r>
              <w:rPr>
                <w:sz w:val="20"/>
              </w:rPr>
              <w:t xml:space="preserve">autres </w:t>
            </w:r>
            <w:r>
              <w:rPr>
                <w:sz w:val="20"/>
              </w:rPr>
              <w:t xml:space="preserve">médicaments </w:t>
            </w:r>
            <w:r>
              <w:rPr>
                <w:sz w:val="20"/>
              </w:rPr>
              <w:t xml:space="preserve">n'</w:t>
            </w:r>
            <w:r>
              <w:rPr>
                <w:sz w:val="20"/>
              </w:rPr>
              <w:t xml:space="preserve">a </w:t>
            </w:r>
            <w:r>
              <w:rPr>
                <w:sz w:val="20"/>
              </w:rPr>
              <w:t xml:space="preserve">pas </w:t>
            </w:r>
            <w:r>
              <w:rPr>
                <w:sz w:val="20"/>
              </w:rPr>
              <w:t xml:space="preserve">été </w:t>
            </w:r>
            <w:r>
              <w:rPr>
                <w:sz w:val="20"/>
              </w:rPr>
              <w:t xml:space="preserve">signalée.</w:t>
            </w:r>
          </w:p>
          <w:p w:rsidR="00432386" w:rsidRDefault="00432386">
            <w:pPr>
              <w:pStyle w:val="TableParagraph"/>
              <w:rPr>
                <w:b/>
                <w:sz w:val="20"/>
              </w:rPr>
            </w:pPr>
          </w:p>
          <w:p>
            <w:pPr>
              <w:pStyle w:val="TableParagraph"/>
              <w:ind w:start="106"/>
              <w:rPr>
                <w:sz w:val="20"/>
              </w:rPr>
            </w:pPr>
            <w:r>
              <w:rPr>
                <w:sz w:val="20"/>
              </w:rPr>
              <w:t xml:space="preserve">Source </w:t>
            </w:r>
            <w:r>
              <w:rPr>
                <w:sz w:val="20"/>
              </w:rPr>
              <w:t xml:space="preserve">de </w:t>
            </w:r>
            <w:r>
              <w:rPr>
                <w:sz w:val="20"/>
              </w:rPr>
              <w:t xml:space="preserve">financement : </w:t>
            </w:r>
            <w:r>
              <w:rPr>
                <w:sz w:val="20"/>
              </w:rPr>
              <w:t xml:space="preserve">non </w:t>
            </w:r>
            <w:r>
              <w:rPr>
                <w:sz w:val="20"/>
              </w:rPr>
              <w:t xml:space="preserve">communiqué.</w:t>
            </w:r>
          </w:p>
        </w:tc>
      </w:tr>
    </w:tbl>
    <w:p w:rsidR="00432386" w:rsidRDefault="00432386">
      <w:pPr>
        <w:rPr>
          <w:sz w:val="20"/>
        </w:rPr>
        <w:sectPr w:rsidR="00432386">
          <w:footerReference w:type="default" r:id="rId262"/>
          <w:pgSz w:w="16840" w:h="11910" w:orient="landscape"/>
          <w:pgMar w:top="110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86"/>
        <w:gridCol w:w="2564"/>
        <w:gridCol w:w="2127"/>
        <w:gridCol w:w="3858"/>
        <w:gridCol w:w="3405"/>
      </w:tblGrid>
      <w:tr w:rsidR="00432386">
        <w:trPr>
          <w:trHeight w:val="9431"/>
        </w:trPr>
        <w:tc>
          <w:tcPr>
            <w:tcW w:w="2986" w:type="dxa"/>
          </w:tcPr>
          <w:p w:rsidR="00432386" w:rsidRDefault="00432386">
            <w:pPr>
              <w:pStyle w:val="TableParagraph"/>
              <w:rPr>
                <w:rFonts w:ascii="Times New Roman"/>
                <w:sz w:val="18"/>
              </w:rPr>
            </w:pPr>
          </w:p>
        </w:tc>
        <w:tc>
          <w:tcPr>
            <w:tcW w:w="2564" w:type="dxa"/>
          </w:tcPr>
          <w:p>
            <w:pPr>
              <w:pStyle w:val="TableParagraph"/>
              <w:ind w:start="107" w:end="185"/>
              <w:rPr>
                <w:sz w:val="20"/>
              </w:rPr>
            </w:pPr>
            <w:r>
              <w:rPr>
                <w:sz w:val="20"/>
              </w:rPr>
              <w:t xml:space="preserve">(intervalle de 10,1 à 17,9 </w:t>
            </w:r>
            <w:r>
              <w:rPr>
                <w:sz w:val="20"/>
              </w:rPr>
              <w:t xml:space="preserve">ans), respectivement, au </w:t>
            </w:r>
            <w:r>
              <w:rPr>
                <w:sz w:val="20"/>
              </w:rPr>
              <w:t xml:space="preserve">début du </w:t>
            </w:r>
            <w:r>
              <w:rPr>
                <w:sz w:val="20"/>
              </w:rPr>
              <w:t xml:space="preserve">traitement par </w:t>
            </w:r>
            <w:r>
              <w:rPr>
                <w:sz w:val="20"/>
              </w:rPr>
              <w:t xml:space="preserve">analogues de la </w:t>
            </w:r>
            <w:r>
              <w:rPr>
                <w:sz w:val="20"/>
              </w:rPr>
              <w:t xml:space="preserve">GnRH</w:t>
            </w:r>
            <w:r>
              <w:rPr>
                <w:sz w:val="20"/>
              </w:rPr>
              <w:t xml:space="preserve">.</w:t>
            </w:r>
          </w:p>
          <w:p w:rsidR="00432386" w:rsidRDefault="00432386">
            <w:pPr>
              <w:pStyle w:val="TableParagraph"/>
              <w:spacing w:before="1"/>
              <w:rPr>
                <w:b/>
                <w:sz w:val="19"/>
              </w:rPr>
            </w:pPr>
          </w:p>
          <w:p>
            <w:pPr>
              <w:pStyle w:val="TableParagraph"/>
              <w:ind w:start="107" w:end="174"/>
              <w:rPr>
                <w:sz w:val="20"/>
              </w:rPr>
            </w:pPr>
            <w:r>
              <w:rPr>
                <w:sz w:val="20"/>
              </w:rPr>
              <w:t xml:space="preserve">Sur les </w:t>
            </w:r>
            <w:r>
              <w:rPr>
                <w:sz w:val="20"/>
              </w:rPr>
              <w:t xml:space="preserve">143 </w:t>
            </w:r>
            <w:r>
              <w:rPr>
                <w:sz w:val="20"/>
              </w:rPr>
              <w:t xml:space="preserve">adolescents </w:t>
            </w:r>
            <w:r>
              <w:rPr>
                <w:sz w:val="20"/>
              </w:rPr>
              <w:t xml:space="preserve">de l</w:t>
            </w:r>
            <w:r>
              <w:rPr>
                <w:sz w:val="20"/>
              </w:rPr>
              <w:t xml:space="preserve">'</w:t>
            </w:r>
            <w:r>
              <w:rPr>
                <w:sz w:val="20"/>
              </w:rPr>
              <w:t xml:space="preserve">étude, </w:t>
            </w:r>
            <w:r>
              <w:rPr>
                <w:sz w:val="20"/>
              </w:rPr>
              <w:t xml:space="preserve">125 </w:t>
            </w:r>
            <w:r>
              <w:rPr>
                <w:sz w:val="20"/>
              </w:rPr>
              <w:t xml:space="preserve">(87%, </w:t>
            </w:r>
            <w:r>
              <w:rPr>
                <w:sz w:val="20"/>
              </w:rPr>
              <w:t xml:space="preserve">36</w:t>
            </w:r>
          </w:p>
          <w:p>
            <w:pPr>
              <w:pStyle w:val="TableParagraph"/>
              <w:spacing w:before="1"/>
              <w:ind w:start="107" w:end="169"/>
              <w:rPr>
                <w:sz w:val="20"/>
              </w:rPr>
            </w:pPr>
            <w:r>
              <w:rPr>
                <w:sz w:val="20"/>
              </w:rPr>
              <w:t xml:space="preserve">transfemmes et 89 </w:t>
            </w:r>
            <w:r>
              <w:rPr>
                <w:sz w:val="20"/>
              </w:rPr>
              <w:t xml:space="preserve">transmales) ont </w:t>
            </w:r>
            <w:r>
              <w:rPr>
                <w:sz w:val="20"/>
              </w:rPr>
              <w:t xml:space="preserve">par la suite </w:t>
            </w:r>
            <w:r>
              <w:rPr>
                <w:sz w:val="20"/>
              </w:rPr>
              <w:t xml:space="preserve">commencé un traitement par des </w:t>
            </w:r>
            <w:r>
              <w:rPr>
                <w:sz w:val="20"/>
              </w:rPr>
              <w:t xml:space="preserve">hormones d'</w:t>
            </w:r>
            <w:r>
              <w:rPr>
                <w:sz w:val="20"/>
              </w:rPr>
              <w:t xml:space="preserve">affirmation du genre </w:t>
            </w:r>
            <w:r>
              <w:rPr>
                <w:sz w:val="20"/>
              </w:rPr>
              <w:t xml:space="preserve">après une période </w:t>
            </w:r>
            <w:r>
              <w:rPr>
                <w:sz w:val="20"/>
              </w:rPr>
              <w:t xml:space="preserve">médiane d'un an.</w:t>
            </w:r>
          </w:p>
          <w:p>
            <w:pPr>
              <w:pStyle w:val="TableParagraph"/>
              <w:ind w:start="107" w:end="144"/>
              <w:rPr>
                <w:sz w:val="20"/>
              </w:rPr>
            </w:pPr>
            <w:r>
              <w:rPr>
                <w:sz w:val="20"/>
              </w:rPr>
              <w:t xml:space="preserve">1,0 (plage de 0,5 à 3,8) </w:t>
            </w:r>
            <w:r>
              <w:rPr>
                <w:sz w:val="20"/>
              </w:rPr>
              <w:t xml:space="preserve">ans et 0,8 (0,3 à 3,7) </w:t>
            </w:r>
            <w:r>
              <w:rPr>
                <w:sz w:val="20"/>
              </w:rPr>
              <w:t xml:space="preserve">ans, respectivement. </w:t>
            </w:r>
            <w:r>
              <w:rPr>
                <w:sz w:val="20"/>
              </w:rPr>
              <w:t xml:space="preserve">L'</w:t>
            </w:r>
            <w:r>
              <w:rPr>
                <w:sz w:val="20"/>
              </w:rPr>
              <w:t xml:space="preserve">âge médian au début de la prise d'</w:t>
            </w:r>
            <w:r>
              <w:rPr>
                <w:sz w:val="20"/>
              </w:rPr>
              <w:t xml:space="preserve">hormones </w:t>
            </w:r>
            <w:r>
              <w:rPr>
                <w:sz w:val="20"/>
              </w:rPr>
              <w:t xml:space="preserve">d'affirmation du genre </w:t>
            </w:r>
            <w:r>
              <w:rPr>
                <w:sz w:val="20"/>
              </w:rPr>
              <w:t xml:space="preserve">était de 16,2 ans </w:t>
            </w:r>
            <w:r>
              <w:rPr>
                <w:sz w:val="20"/>
              </w:rPr>
              <w:t xml:space="preserve">(plage de </w:t>
            </w:r>
            <w:r>
              <w:rPr>
                <w:sz w:val="20"/>
              </w:rPr>
              <w:t xml:space="preserve">14,5 </w:t>
            </w:r>
            <w:r>
              <w:rPr>
                <w:sz w:val="20"/>
              </w:rPr>
              <w:t xml:space="preserve">à </w:t>
            </w:r>
            <w:r>
              <w:rPr>
                <w:sz w:val="20"/>
              </w:rPr>
              <w:t xml:space="preserve">18,6 </w:t>
            </w:r>
            <w:r>
              <w:rPr>
                <w:sz w:val="20"/>
              </w:rPr>
              <w:t xml:space="preserve">ans) </w:t>
            </w:r>
            <w:r>
              <w:rPr>
                <w:sz w:val="20"/>
              </w:rPr>
              <w:t xml:space="preserve">chez les transfemmes et de 17,1 </w:t>
            </w:r>
            <w:r>
              <w:rPr>
                <w:sz w:val="20"/>
              </w:rPr>
              <w:t xml:space="preserve">ans (plage de 14,9 à 18,8 ans</w:t>
            </w:r>
            <w:r>
              <w:rPr>
                <w:sz w:val="20"/>
              </w:rPr>
              <w:t xml:space="preserve">) </w:t>
            </w:r>
            <w:r>
              <w:rPr>
                <w:sz w:val="20"/>
              </w:rPr>
              <w:t xml:space="preserve">chez les </w:t>
            </w:r>
            <w:r>
              <w:rPr>
                <w:sz w:val="20"/>
              </w:rPr>
              <w:t xml:space="preserve">transmaliens.</w:t>
            </w:r>
          </w:p>
          <w:p w:rsidR="00432386" w:rsidRDefault="00432386">
            <w:pPr>
              <w:pStyle w:val="TableParagraph"/>
              <w:rPr>
                <w:b/>
                <w:sz w:val="20"/>
              </w:rPr>
            </w:pPr>
          </w:p>
          <w:p>
            <w:pPr>
              <w:pStyle w:val="TableParagraph"/>
              <w:ind w:start="107" w:end="176"/>
              <w:rPr>
                <w:sz w:val="20"/>
              </w:rPr>
            </w:pPr>
            <w:r>
              <w:rPr>
                <w:sz w:val="20"/>
              </w:rPr>
              <w:t xml:space="preserve">Cinq </w:t>
            </w:r>
            <w:r>
              <w:rPr>
                <w:sz w:val="20"/>
              </w:rPr>
              <w:t xml:space="preserve">adolescents qui </w:t>
            </w:r>
            <w:r>
              <w:rPr>
                <w:sz w:val="20"/>
              </w:rPr>
              <w:t xml:space="preserve">utilisaient des analogues de la GnRH </w:t>
            </w:r>
            <w:r>
              <w:rPr>
                <w:sz w:val="20"/>
              </w:rPr>
              <w:t xml:space="preserve">n'avaient pas commencé à prendre des </w:t>
            </w:r>
            <w:r>
              <w:rPr>
                <w:sz w:val="20"/>
              </w:rPr>
              <w:t xml:space="preserve">hormones </w:t>
            </w:r>
            <w:r>
              <w:rPr>
                <w:sz w:val="20"/>
              </w:rPr>
              <w:t xml:space="preserve">d'affirmation du </w:t>
            </w:r>
            <w:r>
              <w:rPr>
                <w:sz w:val="20"/>
              </w:rPr>
              <w:t xml:space="preserve">genre </w:t>
            </w:r>
            <w:r>
              <w:rPr>
                <w:sz w:val="20"/>
              </w:rPr>
              <w:t xml:space="preserve">au </w:t>
            </w:r>
            <w:r>
              <w:rPr>
                <w:sz w:val="20"/>
              </w:rPr>
              <w:t xml:space="preserve">moment </w:t>
            </w:r>
            <w:r>
              <w:rPr>
                <w:sz w:val="20"/>
              </w:rPr>
              <w:t xml:space="preserve">de la collecte des données car </w:t>
            </w:r>
            <w:r>
              <w:rPr>
                <w:sz w:val="20"/>
              </w:rPr>
              <w:t xml:space="preserve">ils n'étaient pas encore éligibles </w:t>
            </w:r>
            <w:r>
              <w:rPr>
                <w:sz w:val="20"/>
              </w:rPr>
              <w:t xml:space="preserve">pour ce traitement en raison de leur </w:t>
            </w:r>
            <w:r>
              <w:rPr>
                <w:sz w:val="20"/>
              </w:rPr>
              <w:t xml:space="preserve">âge. Au moment de la </w:t>
            </w:r>
            <w:r>
              <w:rPr>
                <w:sz w:val="20"/>
              </w:rPr>
              <w:t xml:space="preserve">collecte des </w:t>
            </w:r>
            <w:r>
              <w:rPr>
                <w:sz w:val="20"/>
              </w:rPr>
              <w:t xml:space="preserve">données</w:t>
            </w:r>
            <w:r>
              <w:rPr>
                <w:sz w:val="20"/>
              </w:rPr>
              <w:t xml:space="preserve">, ils avaient utilisé des </w:t>
            </w:r>
            <w:r>
              <w:rPr>
                <w:sz w:val="20"/>
              </w:rPr>
              <w:t xml:space="preserve">analogues de la GnRH pendant une </w:t>
            </w:r>
            <w:r>
              <w:rPr>
                <w:sz w:val="20"/>
              </w:rPr>
              <w:t xml:space="preserve">durée médiane de 2,1 </w:t>
            </w:r>
            <w:r>
              <w:rPr>
                <w:sz w:val="20"/>
              </w:rPr>
              <w:t xml:space="preserve">ans (intervalle de 1,6 à 2,8). </w:t>
            </w:r>
            <w:r>
              <w:rPr>
                <w:sz w:val="20"/>
              </w:rPr>
              <w:t xml:space="preserve">Le stade de Tanner n'a pas été </w:t>
            </w:r>
            <w:r>
              <w:rPr>
                <w:sz w:val="20"/>
              </w:rPr>
              <w:t xml:space="preserve">signalé.</w:t>
            </w:r>
          </w:p>
          <w:p w:rsidR="00432386" w:rsidRDefault="00432386">
            <w:pPr>
              <w:pStyle w:val="TableParagraph"/>
              <w:spacing w:before="2"/>
              <w:rPr>
                <w:b/>
                <w:sz w:val="20"/>
              </w:rPr>
            </w:pPr>
          </w:p>
          <w:p>
            <w:pPr>
              <w:pStyle w:val="TableParagraph"/>
              <w:ind w:start="107" w:end="152"/>
              <w:rPr>
                <w:sz w:val="20"/>
              </w:rPr>
            </w:pPr>
            <w:r>
              <w:rPr>
                <w:sz w:val="20"/>
              </w:rPr>
              <w:t xml:space="preserve">Six </w:t>
            </w:r>
            <w:r>
              <w:rPr>
                <w:sz w:val="20"/>
              </w:rPr>
              <w:t xml:space="preserve">adolescents </w:t>
            </w:r>
            <w:r>
              <w:rPr>
                <w:sz w:val="20"/>
              </w:rPr>
              <w:t xml:space="preserve">avaient </w:t>
            </w:r>
            <w:r>
              <w:rPr>
                <w:sz w:val="20"/>
              </w:rPr>
              <w:t xml:space="preserve">été </w:t>
            </w:r>
            <w:r>
              <w:rPr>
                <w:sz w:val="20"/>
              </w:rPr>
              <w:t xml:space="preserve">orientés </w:t>
            </w:r>
            <w:r>
              <w:rPr>
                <w:sz w:val="20"/>
              </w:rPr>
              <w:t xml:space="preserve">vers </w:t>
            </w:r>
            <w:r>
              <w:rPr>
                <w:sz w:val="20"/>
              </w:rPr>
              <w:t xml:space="preserve">une </w:t>
            </w:r>
            <w:r>
              <w:rPr>
                <w:sz w:val="20"/>
              </w:rPr>
              <w:t xml:space="preserve">clinique spécialisée dans les </w:t>
            </w:r>
            <w:r>
              <w:rPr>
                <w:sz w:val="20"/>
              </w:rPr>
              <w:t xml:space="preserve">questions de genre</w:t>
            </w:r>
          </w:p>
          <w:p>
            <w:pPr>
              <w:pStyle w:val="TableParagraph"/>
              <w:spacing w:line="219" w:lineRule="exact"/>
              <w:ind w:start="107"/>
              <w:rPr>
                <w:sz w:val="20"/>
              </w:rPr>
            </w:pPr>
            <w:r>
              <w:rPr>
                <w:sz w:val="20"/>
              </w:rPr>
              <w:t xml:space="preserve">ailleurs </w:t>
            </w:r>
            <w:r>
              <w:rPr>
                <w:sz w:val="20"/>
              </w:rPr>
              <w:t xml:space="preserve">pour d'</w:t>
            </w:r>
            <w:r>
              <w:rPr>
                <w:sz w:val="20"/>
              </w:rPr>
              <w:t xml:space="preserve">autres</w:t>
            </w:r>
          </w:p>
        </w:tc>
        <w:tc>
          <w:tcPr>
            <w:tcW w:w="2127" w:type="dxa"/>
          </w:tcPr>
          <w:p w:rsidR="00432386" w:rsidRDefault="00432386">
            <w:pPr>
              <w:pStyle w:val="TableParagraph"/>
              <w:rPr>
                <w:rFonts w:ascii="Times New Roman"/>
                <w:sz w:val="18"/>
              </w:rPr>
            </w:pPr>
          </w:p>
        </w:tc>
        <w:tc>
          <w:tcPr>
            <w:tcW w:w="3858" w:type="dxa"/>
          </w:tcPr>
          <w:p>
            <w:pPr>
              <w:pStyle w:val="TableParagraph"/>
              <w:ind w:start="466" w:end="310"/>
              <w:rPr>
                <w:sz w:val="13"/>
              </w:rPr>
            </w:pPr>
            <w:r>
              <w:rPr>
                <w:sz w:val="20"/>
              </w:rPr>
              <w:t xml:space="preserve">arrêt </w:t>
            </w:r>
            <w:r>
              <w:rPr>
                <w:sz w:val="20"/>
              </w:rPr>
              <w:t xml:space="preserve">temporaire </w:t>
            </w:r>
            <w:r>
              <w:rPr>
                <w:sz w:val="20"/>
              </w:rPr>
              <w:t xml:space="preserve">du </w:t>
            </w:r>
            <w:r>
              <w:rPr>
                <w:sz w:val="20"/>
              </w:rPr>
              <w:t xml:space="preserve">traitement </w:t>
            </w:r>
            <w:r>
              <w:rPr>
                <w:sz w:val="20"/>
              </w:rPr>
              <w:t xml:space="preserve">(après </w:t>
            </w:r>
            <w:r>
              <w:rPr>
                <w:sz w:val="20"/>
              </w:rPr>
              <w:t xml:space="preserve">4 </w:t>
            </w:r>
            <w:r>
              <w:rPr>
                <w:sz w:val="20"/>
              </w:rPr>
              <w:t xml:space="preserve">mois)</w:t>
            </w:r>
            <w:r>
              <w:rPr>
                <w:position w:val="6"/>
                <w:sz w:val="13"/>
              </w:rPr>
              <w:t xml:space="preserve">2</w:t>
            </w:r>
          </w:p>
          <w:p>
            <w:pPr>
              <w:pStyle w:val="TableParagraph"/>
              <w:numPr>
                <w:ilvl w:val="0"/>
                <w:numId w:val="43"/>
              </w:numPr>
              <w:tabs>
                <w:tab w:val="left" w:pos="466"/>
                <w:tab w:val="left" w:pos="467"/>
              </w:tabs>
              <w:ind w:start="466" w:end="155"/>
              <w:rPr>
                <w:sz w:val="20"/>
              </w:rPr>
            </w:pPr>
            <w:r>
              <w:rPr>
                <w:sz w:val="20"/>
              </w:rPr>
              <w:t xml:space="preserve">1 transmale a présenté des </w:t>
            </w:r>
            <w:r>
              <w:rPr>
                <w:sz w:val="20"/>
              </w:rPr>
              <w:t xml:space="preserve">sautes d'humeur 4 mois après avoir commencé les </w:t>
            </w:r>
            <w:r>
              <w:rPr>
                <w:sz w:val="20"/>
              </w:rPr>
              <w:t xml:space="preserve">analogues de la GnRH. Après 2,2 ans, il a </w:t>
            </w:r>
            <w:r>
              <w:rPr>
                <w:sz w:val="20"/>
              </w:rPr>
              <w:t xml:space="preserve">développé des </w:t>
            </w:r>
            <w:r>
              <w:rPr>
                <w:sz w:val="20"/>
              </w:rPr>
              <w:t xml:space="preserve">nausées </w:t>
            </w:r>
            <w:r>
              <w:rPr>
                <w:sz w:val="20"/>
              </w:rPr>
              <w:t xml:space="preserve">sévères inexpliquées </w:t>
            </w:r>
            <w:r>
              <w:rPr>
                <w:sz w:val="20"/>
              </w:rPr>
              <w:t xml:space="preserve">et une perte de poids rapide et, </w:t>
            </w:r>
            <w:r>
              <w:rPr>
                <w:sz w:val="20"/>
              </w:rPr>
              <w:t xml:space="preserve">en raison de son état général, il a </w:t>
            </w:r>
            <w:r>
              <w:rPr>
                <w:sz w:val="20"/>
              </w:rPr>
              <w:t xml:space="preserve">arrêté les </w:t>
            </w:r>
            <w:r>
              <w:rPr>
                <w:sz w:val="20"/>
              </w:rPr>
              <w:t xml:space="preserve">analogues de la </w:t>
            </w:r>
            <w:r>
              <w:rPr>
                <w:sz w:val="20"/>
              </w:rPr>
              <w:t xml:space="preserve">GnRH </w:t>
            </w:r>
            <w:r>
              <w:rPr>
                <w:sz w:val="20"/>
              </w:rPr>
              <w:t xml:space="preserve">après 2 ans.</w:t>
            </w:r>
          </w:p>
          <w:p>
            <w:pPr>
              <w:pStyle w:val="TableParagraph"/>
              <w:spacing w:line="227" w:lineRule="exact"/>
              <w:ind w:start="466"/>
              <w:rPr>
                <w:sz w:val="13"/>
              </w:rPr>
            </w:pPr>
            <w:r>
              <w:rPr>
                <w:sz w:val="20"/>
              </w:rPr>
              <w:t xml:space="preserve">2,4 </w:t>
            </w:r>
            <w:r>
              <w:rPr>
                <w:sz w:val="20"/>
              </w:rPr>
              <w:t xml:space="preserve">ans3</w:t>
            </w:r>
          </w:p>
          <w:p>
            <w:pPr>
              <w:pStyle w:val="TableParagraph"/>
              <w:numPr>
                <w:ilvl w:val="0"/>
                <w:numId w:val="42"/>
              </w:numPr>
              <w:tabs>
                <w:tab w:val="left" w:pos="466"/>
                <w:tab w:val="left" w:pos="467"/>
              </w:tabs>
              <w:ind w:start="466" w:end="304"/>
              <w:rPr>
                <w:sz w:val="13"/>
              </w:rPr>
            </w:pPr>
            <w:r>
              <w:rPr>
                <w:sz w:val="20"/>
              </w:rPr>
              <w:t xml:space="preserve">1 transmale </w:t>
            </w:r>
            <w:r>
              <w:rPr>
                <w:sz w:val="20"/>
              </w:rPr>
              <w:t xml:space="preserve">a</w:t>
            </w:r>
            <w:r>
              <w:rPr>
                <w:sz w:val="20"/>
              </w:rPr>
              <w:t xml:space="preserve"> arrêté les </w:t>
            </w:r>
            <w:r>
              <w:rPr>
                <w:sz w:val="20"/>
              </w:rPr>
              <w:t xml:space="preserve">analogues de la </w:t>
            </w:r>
            <w:r>
              <w:rPr>
                <w:sz w:val="20"/>
              </w:rPr>
              <w:t xml:space="preserve">GnRH </w:t>
            </w:r>
            <w:r>
              <w:rPr>
                <w:sz w:val="20"/>
              </w:rPr>
              <w:t xml:space="preserve">car ses parents </w:t>
            </w:r>
            <w:r>
              <w:rPr>
                <w:sz w:val="20"/>
              </w:rPr>
              <w:t xml:space="preserve">n'étaient pas en mesure d'aller chercher régulièrement les </w:t>
            </w:r>
            <w:r>
              <w:rPr>
                <w:sz w:val="20"/>
              </w:rPr>
              <w:t xml:space="preserve">médicaments </w:t>
            </w:r>
            <w:r>
              <w:rPr>
                <w:sz w:val="20"/>
              </w:rPr>
              <w:t xml:space="preserve">à la </w:t>
            </w:r>
            <w:r>
              <w:rPr>
                <w:sz w:val="20"/>
              </w:rPr>
              <w:t xml:space="preserve">pharmacie </w:t>
            </w:r>
            <w:r>
              <w:rPr>
                <w:sz w:val="20"/>
              </w:rPr>
              <w:t xml:space="preserve">et de </w:t>
            </w:r>
            <w:r>
              <w:rPr>
                <w:sz w:val="20"/>
              </w:rPr>
              <w:t xml:space="preserve">l'emmener aux rendez-vous pour les </w:t>
            </w:r>
            <w:r>
              <w:rPr>
                <w:sz w:val="20"/>
              </w:rPr>
              <w:t xml:space="preserve">injections4.</w:t>
            </w:r>
          </w:p>
          <w:p>
            <w:pPr>
              <w:pStyle w:val="TableParagraph"/>
              <w:ind w:start="106" w:end="103"/>
              <w:rPr>
                <w:sz w:val="20"/>
              </w:rPr>
            </w:pPr>
            <w:r>
              <w:rPr>
                <w:sz w:val="20"/>
              </w:rPr>
              <w:t xml:space="preserve">Cinq adolescents (3,5%) ont arrêté le </w:t>
            </w:r>
            <w:r>
              <w:rPr>
                <w:sz w:val="20"/>
              </w:rPr>
              <w:t xml:space="preserve">traitement car ils ne souhaitaient plus </w:t>
            </w:r>
            <w:r>
              <w:rPr>
                <w:sz w:val="20"/>
              </w:rPr>
              <w:t xml:space="preserve">poursuivre </w:t>
            </w:r>
            <w:r>
              <w:rPr>
                <w:sz w:val="20"/>
              </w:rPr>
              <w:t xml:space="preserve">le </w:t>
            </w:r>
            <w:r>
              <w:rPr>
                <w:sz w:val="20"/>
              </w:rPr>
              <w:t xml:space="preserve">traitement d'</w:t>
            </w:r>
            <w:r>
              <w:rPr>
                <w:sz w:val="20"/>
              </w:rPr>
              <w:t xml:space="preserve">affirmation du genre</w:t>
            </w:r>
            <w:r>
              <w:rPr>
                <w:sz w:val="20"/>
              </w:rPr>
              <w:t xml:space="preserve">.</w:t>
            </w:r>
          </w:p>
          <w:p>
            <w:pPr>
              <w:pStyle w:val="TableParagraph"/>
              <w:numPr>
                <w:ilvl w:val="0"/>
                <w:numId w:val="42"/>
              </w:numPr>
              <w:tabs>
                <w:tab w:val="left" w:pos="466"/>
                <w:tab w:val="left" w:pos="467"/>
              </w:tabs>
              <w:ind w:start="466" w:end="103"/>
              <w:rPr>
                <w:sz w:val="20"/>
              </w:rPr>
            </w:pPr>
            <w:r>
              <w:rPr>
                <w:sz w:val="20"/>
              </w:rPr>
              <w:t xml:space="preserve">Une adolescente avait été très </w:t>
            </w:r>
            <w:r>
              <w:rPr>
                <w:sz w:val="20"/>
              </w:rPr>
              <w:t xml:space="preserve">angoissée </w:t>
            </w:r>
            <w:r>
              <w:rPr>
                <w:sz w:val="20"/>
              </w:rPr>
              <w:t xml:space="preserve">par le </w:t>
            </w:r>
            <w:r>
              <w:rPr>
                <w:sz w:val="20"/>
              </w:rPr>
              <w:t xml:space="preserve">développement de </w:t>
            </w:r>
            <w:r>
              <w:rPr>
                <w:sz w:val="20"/>
              </w:rPr>
              <w:t xml:space="preserve">ses seins </w:t>
            </w:r>
            <w:r>
              <w:rPr>
                <w:sz w:val="20"/>
              </w:rPr>
              <w:t xml:space="preserve">au </w:t>
            </w:r>
            <w:r>
              <w:rPr>
                <w:sz w:val="20"/>
              </w:rPr>
              <w:t xml:space="preserve">début du traitement aux analogues de la GnRH et a </w:t>
            </w:r>
            <w:r>
              <w:rPr>
                <w:sz w:val="20"/>
              </w:rPr>
              <w:t xml:space="preserve">pensé plus tard qu'elle pourrait vouloir </w:t>
            </w:r>
            <w:r>
              <w:rPr>
                <w:sz w:val="20"/>
              </w:rPr>
              <w:t xml:space="preserve">vivre </w:t>
            </w:r>
            <w:r>
              <w:rPr>
                <w:sz w:val="20"/>
              </w:rPr>
              <w:t xml:space="preserve">comme </w:t>
            </w:r>
            <w:r>
              <w:rPr>
                <w:sz w:val="20"/>
              </w:rPr>
              <w:t xml:space="preserve">une </w:t>
            </w:r>
            <w:r>
              <w:rPr>
                <w:sz w:val="20"/>
              </w:rPr>
              <w:t xml:space="preserve">femme </w:t>
            </w:r>
            <w:r>
              <w:rPr>
                <w:sz w:val="20"/>
              </w:rPr>
              <w:t xml:space="preserve">sans </w:t>
            </w:r>
            <w:r>
              <w:rPr>
                <w:sz w:val="20"/>
              </w:rPr>
              <w:t xml:space="preserve">seins. </w:t>
            </w:r>
            <w:r>
              <w:rPr>
                <w:sz w:val="20"/>
              </w:rPr>
              <w:t xml:space="preserve">Elle ne voulait pas vivre comme un garçon et a </w:t>
            </w:r>
            <w:r>
              <w:rPr>
                <w:sz w:val="20"/>
              </w:rPr>
              <w:t xml:space="preserve">arrêté les analogues de la GnRH, </w:t>
            </w:r>
            <w:r>
              <w:rPr>
                <w:sz w:val="20"/>
              </w:rPr>
              <w:t xml:space="preserve">même si elle redoutait le </w:t>
            </w:r>
            <w:r>
              <w:rPr>
                <w:sz w:val="20"/>
              </w:rPr>
              <w:t xml:space="preserve">développement des </w:t>
            </w:r>
            <w:r>
              <w:rPr>
                <w:sz w:val="20"/>
              </w:rPr>
              <w:t xml:space="preserve">seins </w:t>
            </w:r>
            <w:r>
              <w:rPr>
                <w:sz w:val="20"/>
              </w:rPr>
              <w:t xml:space="preserve">et les </w:t>
            </w:r>
            <w:r>
              <w:rPr>
                <w:sz w:val="20"/>
              </w:rPr>
              <w:t xml:space="preserve">menstruations.</w:t>
            </w:r>
          </w:p>
          <w:p>
            <w:pPr>
              <w:pStyle w:val="TableParagraph"/>
              <w:numPr>
                <w:ilvl w:val="0"/>
                <w:numId w:val="42"/>
              </w:numPr>
              <w:tabs>
                <w:tab w:val="left" w:pos="466"/>
                <w:tab w:val="left" w:pos="467"/>
              </w:tabs>
              <w:ind w:start="466" w:end="103"/>
              <w:rPr>
                <w:sz w:val="13"/>
              </w:rPr>
            </w:pPr>
            <w:r>
              <w:rPr>
                <w:sz w:val="20"/>
              </w:rPr>
              <w:t xml:space="preserve">1 </w:t>
            </w:r>
            <w:r>
              <w:rPr>
                <w:sz w:val="20"/>
              </w:rPr>
              <w:t xml:space="preserve">adolescent </w:t>
            </w:r>
            <w:r>
              <w:rPr>
                <w:sz w:val="20"/>
              </w:rPr>
              <w:t xml:space="preserve">a connu des </w:t>
            </w:r>
            <w:r>
              <w:rPr>
                <w:sz w:val="20"/>
              </w:rPr>
              <w:t xml:space="preserve">problèmes psychosociaux </w:t>
            </w:r>
            <w:r>
              <w:rPr>
                <w:sz w:val="20"/>
              </w:rPr>
              <w:t xml:space="preserve">concomitants </w:t>
            </w:r>
            <w:r>
              <w:rPr>
                <w:sz w:val="20"/>
              </w:rPr>
              <w:t xml:space="preserve">interférant </w:t>
            </w:r>
            <w:r>
              <w:rPr>
                <w:sz w:val="20"/>
              </w:rPr>
              <w:t xml:space="preserve">avec </w:t>
            </w:r>
            <w:r>
              <w:rPr>
                <w:sz w:val="20"/>
              </w:rPr>
              <w:t xml:space="preserve">l</w:t>
            </w:r>
            <w:r>
              <w:rPr>
                <w:sz w:val="20"/>
              </w:rPr>
              <w:t xml:space="preserve">'</w:t>
            </w:r>
            <w:r>
              <w:rPr>
                <w:sz w:val="20"/>
              </w:rPr>
              <w:t xml:space="preserve">exploration </w:t>
            </w:r>
            <w:r>
              <w:rPr>
                <w:sz w:val="20"/>
              </w:rPr>
              <w:t xml:space="preserve">de l'</w:t>
            </w:r>
            <w:r>
              <w:rPr>
                <w:sz w:val="20"/>
              </w:rPr>
              <w:t xml:space="preserve">identité de </w:t>
            </w:r>
            <w:r>
              <w:rPr>
                <w:sz w:val="20"/>
              </w:rPr>
              <w:t xml:space="preserve">genre </w:t>
            </w:r>
            <w:r>
              <w:rPr>
                <w:sz w:val="20"/>
              </w:rPr>
              <w:t xml:space="preserve">et ne souhaitait pas actuellement de </w:t>
            </w:r>
            <w:r>
              <w:rPr>
                <w:sz w:val="20"/>
              </w:rPr>
              <w:t xml:space="preserve">traitement. </w:t>
            </w:r>
            <w:r>
              <w:rPr>
                <w:position w:val="6"/>
                <w:sz w:val="13"/>
              </w:rPr>
              <w:t xml:space="preserve">5</w:t>
            </w:r>
          </w:p>
          <w:p>
            <w:pPr>
              <w:pStyle w:val="TableParagraph"/>
              <w:numPr>
                <w:ilvl w:val="0"/>
                <w:numId w:val="42"/>
              </w:numPr>
              <w:tabs>
                <w:tab w:val="left" w:pos="466"/>
                <w:tab w:val="left" w:pos="467"/>
              </w:tabs>
              <w:ind w:start="466" w:end="335"/>
              <w:rPr>
                <w:sz w:val="13"/>
              </w:rPr>
            </w:pPr>
            <w:r>
              <w:rPr>
                <w:sz w:val="20"/>
              </w:rPr>
              <w:t xml:space="preserve">1 adolescent s'est senti plus entre le </w:t>
            </w:r>
            <w:r>
              <w:rPr>
                <w:sz w:val="20"/>
              </w:rPr>
              <w:t xml:space="preserve">masculin </w:t>
            </w:r>
            <w:r>
              <w:rPr>
                <w:sz w:val="20"/>
              </w:rPr>
              <w:t xml:space="preserve">et le </w:t>
            </w:r>
            <w:r>
              <w:rPr>
                <w:sz w:val="20"/>
              </w:rPr>
              <w:t xml:space="preserve">féminin </w:t>
            </w:r>
            <w:r>
              <w:rPr>
                <w:sz w:val="20"/>
              </w:rPr>
              <w:t xml:space="preserve">et </w:t>
            </w:r>
            <w:r>
              <w:rPr>
                <w:sz w:val="20"/>
              </w:rPr>
              <w:t xml:space="preserve">n'</w:t>
            </w:r>
            <w:r>
              <w:rPr>
                <w:sz w:val="20"/>
              </w:rPr>
              <w:t xml:space="preserve">a </w:t>
            </w:r>
            <w:r>
              <w:rPr>
                <w:sz w:val="20"/>
              </w:rPr>
              <w:t xml:space="preserve">donc </w:t>
            </w:r>
            <w:r>
              <w:rPr>
                <w:sz w:val="20"/>
              </w:rPr>
              <w:t xml:space="preserve">pas voulu continuer avec les </w:t>
            </w:r>
            <w:r>
              <w:rPr>
                <w:sz w:val="20"/>
              </w:rPr>
              <w:t xml:space="preserve">analogues de la </w:t>
            </w:r>
            <w:r>
              <w:rPr>
                <w:sz w:val="20"/>
              </w:rPr>
              <w:t xml:space="preserve">GnRH</w:t>
            </w:r>
            <w:r>
              <w:rPr>
                <w:sz w:val="20"/>
              </w:rPr>
              <w:t xml:space="preserve">. </w:t>
            </w:r>
            <w:r>
              <w:rPr>
                <w:position w:val="6"/>
                <w:sz w:val="13"/>
              </w:rPr>
              <w:t xml:space="preserve">6</w:t>
            </w:r>
          </w:p>
          <w:p>
            <w:pPr>
              <w:pStyle w:val="TableParagraph"/>
              <w:numPr>
                <w:ilvl w:val="0"/>
                <w:numId w:val="42"/>
              </w:numPr>
              <w:tabs>
                <w:tab w:val="left" w:pos="466"/>
                <w:tab w:val="left" w:pos="467"/>
              </w:tabs>
              <w:spacing w:line="235" w:lineRule="auto"/>
              <w:ind w:start="466" w:end="913"/>
              <w:rPr>
                <w:sz w:val="20"/>
              </w:rPr>
            </w:pPr>
            <w:r>
              <w:rPr>
                <w:sz w:val="20"/>
              </w:rPr>
              <w:t xml:space="preserve">1 adolescent a fait une </w:t>
            </w:r>
            <w:r>
              <w:rPr>
                <w:sz w:val="20"/>
              </w:rPr>
              <w:t xml:space="preserve">transition </w:t>
            </w:r>
            <w:r>
              <w:rPr>
                <w:sz w:val="20"/>
              </w:rPr>
              <w:t xml:space="preserve">sociale </w:t>
            </w:r>
            <w:r>
              <w:rPr>
                <w:sz w:val="20"/>
              </w:rPr>
              <w:t xml:space="preserve">alors qu'il </w:t>
            </w:r>
            <w:r>
              <w:rPr>
                <w:sz w:val="20"/>
              </w:rPr>
              <w:t xml:space="preserve">utilisait la </w:t>
            </w:r>
            <w:r>
              <w:rPr>
                <w:sz w:val="20"/>
              </w:rPr>
              <w:t xml:space="preserve">GnRH</w:t>
            </w:r>
          </w:p>
        </w:tc>
        <w:tc>
          <w:tcPr>
            <w:tcW w:w="3405"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86"/>
        <w:gridCol w:w="2564"/>
        <w:gridCol w:w="2127"/>
        <w:gridCol w:w="3858"/>
        <w:gridCol w:w="3405"/>
      </w:tblGrid>
      <w:tr w:rsidR="00432386">
        <w:trPr>
          <w:trHeight w:val="1394"/>
        </w:trPr>
        <w:tc>
          <w:tcPr>
            <w:tcW w:w="2986" w:type="dxa"/>
          </w:tcPr>
          <w:p w:rsidR="00432386" w:rsidRDefault="00432386">
            <w:pPr>
              <w:pStyle w:val="TableParagraph"/>
              <w:rPr>
                <w:rFonts w:ascii="Times New Roman"/>
                <w:sz w:val="18"/>
              </w:rPr>
            </w:pPr>
          </w:p>
        </w:tc>
        <w:tc>
          <w:tcPr>
            <w:tcW w:w="2564" w:type="dxa"/>
          </w:tcPr>
          <w:p>
            <w:pPr>
              <w:pStyle w:val="TableParagraph"/>
              <w:ind w:start="107" w:end="108"/>
              <w:rPr>
                <w:sz w:val="20"/>
              </w:rPr>
            </w:pPr>
            <w:r>
              <w:rPr>
                <w:sz w:val="20"/>
              </w:rPr>
              <w:t xml:space="preserve">traitement, </w:t>
            </w:r>
            <w:r>
              <w:rPr>
                <w:sz w:val="20"/>
              </w:rPr>
              <w:t xml:space="preserve">dont </w:t>
            </w:r>
            <w:r>
              <w:rPr>
                <w:sz w:val="20"/>
              </w:rPr>
              <w:t xml:space="preserve">1 </w:t>
            </w:r>
            <w:r>
              <w:rPr>
                <w:sz w:val="20"/>
              </w:rPr>
              <w:t xml:space="preserve">qui </w:t>
            </w:r>
            <w:r>
              <w:rPr>
                <w:sz w:val="20"/>
              </w:rPr>
              <w:t xml:space="preserve">avait un </w:t>
            </w:r>
            <w:r>
              <w:rPr>
                <w:sz w:val="20"/>
              </w:rPr>
              <w:t xml:space="preserve">usage </w:t>
            </w:r>
            <w:r>
              <w:rPr>
                <w:sz w:val="20"/>
              </w:rPr>
              <w:t xml:space="preserve">prolongé</w:t>
            </w:r>
            <w:r>
              <w:rPr>
                <w:sz w:val="20"/>
              </w:rPr>
              <w:t xml:space="preserve">.</w:t>
            </w:r>
          </w:p>
        </w:tc>
        <w:tc>
          <w:tcPr>
            <w:tcW w:w="2127" w:type="dxa"/>
          </w:tcPr>
          <w:p w:rsidR="00432386" w:rsidRDefault="00432386">
            <w:pPr>
              <w:pStyle w:val="TableParagraph"/>
              <w:rPr>
                <w:rFonts w:ascii="Times New Roman"/>
                <w:sz w:val="18"/>
              </w:rPr>
            </w:pPr>
          </w:p>
        </w:tc>
        <w:tc>
          <w:tcPr>
            <w:tcW w:w="3858" w:type="dxa"/>
          </w:tcPr>
          <w:p>
            <w:pPr>
              <w:pStyle w:val="TableParagraph"/>
              <w:ind w:start="466" w:end="103"/>
              <w:rPr>
                <w:sz w:val="13"/>
              </w:rPr>
            </w:pPr>
            <w:r>
              <w:rPr>
                <w:sz w:val="20"/>
              </w:rPr>
              <w:t xml:space="preserve">analogues </w:t>
            </w:r>
            <w:r>
              <w:rPr>
                <w:sz w:val="20"/>
              </w:rPr>
              <w:t xml:space="preserve">et a </w:t>
            </w:r>
            <w:r>
              <w:rPr>
                <w:sz w:val="20"/>
              </w:rPr>
              <w:t xml:space="preserve">décidé </w:t>
            </w:r>
            <w:r>
              <w:rPr>
                <w:sz w:val="20"/>
              </w:rPr>
              <w:t xml:space="preserve">peu </w:t>
            </w:r>
            <w:r>
              <w:rPr>
                <w:sz w:val="20"/>
              </w:rPr>
              <w:t xml:space="preserve">après d</w:t>
            </w:r>
            <w:r>
              <w:rPr>
                <w:sz w:val="20"/>
              </w:rPr>
              <w:t xml:space="preserve">'</w:t>
            </w:r>
            <w:r>
              <w:rPr>
                <w:sz w:val="20"/>
              </w:rPr>
              <w:t xml:space="preserve">interrompre le traitement. </w:t>
            </w:r>
            <w:r>
              <w:rPr>
                <w:position w:val="6"/>
                <w:sz w:val="13"/>
              </w:rPr>
              <w:t xml:space="preserve">7</w:t>
            </w:r>
          </w:p>
          <w:p>
            <w:pPr>
              <w:pStyle w:val="TableParagraph"/>
              <w:numPr>
                <w:ilvl w:val="0"/>
                <w:numId w:val="41"/>
              </w:numPr>
              <w:tabs>
                <w:tab w:val="left" w:pos="466"/>
                <w:tab w:val="left" w:pos="467"/>
              </w:tabs>
              <w:spacing w:line="237" w:lineRule="auto"/>
              <w:ind w:start="466" w:end="282"/>
              <w:rPr>
                <w:sz w:val="20"/>
              </w:rPr>
            </w:pPr>
            <w:r>
              <w:rPr>
                <w:sz w:val="20"/>
              </w:rPr>
              <w:t xml:space="preserve">1 adolescent a cessé d'utiliser </w:t>
            </w:r>
            <w:r>
              <w:rPr>
                <w:sz w:val="20"/>
              </w:rPr>
              <w:t xml:space="preserve">les analogues de la GnRH car le </w:t>
            </w:r>
            <w:r>
              <w:rPr>
                <w:sz w:val="20"/>
              </w:rPr>
              <w:t xml:space="preserve">traitement </w:t>
            </w:r>
            <w:r>
              <w:rPr>
                <w:sz w:val="20"/>
              </w:rPr>
              <w:t xml:space="preserve">lui </w:t>
            </w:r>
            <w:r>
              <w:rPr>
                <w:sz w:val="20"/>
              </w:rPr>
              <w:t xml:space="preserve">permettait </w:t>
            </w:r>
            <w:r>
              <w:rPr>
                <w:sz w:val="20"/>
              </w:rPr>
              <w:t xml:space="preserve">de </w:t>
            </w:r>
            <w:r>
              <w:rPr>
                <w:sz w:val="20"/>
              </w:rPr>
              <w:t xml:space="preserve">se sentir </w:t>
            </w:r>
            <w:r>
              <w:rPr>
                <w:sz w:val="20"/>
              </w:rPr>
              <w:t xml:space="preserve">qui il était.</w:t>
            </w:r>
          </w:p>
          <w:p>
            <w:pPr>
              <w:pStyle w:val="TableParagraph"/>
              <w:spacing w:line="220" w:lineRule="exact"/>
              <w:ind w:start="466"/>
              <w:rPr>
                <w:sz w:val="13"/>
              </w:rPr>
            </w:pPr>
            <w:r>
              <w:rPr>
                <w:sz w:val="20"/>
              </w:rPr>
              <w:t xml:space="preserve">ils </w:t>
            </w:r>
            <w:r>
              <w:rPr>
                <w:sz w:val="20"/>
              </w:rPr>
              <w:t xml:space="preserve">l'étaient. </w:t>
            </w:r>
            <w:r>
              <w:rPr>
                <w:position w:val="6"/>
                <w:sz w:val="13"/>
              </w:rPr>
              <w:t xml:space="preserve">8</w:t>
            </w:r>
          </w:p>
        </w:tc>
        <w:tc>
          <w:tcPr>
            <w:tcW w:w="3405" w:type="dxa"/>
          </w:tcPr>
          <w:p w:rsidR="00432386" w:rsidRDefault="00432386">
            <w:pPr>
              <w:pStyle w:val="TableParagraph"/>
              <w:rPr>
                <w:rFonts w:ascii="Times New Roman"/>
                <w:sz w:val="18"/>
              </w:rPr>
            </w:pPr>
          </w:p>
        </w:tc>
      </w:tr>
    </w:tbl>
    <w:p>
      <w:pPr>
        <w:spacing w:line="196" w:lineRule="exact"/>
        <w:ind w:start="100"/>
        <w:rPr>
          <w:sz w:val="18"/>
        </w:rPr>
      </w:pPr>
      <w:r>
        <w:rPr>
          <w:spacing w:val="-1"/>
          <w:position w:val="6"/>
          <w:sz w:val="12"/>
        </w:rPr>
        <w:t xml:space="preserve">1 </w:t>
      </w:r>
      <w:r>
        <w:rPr>
          <w:spacing w:val="-1"/>
          <w:sz w:val="18"/>
        </w:rPr>
        <w:t xml:space="preserve">L'</w:t>
      </w:r>
      <w:r>
        <w:rPr>
          <w:spacing w:val="-1"/>
          <w:sz w:val="18"/>
        </w:rPr>
        <w:t xml:space="preserve">adolescente a </w:t>
      </w:r>
      <w:r>
        <w:rPr>
          <w:sz w:val="18"/>
        </w:rPr>
        <w:t xml:space="preserve">indiqué </w:t>
      </w:r>
      <w:r>
        <w:rPr>
          <w:spacing w:val="-1"/>
          <w:sz w:val="18"/>
        </w:rPr>
        <w:t xml:space="preserve">plus tard </w:t>
      </w:r>
      <w:r>
        <w:rPr>
          <w:sz w:val="18"/>
        </w:rPr>
        <w:t xml:space="preserve">: "J'</w:t>
      </w:r>
      <w:r>
        <w:rPr>
          <w:sz w:val="18"/>
        </w:rPr>
        <w:t xml:space="preserve">étais </w:t>
      </w:r>
      <w:r>
        <w:rPr>
          <w:sz w:val="18"/>
        </w:rPr>
        <w:t xml:space="preserve">déjà </w:t>
      </w:r>
      <w:r>
        <w:rPr>
          <w:sz w:val="18"/>
        </w:rPr>
        <w:t xml:space="preserve">à pleine </w:t>
      </w:r>
      <w:r>
        <w:rPr>
          <w:sz w:val="18"/>
        </w:rPr>
        <w:t xml:space="preserve">maturité </w:t>
      </w:r>
      <w:r>
        <w:rPr>
          <w:sz w:val="18"/>
        </w:rPr>
        <w:t xml:space="preserve">lorsque </w:t>
      </w:r>
      <w:r>
        <w:rPr>
          <w:sz w:val="18"/>
        </w:rPr>
        <w:t xml:space="preserve">j'ai </w:t>
      </w:r>
      <w:r>
        <w:rPr>
          <w:sz w:val="18"/>
        </w:rPr>
        <w:t xml:space="preserve">commencé les </w:t>
      </w:r>
      <w:r>
        <w:rPr>
          <w:sz w:val="18"/>
        </w:rPr>
        <w:t xml:space="preserve">analogues de la </w:t>
      </w:r>
      <w:r>
        <w:rPr>
          <w:sz w:val="18"/>
        </w:rPr>
        <w:t xml:space="preserve">GnRH</w:t>
      </w:r>
      <w:r>
        <w:rPr>
          <w:sz w:val="18"/>
        </w:rPr>
        <w:t xml:space="preserve">, les </w:t>
      </w:r>
      <w:r>
        <w:rPr>
          <w:sz w:val="18"/>
        </w:rPr>
        <w:t xml:space="preserve">menstruations </w:t>
      </w:r>
      <w:r>
        <w:rPr>
          <w:sz w:val="18"/>
        </w:rPr>
        <w:t xml:space="preserve">étaient </w:t>
      </w:r>
      <w:r>
        <w:rPr>
          <w:sz w:val="18"/>
        </w:rPr>
        <w:t xml:space="preserve">déjà </w:t>
      </w:r>
      <w:r>
        <w:rPr>
          <w:sz w:val="18"/>
        </w:rPr>
        <w:t xml:space="preserve">supprimées </w:t>
      </w:r>
      <w:r>
        <w:rPr>
          <w:sz w:val="18"/>
        </w:rPr>
        <w:t xml:space="preserve">par les </w:t>
      </w:r>
      <w:r>
        <w:rPr>
          <w:sz w:val="18"/>
        </w:rPr>
        <w:t xml:space="preserve">contraceptifs. </w:t>
      </w:r>
      <w:r>
        <w:rPr>
          <w:sz w:val="18"/>
        </w:rPr>
        <w:t xml:space="preserve">Pour </w:t>
      </w:r>
      <w:r>
        <w:rPr>
          <w:sz w:val="18"/>
        </w:rPr>
        <w:t xml:space="preserve">moi</w:t>
      </w:r>
      <w:r>
        <w:rPr>
          <w:sz w:val="18"/>
        </w:rPr>
        <w:t xml:space="preserve">, </w:t>
      </w:r>
      <w:r>
        <w:rPr>
          <w:sz w:val="18"/>
        </w:rPr>
        <w:t xml:space="preserve">cela </w:t>
      </w:r>
      <w:r>
        <w:rPr>
          <w:sz w:val="18"/>
        </w:rPr>
        <w:t xml:space="preserve">n'</w:t>
      </w:r>
      <w:r>
        <w:rPr>
          <w:sz w:val="18"/>
        </w:rPr>
        <w:t xml:space="preserve">avait </w:t>
      </w:r>
      <w:r>
        <w:rPr>
          <w:sz w:val="18"/>
        </w:rPr>
        <w:t xml:space="preserve">aucune </w:t>
      </w:r>
      <w:r>
        <w:rPr>
          <w:sz w:val="18"/>
        </w:rPr>
        <w:t xml:space="preserve">valeur </w:t>
      </w:r>
      <w:r>
        <w:rPr>
          <w:sz w:val="18"/>
        </w:rPr>
        <w:t xml:space="preserve">ajoutée</w:t>
      </w:r>
      <w:r>
        <w:rPr>
          <w:sz w:val="18"/>
        </w:rPr>
        <w:t xml:space="preserve">" </w:t>
      </w:r>
      <w:r>
        <w:rPr>
          <w:sz w:val="18"/>
        </w:rPr>
        <w:t xml:space="preserve">(transmale,</w:t>
      </w:r>
    </w:p>
    <w:p>
      <w:pPr>
        <w:spacing w:line="206" w:lineRule="exact"/>
        <w:ind w:start="100"/>
        <w:rPr>
          <w:sz w:val="18"/>
        </w:rPr>
      </w:pPr>
      <w:r>
        <w:rPr>
          <w:sz w:val="18"/>
        </w:rPr>
        <w:t xml:space="preserve">l'âge de </w:t>
      </w:r>
      <w:r>
        <w:rPr>
          <w:sz w:val="18"/>
        </w:rPr>
        <w:t xml:space="preserve">19 </w:t>
      </w:r>
      <w:r>
        <w:rPr>
          <w:sz w:val="18"/>
        </w:rPr>
        <w:t xml:space="preserve">ans).</w:t>
      </w:r>
    </w:p>
    <w:p>
      <w:pPr>
        <w:spacing w:line="208" w:lineRule="exact"/>
        <w:ind w:start="100"/>
        <w:rPr>
          <w:sz w:val="18"/>
        </w:rPr>
      </w:pPr>
      <w:r>
        <w:rPr>
          <w:position w:val="6"/>
          <w:sz w:val="12"/>
        </w:rPr>
        <w:t xml:space="preserve">2 </w:t>
      </w:r>
      <w:r>
        <w:rPr>
          <w:sz w:val="18"/>
        </w:rPr>
        <w:t xml:space="preserve">L'</w:t>
      </w:r>
      <w:r>
        <w:rPr>
          <w:sz w:val="18"/>
        </w:rPr>
        <w:t xml:space="preserve">adolescent a </w:t>
      </w:r>
      <w:r>
        <w:rPr>
          <w:sz w:val="18"/>
        </w:rPr>
        <w:t xml:space="preserve">repris un </w:t>
      </w:r>
      <w:r>
        <w:rPr>
          <w:sz w:val="18"/>
        </w:rPr>
        <w:t xml:space="preserve">traitement </w:t>
      </w:r>
      <w:r>
        <w:rPr>
          <w:sz w:val="18"/>
        </w:rPr>
        <w:t xml:space="preserve">endocrinien </w:t>
      </w:r>
      <w:r>
        <w:rPr>
          <w:sz w:val="18"/>
        </w:rPr>
        <w:t xml:space="preserve">(testostérone) </w:t>
      </w:r>
      <w:r>
        <w:rPr>
          <w:sz w:val="18"/>
        </w:rPr>
        <w:t xml:space="preserve">5 </w:t>
      </w:r>
      <w:r>
        <w:rPr>
          <w:sz w:val="18"/>
        </w:rPr>
        <w:t xml:space="preserve">mois </w:t>
      </w:r>
      <w:r>
        <w:rPr>
          <w:sz w:val="18"/>
        </w:rPr>
        <w:t xml:space="preserve">plus tard.</w:t>
      </w:r>
    </w:p>
    <w:p>
      <w:pPr>
        <w:spacing w:line="206" w:lineRule="exact"/>
        <w:ind w:start="100"/>
        <w:rPr>
          <w:sz w:val="18"/>
        </w:rPr>
      </w:pPr>
      <w:r>
        <w:rPr>
          <w:position w:val="6"/>
          <w:sz w:val="12"/>
        </w:rPr>
        <w:t xml:space="preserve">3 </w:t>
      </w:r>
      <w:r>
        <w:rPr>
          <w:sz w:val="18"/>
        </w:rPr>
        <w:t xml:space="preserve">L'</w:t>
      </w:r>
      <w:r>
        <w:rPr>
          <w:sz w:val="18"/>
        </w:rPr>
        <w:t xml:space="preserve">adolescent </w:t>
      </w:r>
      <w:r>
        <w:rPr>
          <w:sz w:val="18"/>
        </w:rPr>
        <w:t xml:space="preserve">s'est rétabli </w:t>
      </w:r>
      <w:r>
        <w:rPr>
          <w:sz w:val="18"/>
        </w:rPr>
        <w:t xml:space="preserve">au cours des </w:t>
      </w:r>
      <w:r>
        <w:rPr>
          <w:sz w:val="18"/>
        </w:rPr>
        <w:t xml:space="preserve">deux </w:t>
      </w:r>
      <w:r>
        <w:rPr>
          <w:sz w:val="18"/>
        </w:rPr>
        <w:t xml:space="preserve">années </w:t>
      </w:r>
      <w:r>
        <w:rPr>
          <w:sz w:val="18"/>
        </w:rPr>
        <w:t xml:space="preserve">suivantes </w:t>
      </w:r>
      <w:r>
        <w:rPr>
          <w:sz w:val="18"/>
        </w:rPr>
        <w:t xml:space="preserve">et a </w:t>
      </w:r>
      <w:r>
        <w:rPr>
          <w:sz w:val="18"/>
        </w:rPr>
        <w:t xml:space="preserve">ensuite </w:t>
      </w:r>
      <w:r>
        <w:rPr>
          <w:sz w:val="18"/>
        </w:rPr>
        <w:t xml:space="preserve">commencé un </w:t>
      </w:r>
      <w:r>
        <w:rPr>
          <w:sz w:val="18"/>
        </w:rPr>
        <w:t xml:space="preserve">traitement </w:t>
      </w:r>
      <w:r>
        <w:rPr>
          <w:sz w:val="18"/>
        </w:rPr>
        <w:t xml:space="preserve">au </w:t>
      </w:r>
      <w:r>
        <w:rPr>
          <w:sz w:val="18"/>
        </w:rPr>
        <w:t xml:space="preserve">lynestrenol </w:t>
      </w:r>
      <w:r>
        <w:rPr>
          <w:sz w:val="18"/>
        </w:rPr>
        <w:t xml:space="preserve">et à la </w:t>
      </w:r>
      <w:r>
        <w:rPr>
          <w:sz w:val="18"/>
        </w:rPr>
        <w:t xml:space="preserve">testostérone</w:t>
      </w:r>
      <w:r>
        <w:rPr>
          <w:sz w:val="18"/>
        </w:rPr>
        <w:t xml:space="preserve">.</w:t>
      </w:r>
    </w:p>
    <w:p>
      <w:pPr>
        <w:spacing w:line="207" w:lineRule="exact"/>
        <w:ind w:start="100"/>
        <w:rPr>
          <w:sz w:val="18"/>
        </w:rPr>
      </w:pPr>
      <w:r>
        <w:rPr>
          <w:spacing w:val="-1"/>
          <w:position w:val="6"/>
          <w:sz w:val="12"/>
        </w:rPr>
        <w:t xml:space="preserve">4 </w:t>
      </w:r>
      <w:r>
        <w:rPr>
          <w:spacing w:val="-1"/>
          <w:sz w:val="18"/>
        </w:rPr>
        <w:t xml:space="preserve">L'</w:t>
      </w:r>
      <w:r>
        <w:rPr>
          <w:spacing w:val="-1"/>
          <w:sz w:val="18"/>
        </w:rPr>
        <w:t xml:space="preserve">adolescent </w:t>
      </w:r>
      <w:r>
        <w:rPr>
          <w:spacing w:val="-1"/>
          <w:sz w:val="18"/>
        </w:rPr>
        <w:t xml:space="preserve">a ensuite commencé à prendre du </w:t>
      </w:r>
      <w:r>
        <w:rPr>
          <w:spacing w:val="-1"/>
          <w:sz w:val="18"/>
        </w:rPr>
        <w:t xml:space="preserve">lynestrenol </w:t>
      </w:r>
      <w:r>
        <w:rPr>
          <w:sz w:val="18"/>
        </w:rPr>
        <w:t xml:space="preserve">pour </w:t>
      </w:r>
      <w:r>
        <w:rPr>
          <w:sz w:val="18"/>
        </w:rPr>
        <w:t xml:space="preserve">supprimer </w:t>
      </w:r>
      <w:r>
        <w:rPr>
          <w:sz w:val="18"/>
        </w:rPr>
        <w:t xml:space="preserve">ses menstruations, </w:t>
      </w:r>
      <w:r>
        <w:rPr>
          <w:sz w:val="18"/>
        </w:rPr>
        <w:t xml:space="preserve">il </w:t>
      </w:r>
      <w:r>
        <w:rPr>
          <w:sz w:val="18"/>
        </w:rPr>
        <w:t xml:space="preserve">n'</w:t>
      </w:r>
      <w:r>
        <w:rPr>
          <w:sz w:val="18"/>
        </w:rPr>
        <w:t xml:space="preserve">était </w:t>
      </w:r>
      <w:r>
        <w:rPr>
          <w:sz w:val="18"/>
        </w:rPr>
        <w:t xml:space="preserve">pas </w:t>
      </w:r>
      <w:r>
        <w:rPr>
          <w:sz w:val="18"/>
        </w:rPr>
        <w:t xml:space="preserve">encore éligible pour un </w:t>
      </w:r>
      <w:r>
        <w:rPr>
          <w:sz w:val="18"/>
        </w:rPr>
        <w:t xml:space="preserve">traitement à la testostérone.</w:t>
      </w:r>
    </w:p>
    <w:p>
      <w:pPr>
        <w:ind w:start="100" w:end="59"/>
        <w:rPr>
          <w:sz w:val="18"/>
        </w:rPr>
      </w:pPr>
      <w:r>
        <w:rPr>
          <w:position w:val="6"/>
          <w:sz w:val="12"/>
        </w:rPr>
        <w:t xml:space="preserve">5 </w:t>
      </w:r>
      <w:r>
        <w:rPr>
          <w:sz w:val="18"/>
        </w:rPr>
        <w:t xml:space="preserve">L'</w:t>
      </w:r>
      <w:r>
        <w:rPr>
          <w:sz w:val="18"/>
        </w:rPr>
        <w:t xml:space="preserve">adolescente a ensuite déclaré : </w:t>
      </w:r>
      <w:r>
        <w:rPr>
          <w:sz w:val="18"/>
        </w:rPr>
        <w:t xml:space="preserve">"La </w:t>
      </w:r>
      <w:r>
        <w:rPr>
          <w:sz w:val="18"/>
        </w:rPr>
        <w:t xml:space="preserve">décision </w:t>
      </w:r>
      <w:r>
        <w:rPr>
          <w:sz w:val="18"/>
        </w:rPr>
        <w:t xml:space="preserve">d'</w:t>
      </w:r>
      <w:r>
        <w:rPr>
          <w:sz w:val="18"/>
        </w:rPr>
        <w:t xml:space="preserve">arrêter les </w:t>
      </w:r>
      <w:r>
        <w:rPr>
          <w:sz w:val="18"/>
        </w:rPr>
        <w:t xml:space="preserve">analogues de la </w:t>
      </w:r>
      <w:r>
        <w:rPr>
          <w:sz w:val="18"/>
        </w:rPr>
        <w:t xml:space="preserve">GnRH </w:t>
      </w:r>
      <w:r>
        <w:rPr>
          <w:sz w:val="18"/>
        </w:rPr>
        <w:t xml:space="preserve">a été </w:t>
      </w:r>
      <w:r>
        <w:rPr>
          <w:sz w:val="18"/>
        </w:rPr>
        <w:t xml:space="preserve">prise </w:t>
      </w:r>
      <w:r>
        <w:rPr>
          <w:sz w:val="18"/>
        </w:rPr>
        <w:t xml:space="preserve">par </w:t>
      </w:r>
      <w:r>
        <w:rPr>
          <w:sz w:val="18"/>
        </w:rPr>
        <w:t xml:space="preserve">l'</w:t>
      </w:r>
      <w:r>
        <w:rPr>
          <w:sz w:val="18"/>
        </w:rPr>
        <w:t xml:space="preserve">équipe chargée des questions de genre, </w:t>
      </w:r>
      <w:r>
        <w:rPr>
          <w:sz w:val="18"/>
        </w:rPr>
        <w:t xml:space="preserve">car </w:t>
      </w:r>
      <w:r>
        <w:rPr>
          <w:sz w:val="18"/>
        </w:rPr>
        <w:t xml:space="preserve">elle </w:t>
      </w:r>
      <w:r>
        <w:rPr>
          <w:sz w:val="18"/>
        </w:rPr>
        <w:t xml:space="preserve">ne pensait pas que la </w:t>
      </w:r>
      <w:r>
        <w:rPr>
          <w:sz w:val="18"/>
        </w:rPr>
        <w:t xml:space="preserve">dysphorie de genre </w:t>
      </w:r>
      <w:r>
        <w:rPr>
          <w:sz w:val="18"/>
        </w:rPr>
        <w:t xml:space="preserve">était </w:t>
      </w:r>
      <w:r>
        <w:rPr>
          <w:sz w:val="18"/>
        </w:rPr>
        <w:t xml:space="preserve">le </w:t>
      </w:r>
      <w:r>
        <w:rPr>
          <w:sz w:val="18"/>
        </w:rPr>
        <w:t xml:space="preserve">bon diagnostic. </w:t>
      </w:r>
      <w:r>
        <w:rPr>
          <w:sz w:val="18"/>
        </w:rPr>
        <w:t xml:space="preserve">J'ai </w:t>
      </w:r>
      <w:r>
        <w:rPr>
          <w:sz w:val="18"/>
        </w:rPr>
        <w:t xml:space="preserve">toujours </w:t>
      </w:r>
      <w:r>
        <w:rPr>
          <w:sz w:val="18"/>
        </w:rPr>
        <w:t xml:space="preserve">l'impression d'être </w:t>
      </w:r>
      <w:r>
        <w:rPr>
          <w:sz w:val="18"/>
        </w:rPr>
        <w:t xml:space="preserve">un </w:t>
      </w:r>
      <w:r>
        <w:rPr>
          <w:sz w:val="18"/>
        </w:rPr>
        <w:t xml:space="preserve">homme, </w:t>
      </w:r>
      <w:r>
        <w:rPr>
          <w:sz w:val="18"/>
        </w:rPr>
        <w:t xml:space="preserve">mais </w:t>
      </w:r>
      <w:r>
        <w:rPr>
          <w:sz w:val="18"/>
        </w:rPr>
        <w:t xml:space="preserve">pour </w:t>
      </w:r>
      <w:r>
        <w:rPr>
          <w:sz w:val="18"/>
        </w:rPr>
        <w:t xml:space="preserve">moi</w:t>
      </w:r>
      <w:r>
        <w:rPr>
          <w:sz w:val="18"/>
        </w:rPr>
        <w:t xml:space="preserve">, </w:t>
      </w:r>
      <w:r>
        <w:rPr>
          <w:sz w:val="18"/>
        </w:rPr>
        <w:t xml:space="preserve">c'est </w:t>
      </w:r>
      <w:r>
        <w:rPr>
          <w:sz w:val="18"/>
        </w:rPr>
        <w:t xml:space="preserve">bien d</w:t>
      </w:r>
      <w:r>
        <w:rPr>
          <w:sz w:val="18"/>
        </w:rPr>
        <w:t xml:space="preserve">'être juste </w:t>
      </w:r>
      <w:r>
        <w:rPr>
          <w:sz w:val="18"/>
        </w:rPr>
        <w:t xml:space="preserve">moi plutôt </w:t>
      </w:r>
      <w:r>
        <w:rPr>
          <w:sz w:val="18"/>
        </w:rPr>
        <w:t xml:space="preserve">qu'un homme </w:t>
      </w:r>
      <w:r>
        <w:rPr>
          <w:sz w:val="18"/>
        </w:rPr>
        <w:t xml:space="preserve">ou </w:t>
      </w:r>
      <w:r>
        <w:rPr>
          <w:sz w:val="18"/>
        </w:rPr>
        <w:t xml:space="preserve">une </w:t>
      </w:r>
      <w:r>
        <w:rPr>
          <w:sz w:val="18"/>
        </w:rPr>
        <w:t xml:space="preserve">femme, </w:t>
      </w:r>
      <w:r>
        <w:rPr>
          <w:sz w:val="18"/>
        </w:rPr>
        <w:t xml:space="preserve">donc pour l'</w:t>
      </w:r>
      <w:r>
        <w:rPr>
          <w:sz w:val="18"/>
        </w:rPr>
        <w:t xml:space="preserve">instant </w:t>
      </w:r>
      <w:r>
        <w:rPr>
          <w:sz w:val="18"/>
        </w:rPr>
        <w:t xml:space="preserve">je </w:t>
      </w:r>
      <w:r>
        <w:rPr>
          <w:sz w:val="18"/>
        </w:rPr>
        <w:t xml:space="preserve">ne </w:t>
      </w:r>
      <w:r>
        <w:rPr>
          <w:sz w:val="18"/>
        </w:rPr>
        <w:t xml:space="preserve">veux plus </w:t>
      </w:r>
      <w:r>
        <w:rPr>
          <w:sz w:val="18"/>
        </w:rPr>
        <w:t xml:space="preserve">de </w:t>
      </w:r>
      <w:r>
        <w:rPr>
          <w:sz w:val="18"/>
        </w:rPr>
        <w:t xml:space="preserve">traitement" </w:t>
      </w:r>
      <w:r>
        <w:rPr>
          <w:sz w:val="18"/>
        </w:rPr>
        <w:t xml:space="preserve">(adolescent </w:t>
      </w:r>
      <w:r>
        <w:rPr>
          <w:sz w:val="18"/>
        </w:rPr>
        <w:t xml:space="preserve">assigné au </w:t>
      </w:r>
      <w:r>
        <w:rPr>
          <w:sz w:val="18"/>
        </w:rPr>
        <w:t xml:space="preserve">sexe </w:t>
      </w:r>
      <w:r>
        <w:rPr>
          <w:sz w:val="18"/>
        </w:rPr>
        <w:t xml:space="preserve">féminin </w:t>
      </w:r>
      <w:r>
        <w:rPr>
          <w:sz w:val="18"/>
        </w:rPr>
        <w:t xml:space="preserve">à la </w:t>
      </w:r>
      <w:r>
        <w:rPr>
          <w:sz w:val="18"/>
        </w:rPr>
        <w:t xml:space="preserve">naissance, </w:t>
      </w:r>
      <w:r>
        <w:rPr>
          <w:sz w:val="18"/>
        </w:rPr>
        <w:t xml:space="preserve">âgé de </w:t>
      </w:r>
      <w:r>
        <w:rPr>
          <w:sz w:val="18"/>
        </w:rPr>
        <w:t xml:space="preserve">16 ans</w:t>
      </w:r>
      <w:r>
        <w:rPr>
          <w:sz w:val="18"/>
        </w:rPr>
        <w:t xml:space="preserve">).</w:t>
      </w:r>
    </w:p>
    <w:p>
      <w:pPr>
        <w:spacing w:line="206" w:lineRule="exact"/>
        <w:ind w:start="100"/>
        <w:rPr>
          <w:sz w:val="18"/>
        </w:rPr>
      </w:pPr>
      <w:r>
        <w:rPr>
          <w:position w:val="6"/>
          <w:sz w:val="12"/>
        </w:rPr>
        <w:t xml:space="preserve">6 </w:t>
      </w:r>
      <w:r>
        <w:rPr>
          <w:sz w:val="18"/>
        </w:rPr>
        <w:t xml:space="preserve">L'</w:t>
      </w:r>
      <w:r>
        <w:rPr>
          <w:sz w:val="18"/>
        </w:rPr>
        <w:t xml:space="preserve">adolescente </w:t>
      </w:r>
      <w:r>
        <w:rPr>
          <w:sz w:val="18"/>
        </w:rPr>
        <w:t xml:space="preserve">a déclaré </w:t>
      </w:r>
      <w:r>
        <w:rPr>
          <w:sz w:val="18"/>
        </w:rPr>
        <w:t xml:space="preserve">: "En ce </w:t>
      </w:r>
      <w:r>
        <w:rPr>
          <w:sz w:val="18"/>
        </w:rPr>
        <w:t xml:space="preserve">moment, </w:t>
      </w:r>
      <w:r>
        <w:rPr>
          <w:sz w:val="18"/>
        </w:rPr>
        <w:t xml:space="preserve">je </w:t>
      </w:r>
      <w:r>
        <w:rPr>
          <w:sz w:val="18"/>
        </w:rPr>
        <w:t xml:space="preserve">me sens </w:t>
      </w:r>
      <w:r>
        <w:rPr>
          <w:sz w:val="18"/>
        </w:rPr>
        <w:t xml:space="preserve">plus </w:t>
      </w:r>
      <w:r>
        <w:rPr>
          <w:sz w:val="18"/>
        </w:rPr>
        <w:t xml:space="preserve">comme </w:t>
      </w:r>
      <w:r>
        <w:rPr>
          <w:sz w:val="18"/>
        </w:rPr>
        <w:t xml:space="preserve">"je </w:t>
      </w:r>
      <w:r>
        <w:rPr>
          <w:sz w:val="18"/>
        </w:rPr>
        <w:t xml:space="preserve">suis" </w:t>
      </w:r>
      <w:r>
        <w:rPr>
          <w:sz w:val="18"/>
        </w:rPr>
        <w:t xml:space="preserve">que comme </w:t>
      </w:r>
      <w:r>
        <w:rPr>
          <w:sz w:val="18"/>
        </w:rPr>
        <w:t xml:space="preserve">"je suis </w:t>
      </w:r>
      <w:r>
        <w:rPr>
          <w:sz w:val="18"/>
        </w:rPr>
        <w:t xml:space="preserve">une </w:t>
      </w:r>
      <w:r>
        <w:rPr>
          <w:sz w:val="18"/>
        </w:rPr>
        <w:t xml:space="preserve">femme" </w:t>
      </w:r>
      <w:r>
        <w:rPr>
          <w:sz w:val="18"/>
        </w:rPr>
        <w:t xml:space="preserve">ou </w:t>
      </w:r>
      <w:r>
        <w:rPr>
          <w:sz w:val="18"/>
        </w:rPr>
        <w:t xml:space="preserve">"je </w:t>
      </w:r>
      <w:r>
        <w:rPr>
          <w:sz w:val="18"/>
        </w:rPr>
        <w:t xml:space="preserve">suis un </w:t>
      </w:r>
      <w:r>
        <w:rPr>
          <w:sz w:val="18"/>
        </w:rPr>
        <w:t xml:space="preserve">homme"" </w:t>
      </w:r>
      <w:r>
        <w:rPr>
          <w:sz w:val="18"/>
        </w:rPr>
        <w:t xml:space="preserve">(adolescente </w:t>
      </w:r>
      <w:r>
        <w:rPr>
          <w:sz w:val="18"/>
        </w:rPr>
        <w:t xml:space="preserve">à qui on a assigné le </w:t>
      </w:r>
      <w:r>
        <w:rPr>
          <w:sz w:val="18"/>
        </w:rPr>
        <w:t xml:space="preserve">sexe </w:t>
      </w:r>
      <w:r>
        <w:rPr>
          <w:sz w:val="18"/>
        </w:rPr>
        <w:t xml:space="preserve">féminin </w:t>
      </w:r>
      <w:r>
        <w:rPr>
          <w:sz w:val="18"/>
        </w:rPr>
        <w:t xml:space="preserve">à la </w:t>
      </w:r>
      <w:r>
        <w:rPr>
          <w:sz w:val="18"/>
        </w:rPr>
        <w:t xml:space="preserve">naissance, </w:t>
      </w:r>
      <w:r>
        <w:rPr>
          <w:sz w:val="18"/>
        </w:rPr>
        <w:t xml:space="preserve">âgée de </w:t>
      </w:r>
      <w:r>
        <w:rPr>
          <w:sz w:val="18"/>
        </w:rPr>
        <w:t xml:space="preserve">16 ans</w:t>
      </w:r>
      <w:r>
        <w:rPr>
          <w:sz w:val="18"/>
        </w:rPr>
        <w:t xml:space="preserve">).</w:t>
      </w:r>
    </w:p>
    <w:p>
      <w:pPr>
        <w:ind w:start="100"/>
        <w:rPr>
          <w:sz w:val="18"/>
        </w:rPr>
      </w:pPr>
      <w:r>
        <w:rPr>
          <w:position w:val="6"/>
          <w:sz w:val="12"/>
        </w:rPr>
        <w:t xml:space="preserve">7 </w:t>
      </w:r>
      <w:r>
        <w:rPr>
          <w:sz w:val="18"/>
        </w:rPr>
        <w:t xml:space="preserve">L'adolescent a déclaré qu'"il était tombé amoureux d'une fille alors qu'il n'avait jamais eu de tels sentiments, ce qui l'a amené à s'interroger sur son identité sexuelle. Lors des visites suivantes, il a indiqué qu'il était heureux de </w:t>
      </w:r>
      <w:r>
        <w:rPr>
          <w:sz w:val="18"/>
        </w:rPr>
        <w:t xml:space="preserve">vivre </w:t>
      </w:r>
      <w:r>
        <w:rPr>
          <w:sz w:val="18"/>
        </w:rPr>
        <w:t xml:space="preserve">en tant qu'</w:t>
      </w:r>
      <w:r>
        <w:rPr>
          <w:sz w:val="18"/>
        </w:rPr>
        <w:t xml:space="preserve">homme.</w:t>
      </w:r>
    </w:p>
    <w:p>
      <w:pPr>
        <w:spacing w:line="208" w:lineRule="exact"/>
        <w:ind w:start="100"/>
        <w:rPr>
          <w:sz w:val="18"/>
        </w:rPr>
      </w:pPr>
      <w:r>
        <w:rPr>
          <w:sz w:val="18"/>
        </w:rPr>
        <w:t xml:space="preserve">L'</w:t>
      </w:r>
      <w:r>
        <w:rPr>
          <w:sz w:val="18"/>
        </w:rPr>
        <w:t xml:space="preserve">adolescente </w:t>
      </w:r>
      <w:r>
        <w:rPr>
          <w:sz w:val="18"/>
        </w:rPr>
        <w:t xml:space="preserve">a déclaré </w:t>
      </w:r>
      <w:r>
        <w:rPr>
          <w:sz w:val="18"/>
        </w:rPr>
        <w:t xml:space="preserve">: "Après avoir utilisé les </w:t>
      </w:r>
      <w:r>
        <w:rPr>
          <w:sz w:val="18"/>
        </w:rPr>
        <w:t xml:space="preserve">analogues de </w:t>
      </w:r>
      <w:r>
        <w:rPr>
          <w:sz w:val="18"/>
        </w:rPr>
        <w:t xml:space="preserve">la </w:t>
      </w:r>
      <w:r>
        <w:rPr>
          <w:sz w:val="18"/>
        </w:rPr>
        <w:t xml:space="preserve">GnRH </w:t>
      </w:r>
      <w:r>
        <w:rPr>
          <w:sz w:val="18"/>
        </w:rPr>
        <w:t xml:space="preserve">pour la </w:t>
      </w:r>
      <w:r>
        <w:rPr>
          <w:sz w:val="18"/>
        </w:rPr>
        <w:t xml:space="preserve">première fois</w:t>
      </w:r>
      <w:r>
        <w:rPr>
          <w:sz w:val="18"/>
        </w:rPr>
        <w:t xml:space="preserve">, </w:t>
      </w:r>
      <w:r>
        <w:rPr>
          <w:sz w:val="18"/>
        </w:rPr>
        <w:t xml:space="preserve">j'ai </w:t>
      </w:r>
      <w:r>
        <w:rPr>
          <w:sz w:val="18"/>
        </w:rPr>
        <w:t xml:space="preserve">pu </w:t>
      </w:r>
      <w:r>
        <w:rPr>
          <w:sz w:val="18"/>
        </w:rPr>
        <w:t xml:space="preserve">sentir </w:t>
      </w:r>
      <w:r>
        <w:rPr>
          <w:sz w:val="18"/>
        </w:rPr>
        <w:t xml:space="preserve">qui </w:t>
      </w:r>
      <w:r>
        <w:rPr>
          <w:sz w:val="18"/>
        </w:rPr>
        <w:t xml:space="preserve">j'</w:t>
      </w:r>
      <w:r>
        <w:rPr>
          <w:sz w:val="18"/>
        </w:rPr>
        <w:t xml:space="preserve">étais </w:t>
      </w:r>
      <w:r>
        <w:rPr>
          <w:sz w:val="18"/>
        </w:rPr>
        <w:t xml:space="preserve">sans </w:t>
      </w:r>
      <w:r>
        <w:rPr>
          <w:sz w:val="18"/>
        </w:rPr>
        <w:t xml:space="preserve">les </w:t>
      </w:r>
      <w:r>
        <w:rPr>
          <w:sz w:val="18"/>
        </w:rPr>
        <w:t xml:space="preserve">hormones </w:t>
      </w:r>
      <w:r>
        <w:rPr>
          <w:sz w:val="18"/>
        </w:rPr>
        <w:t xml:space="preserve">féminines</w:t>
      </w:r>
      <w:r>
        <w:rPr>
          <w:sz w:val="18"/>
        </w:rPr>
        <w:t xml:space="preserve">, </w:t>
      </w:r>
      <w:r>
        <w:rPr>
          <w:sz w:val="18"/>
        </w:rPr>
        <w:t xml:space="preserve">ce qui </w:t>
      </w:r>
      <w:r>
        <w:rPr>
          <w:sz w:val="18"/>
        </w:rPr>
        <w:t xml:space="preserve">m'a </w:t>
      </w:r>
      <w:r>
        <w:rPr>
          <w:sz w:val="18"/>
        </w:rPr>
        <w:t xml:space="preserve">donné la </w:t>
      </w:r>
      <w:r>
        <w:rPr>
          <w:sz w:val="18"/>
        </w:rPr>
        <w:t xml:space="preserve">tranquillité </w:t>
      </w:r>
      <w:r>
        <w:rPr>
          <w:sz w:val="18"/>
        </w:rPr>
        <w:t xml:space="preserve">d'</w:t>
      </w:r>
      <w:r>
        <w:rPr>
          <w:sz w:val="18"/>
        </w:rPr>
        <w:t xml:space="preserve">esprit </w:t>
      </w:r>
      <w:r>
        <w:rPr>
          <w:sz w:val="18"/>
        </w:rPr>
        <w:t xml:space="preserve">pour </w:t>
      </w:r>
      <w:r>
        <w:rPr>
          <w:sz w:val="18"/>
        </w:rPr>
        <w:t xml:space="preserve">penser </w:t>
      </w:r>
      <w:r>
        <w:rPr>
          <w:sz w:val="18"/>
        </w:rPr>
        <w:t xml:space="preserve">à </w:t>
      </w:r>
      <w:r>
        <w:rPr>
          <w:sz w:val="18"/>
        </w:rPr>
        <w:t xml:space="preserve">mon </w:t>
      </w:r>
      <w:r>
        <w:rPr>
          <w:sz w:val="18"/>
        </w:rPr>
        <w:t xml:space="preserve">avenir. </w:t>
      </w:r>
      <w:r>
        <w:rPr>
          <w:sz w:val="18"/>
        </w:rPr>
        <w:t xml:space="preserve">C'</w:t>
      </w:r>
      <w:r>
        <w:rPr>
          <w:sz w:val="18"/>
        </w:rPr>
        <w:t xml:space="preserve">était </w:t>
      </w:r>
      <w:r>
        <w:rPr>
          <w:sz w:val="18"/>
        </w:rPr>
        <w:t xml:space="preserve">un sentiment </w:t>
      </w:r>
      <w:r>
        <w:rPr>
          <w:sz w:val="18"/>
        </w:rPr>
        <w:t xml:space="preserve">intérieur</w:t>
      </w:r>
    </w:p>
    <w:p>
      <w:pPr>
        <w:spacing w:line="207" w:lineRule="exact"/>
        <w:ind w:start="100"/>
        <w:rPr>
          <w:sz w:val="18"/>
        </w:rPr>
      </w:pPr>
      <w:r>
        <w:rPr>
          <w:sz w:val="18"/>
        </w:rPr>
        <w:t xml:space="preserve">sentiment </w:t>
      </w:r>
      <w:r>
        <w:rPr>
          <w:sz w:val="18"/>
        </w:rPr>
        <w:t xml:space="preserve">qui </w:t>
      </w:r>
      <w:r>
        <w:rPr>
          <w:sz w:val="18"/>
        </w:rPr>
        <w:t xml:space="preserve">dit que </w:t>
      </w:r>
      <w:r>
        <w:rPr>
          <w:sz w:val="18"/>
        </w:rPr>
        <w:t xml:space="preserve">je </w:t>
      </w:r>
      <w:r>
        <w:rPr>
          <w:sz w:val="18"/>
        </w:rPr>
        <w:t xml:space="preserve">suis une </w:t>
      </w:r>
      <w:r>
        <w:rPr>
          <w:sz w:val="18"/>
        </w:rPr>
        <w:t xml:space="preserve">femme" </w:t>
      </w:r>
      <w:r>
        <w:rPr>
          <w:sz w:val="18"/>
        </w:rPr>
        <w:t xml:space="preserve">(adolescente </w:t>
      </w:r>
      <w:r>
        <w:rPr>
          <w:sz w:val="18"/>
        </w:rPr>
        <w:t xml:space="preserve">à qui on a assigné le </w:t>
      </w:r>
      <w:r>
        <w:rPr>
          <w:sz w:val="18"/>
        </w:rPr>
        <w:t xml:space="preserve">sexe </w:t>
      </w:r>
      <w:r>
        <w:rPr>
          <w:sz w:val="18"/>
        </w:rPr>
        <w:t xml:space="preserve">féminin </w:t>
      </w:r>
      <w:r>
        <w:rPr>
          <w:sz w:val="18"/>
        </w:rPr>
        <w:t xml:space="preserve">à la </w:t>
      </w:r>
      <w:r>
        <w:rPr>
          <w:sz w:val="18"/>
        </w:rPr>
        <w:t xml:space="preserve">naissance, </w:t>
      </w:r>
      <w:r>
        <w:rPr>
          <w:sz w:val="18"/>
        </w:rPr>
        <w:t xml:space="preserve">âgée de </w:t>
      </w:r>
      <w:r>
        <w:rPr>
          <w:sz w:val="18"/>
        </w:rPr>
        <w:t xml:space="preserve">18 ans</w:t>
      </w:r>
      <w:r>
        <w:rPr>
          <w:sz w:val="18"/>
        </w:rPr>
        <w:t xml:space="preserve">).</w:t>
      </w:r>
    </w:p>
    <w:p w:rsidR="00432386" w:rsidRDefault="00432386">
      <w:pPr>
        <w:pStyle w:val="Corpsdetexte"/>
        <w:spacing w:before="0"/>
        <w:ind w:start="0"/>
        <w:rPr>
          <w:sz w:val="20"/>
        </w:rPr>
      </w:pPr>
    </w:p>
    <w:p w:rsidR="00432386" w:rsidRDefault="00432386">
      <w:pPr>
        <w:pStyle w:val="Corpsdetexte"/>
        <w:spacing w:before="1"/>
        <w:ind w:start="0"/>
        <w:rPr>
          <w:sz w:val="24"/>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45"/>
        <w:gridCol w:w="2129"/>
        <w:gridCol w:w="3855"/>
        <w:gridCol w:w="3404"/>
      </w:tblGrid>
      <w:tr w:rsidR="00432386">
        <w:trPr>
          <w:trHeight w:val="282"/>
        </w:trPr>
        <w:tc>
          <w:tcPr>
            <w:tcW w:w="2972"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45" w:type="dxa"/>
            <w:shd w:val="clear" w:color="auto" w:fill="8DB3E1"/>
          </w:tcPr>
          <w:p>
            <w:pPr>
              <w:pStyle w:val="TableParagraph"/>
              <w:spacing w:line="229" w:lineRule="exact"/>
              <w:ind w:start="107"/>
              <w:rPr>
                <w:b/>
                <w:sz w:val="20"/>
              </w:rPr>
            </w:pPr>
            <w:r>
              <w:rPr>
                <w:b/>
                <w:sz w:val="20"/>
              </w:rPr>
              <w:t xml:space="preserve">Population</w:t>
            </w:r>
          </w:p>
        </w:tc>
        <w:tc>
          <w:tcPr>
            <w:tcW w:w="2129" w:type="dxa"/>
            <w:shd w:val="clear" w:color="auto" w:fill="8DB3E1"/>
          </w:tcPr>
          <w:p>
            <w:pPr>
              <w:pStyle w:val="TableParagraph"/>
              <w:spacing w:line="229" w:lineRule="exact"/>
              <w:ind w:start="106"/>
              <w:rPr>
                <w:b/>
                <w:sz w:val="20"/>
              </w:rPr>
            </w:pPr>
            <w:r>
              <w:rPr>
                <w:b/>
                <w:sz w:val="20"/>
              </w:rPr>
              <w:t xml:space="preserve">Interventions</w:t>
            </w:r>
          </w:p>
        </w:tc>
        <w:tc>
          <w:tcPr>
            <w:tcW w:w="3855"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404" w:type="dxa"/>
            <w:shd w:val="clear" w:color="auto" w:fill="8DB3E1"/>
          </w:tcPr>
          <w:p>
            <w:pPr>
              <w:pStyle w:val="TableParagraph"/>
              <w:spacing w:line="229" w:lineRule="exact"/>
              <w:ind w:start="106"/>
              <w:rPr>
                <w:b/>
                <w:sz w:val="20"/>
              </w:rPr>
            </w:pPr>
            <w:r>
              <w:rPr>
                <w:b/>
                <w:sz w:val="20"/>
              </w:rPr>
              <w:t xml:space="preserve">Évaluation </w:t>
            </w:r>
            <w:r>
              <w:rPr>
                <w:b/>
                <w:sz w:val="20"/>
              </w:rPr>
              <w:t xml:space="preserve">et </w:t>
            </w:r>
            <w:r>
              <w:rPr>
                <w:b/>
                <w:sz w:val="20"/>
              </w:rPr>
              <w:t xml:space="preserve">financement</w:t>
            </w:r>
          </w:p>
        </w:tc>
      </w:tr>
      <w:tr w:rsidR="00432386">
        <w:trPr>
          <w:trHeight w:val="4598"/>
        </w:trPr>
        <w:tc>
          <w:tcPr>
            <w:tcW w:w="2972" w:type="dxa"/>
          </w:tcPr>
          <w:p>
            <w:pPr>
              <w:pStyle w:val="TableParagraph"/>
              <w:ind w:start="107" w:end="111"/>
              <w:rPr>
                <w:sz w:val="20"/>
              </w:rPr>
            </w:pPr>
            <w:r>
              <w:rPr>
                <w:sz w:val="20"/>
              </w:rPr>
              <w:t xml:space="preserve">Costa R, Dunsford M, </w:t>
            </w:r>
            <w:r>
              <w:rPr>
                <w:sz w:val="20"/>
              </w:rPr>
              <w:t xml:space="preserve">Skagerberg E, et al. (2015) </w:t>
            </w:r>
            <w:hyperlink r:id="rId263">
              <w:r>
                <w:rPr>
                  <w:color w:val="0000FF"/>
                  <w:sz w:val="20"/>
                  <w:u w:val="single" w:color="0000FF"/>
                </w:rPr>
                <w:t xml:space="preserve">Soutien psychologique, </w:t>
              </w:r>
            </w:hyperlink>
            <w:hyperlink r:id="rId264">
              <w:r>
                <w:rPr>
                  <w:color w:val="0000FF"/>
                  <w:sz w:val="20"/>
                  <w:u w:val="single" w:color="0000FF"/>
                </w:rPr>
                <w:t xml:space="preserve">suppression de la </w:t>
              </w:r>
            </w:hyperlink>
            <w:hyperlink r:id="rId263">
              <w:r>
                <w:rPr>
                  <w:color w:val="0000FF"/>
                  <w:sz w:val="20"/>
                  <w:u w:val="single" w:color="0000FF"/>
                </w:rPr>
                <w:t xml:space="preserve">puberté </w:t>
              </w:r>
            </w:hyperlink>
            <w:hyperlink r:id="rId264">
              <w:r>
                <w:rPr>
                  <w:color w:val="0000FF"/>
                  <w:sz w:val="20"/>
                  <w:u w:val="single" w:color="0000FF"/>
                </w:rPr>
                <w:t xml:space="preserve">et </w:t>
              </w:r>
            </w:hyperlink>
            <w:hyperlink r:id="rId265">
              <w:r>
                <w:rPr>
                  <w:color w:val="0000FF"/>
                  <w:sz w:val="20"/>
                  <w:u w:val="single" w:color="0000FF"/>
                </w:rPr>
                <w:t xml:space="preserve">fonctionnement </w:t>
              </w:r>
            </w:hyperlink>
            <w:hyperlink r:id="rId264">
              <w:r>
                <w:rPr>
                  <w:color w:val="0000FF"/>
                  <w:sz w:val="20"/>
                  <w:u w:val="single" w:color="0000FF"/>
                </w:rPr>
                <w:t xml:space="preserve">psychosocial </w:t>
              </w:r>
            </w:hyperlink>
            <w:hyperlink r:id="rId265">
              <w:r>
                <w:rPr>
                  <w:color w:val="0000FF"/>
                  <w:sz w:val="20"/>
                  <w:u w:val="single" w:color="0000FF"/>
                </w:rPr>
                <w:t xml:space="preserve">chez les </w:t>
              </w:r>
              <w:r>
                <w:rPr>
                  <w:color w:val="0000FF"/>
                  <w:sz w:val="20"/>
                  <w:u w:val="single" w:color="0000FF"/>
                </w:rPr>
                <w:t xml:space="preserve">adolescents atteints de </w:t>
              </w:r>
            </w:hyperlink>
            <w:hyperlink r:id="rId266">
              <w:r>
                <w:rPr>
                  <w:color w:val="0000FF"/>
                  <w:sz w:val="20"/>
                  <w:u w:val="single" w:color="0000FF"/>
                </w:rPr>
                <w:t xml:space="preserve">dysphorie de genre</w:t>
              </w:r>
              <w:r>
                <w:rPr>
                  <w:sz w:val="20"/>
                </w:rPr>
                <w:t xml:space="preserve">. </w:t>
              </w:r>
            </w:hyperlink>
            <w:r>
              <w:rPr>
                <w:sz w:val="20"/>
              </w:rPr>
              <w:t xml:space="preserve">Journal of </w:t>
            </w:r>
            <w:r>
              <w:rPr>
                <w:sz w:val="20"/>
              </w:rPr>
              <w:t xml:space="preserve">Sexual </w:t>
            </w:r>
            <w:r>
              <w:rPr>
                <w:sz w:val="20"/>
              </w:rPr>
              <w:t xml:space="preserve">Medicine </w:t>
            </w:r>
            <w:r>
              <w:rPr>
                <w:sz w:val="20"/>
              </w:rPr>
              <w:t xml:space="preserve">12(11):2206-</w:t>
            </w:r>
          </w:p>
          <w:p>
            <w:pPr>
              <w:pStyle w:val="TableParagraph"/>
              <w:spacing w:line="228" w:lineRule="exact"/>
              <w:ind w:start="107"/>
              <w:rPr>
                <w:sz w:val="20"/>
              </w:rPr>
            </w:pPr>
            <w:r>
              <w:rPr>
                <w:sz w:val="20"/>
              </w:rPr>
              <w:t xml:space="preserve">14.</w:t>
            </w:r>
          </w:p>
          <w:p w:rsidR="00432386" w:rsidRDefault="00432386">
            <w:pPr>
              <w:pStyle w:val="TableParagraph"/>
              <w:rPr>
                <w:sz w:val="20"/>
              </w:rPr>
            </w:pPr>
          </w:p>
          <w:p>
            <w:pPr>
              <w:pStyle w:val="TableParagraph"/>
              <w:ind w:start="107"/>
              <w:rPr>
                <w:sz w:val="20"/>
              </w:rPr>
            </w:pPr>
            <w:r>
              <w:rPr>
                <w:sz w:val="20"/>
              </w:rPr>
              <w:t xml:space="preserve">Royaume-Uni</w:t>
            </w:r>
          </w:p>
          <w:p w:rsidR="00432386" w:rsidRDefault="00432386">
            <w:pPr>
              <w:pStyle w:val="TableParagraph"/>
              <w:spacing w:before="2"/>
              <w:rPr>
                <w:sz w:val="20"/>
              </w:rPr>
            </w:pPr>
          </w:p>
          <w:p>
            <w:pPr>
              <w:pStyle w:val="TableParagraph"/>
              <w:ind w:start="107" w:end="474"/>
              <w:rPr>
                <w:sz w:val="20"/>
              </w:rPr>
            </w:pPr>
            <w:r>
              <w:rPr>
                <w:sz w:val="20"/>
              </w:rPr>
              <w:t xml:space="preserve">Étude de </w:t>
            </w:r>
            <w:r>
              <w:rPr>
                <w:sz w:val="20"/>
              </w:rPr>
              <w:t xml:space="preserve">cohorte </w:t>
            </w:r>
            <w:r>
              <w:rPr>
                <w:sz w:val="20"/>
              </w:rPr>
              <w:t xml:space="preserve">prospective longitudinale d</w:t>
            </w:r>
            <w:r>
              <w:rPr>
                <w:sz w:val="20"/>
              </w:rPr>
              <w:t xml:space="preserve">'observation dans </w:t>
            </w:r>
            <w:r>
              <w:rPr>
                <w:sz w:val="20"/>
              </w:rPr>
              <w:t xml:space="preserve">un seul </w:t>
            </w:r>
            <w:r>
              <w:rPr>
                <w:sz w:val="20"/>
              </w:rPr>
              <w:t xml:space="preserve">centre</w:t>
            </w:r>
          </w:p>
          <w:p w:rsidR="00432386" w:rsidRDefault="00432386">
            <w:pPr>
              <w:pStyle w:val="TableParagraph"/>
              <w:spacing w:before="10"/>
              <w:rPr>
                <w:sz w:val="19"/>
              </w:rPr>
            </w:pPr>
          </w:p>
          <w:p>
            <w:pPr>
              <w:pStyle w:val="TableParagraph"/>
              <w:spacing w:before="1"/>
              <w:ind w:start="107" w:end="272"/>
              <w:rPr>
                <w:sz w:val="20"/>
              </w:rPr>
            </w:pPr>
            <w:r>
              <w:rPr>
                <w:sz w:val="20"/>
              </w:rPr>
              <w:t xml:space="preserve">Comprend les </w:t>
            </w:r>
            <w:r>
              <w:rPr>
                <w:sz w:val="20"/>
              </w:rPr>
              <w:t xml:space="preserve">participants </w:t>
            </w:r>
            <w:r>
              <w:rPr>
                <w:sz w:val="20"/>
              </w:rPr>
              <w:t xml:space="preserve">orientés </w:t>
            </w:r>
            <w:r>
              <w:rPr>
                <w:sz w:val="20"/>
              </w:rPr>
              <w:t xml:space="preserve">vers le service entre 2010 </w:t>
            </w:r>
            <w:r>
              <w:rPr>
                <w:sz w:val="20"/>
              </w:rPr>
              <w:t xml:space="preserve">et 2014.</w:t>
            </w:r>
          </w:p>
        </w:tc>
        <w:tc>
          <w:tcPr>
            <w:tcW w:w="3145" w:type="dxa"/>
          </w:tcPr>
          <w:p>
            <w:pPr>
              <w:pStyle w:val="TableParagraph"/>
              <w:ind w:start="107" w:end="182"/>
              <w:rPr>
                <w:sz w:val="20"/>
              </w:rPr>
            </w:pPr>
            <w:r>
              <w:rPr>
                <w:sz w:val="20"/>
              </w:rPr>
              <w:t xml:space="preserve">Les </w:t>
            </w:r>
            <w:r>
              <w:rPr>
                <w:sz w:val="20"/>
              </w:rPr>
              <w:t xml:space="preserve">adolescents souffrant de </w:t>
            </w:r>
            <w:r>
              <w:rPr>
                <w:sz w:val="20"/>
              </w:rPr>
              <w:t xml:space="preserve">dysphorie de </w:t>
            </w:r>
            <w:r>
              <w:rPr>
                <w:sz w:val="20"/>
              </w:rPr>
              <w:t xml:space="preserve">genre </w:t>
            </w:r>
            <w:r>
              <w:rPr>
                <w:sz w:val="20"/>
              </w:rPr>
              <w:t xml:space="preserve">qui ont complété un </w:t>
            </w:r>
            <w:r>
              <w:rPr>
                <w:sz w:val="20"/>
              </w:rPr>
              <w:t xml:space="preserve">processus de diagnostic de </w:t>
            </w:r>
            <w:r>
              <w:rPr>
                <w:sz w:val="20"/>
              </w:rPr>
              <w:t xml:space="preserve">6 </w:t>
            </w:r>
            <w:r>
              <w:rPr>
                <w:sz w:val="20"/>
              </w:rPr>
              <w:t xml:space="preserve">mois en utilisant les </w:t>
            </w:r>
            <w:r>
              <w:rPr>
                <w:sz w:val="20"/>
              </w:rPr>
              <w:t xml:space="preserve">critères du DSM-IV-TR pour la </w:t>
            </w:r>
            <w:r>
              <w:rPr>
                <w:sz w:val="20"/>
              </w:rPr>
              <w:t xml:space="preserve">dysphorie de </w:t>
            </w:r>
            <w:r>
              <w:rPr>
                <w:sz w:val="20"/>
              </w:rPr>
              <w:t xml:space="preserve">genre </w:t>
            </w:r>
            <w:r>
              <w:rPr>
                <w:sz w:val="20"/>
              </w:rPr>
              <w:t xml:space="preserve">(comprenant l'</w:t>
            </w:r>
            <w:r>
              <w:rPr>
                <w:sz w:val="20"/>
              </w:rPr>
              <w:t xml:space="preserve">évaluation de la dysphorie de genre </w:t>
            </w:r>
            <w:r>
              <w:rPr>
                <w:sz w:val="20"/>
              </w:rPr>
              <w:t xml:space="preserve">et les </w:t>
            </w:r>
            <w:r>
              <w:rPr>
                <w:sz w:val="20"/>
              </w:rPr>
              <w:t xml:space="preserve">interventions </w:t>
            </w:r>
            <w:r>
              <w:rPr>
                <w:sz w:val="20"/>
              </w:rPr>
              <w:t xml:space="preserve">psychologiques</w:t>
            </w:r>
            <w:r>
              <w:rPr>
                <w:sz w:val="20"/>
              </w:rPr>
              <w:t xml:space="preserve">) </w:t>
            </w:r>
            <w:r>
              <w:rPr>
                <w:sz w:val="20"/>
              </w:rPr>
              <w:t xml:space="preserve">soit immédiatement éligibles pour le </w:t>
            </w:r>
            <w:r>
              <w:rPr>
                <w:sz w:val="20"/>
              </w:rPr>
              <w:t xml:space="preserve">traitement </w:t>
            </w:r>
            <w:r>
              <w:rPr>
                <w:sz w:val="20"/>
              </w:rPr>
              <w:t xml:space="preserve">avec les </w:t>
            </w:r>
            <w:r>
              <w:rPr>
                <w:sz w:val="20"/>
              </w:rPr>
              <w:t xml:space="preserve">analogues de la </w:t>
            </w:r>
            <w:r>
              <w:rPr>
                <w:sz w:val="20"/>
              </w:rPr>
              <w:t xml:space="preserve">GnRH</w:t>
            </w:r>
            <w:r>
              <w:rPr>
                <w:sz w:val="20"/>
              </w:rPr>
              <w:t xml:space="preserve">, soit différés éligibles pour le traitement </w:t>
            </w:r>
            <w:r>
              <w:rPr>
                <w:sz w:val="20"/>
              </w:rPr>
              <w:t xml:space="preserve">avec les analogues de la GnRH (ont reçu un </w:t>
            </w:r>
            <w:r>
              <w:rPr>
                <w:sz w:val="20"/>
              </w:rPr>
              <w:t xml:space="preserve">soutien psychologique sans </w:t>
            </w:r>
            <w:r>
              <w:rPr>
                <w:sz w:val="20"/>
              </w:rPr>
              <w:t xml:space="preserve">aucune </w:t>
            </w:r>
            <w:r>
              <w:rPr>
                <w:sz w:val="20"/>
              </w:rPr>
              <w:t xml:space="preserve">intervention </w:t>
            </w:r>
            <w:r>
              <w:rPr>
                <w:sz w:val="20"/>
              </w:rPr>
              <w:t xml:space="preserve">physique</w:t>
            </w:r>
            <w:r>
              <w:rPr>
                <w:sz w:val="20"/>
              </w:rPr>
              <w:t xml:space="preserve">).</w:t>
            </w:r>
          </w:p>
          <w:p w:rsidR="00432386" w:rsidRDefault="00432386">
            <w:pPr>
              <w:pStyle w:val="TableParagraph"/>
              <w:spacing w:before="10"/>
              <w:rPr>
                <w:sz w:val="19"/>
              </w:rPr>
            </w:pPr>
          </w:p>
          <w:p>
            <w:pPr>
              <w:pStyle w:val="TableParagraph"/>
              <w:ind w:start="107" w:end="736"/>
              <w:rPr>
                <w:sz w:val="20"/>
              </w:rPr>
            </w:pPr>
            <w:r>
              <w:rPr>
                <w:sz w:val="20"/>
              </w:rPr>
              <w:t xml:space="preserve">Aucun </w:t>
            </w:r>
            <w:r>
              <w:rPr>
                <w:sz w:val="20"/>
              </w:rPr>
              <w:t xml:space="preserve">critère d'</w:t>
            </w:r>
            <w:r>
              <w:rPr>
                <w:sz w:val="20"/>
              </w:rPr>
              <w:t xml:space="preserve">exclusion </w:t>
            </w:r>
            <w:r>
              <w:rPr>
                <w:sz w:val="20"/>
              </w:rPr>
              <w:t xml:space="preserve">n'a </w:t>
            </w:r>
            <w:r>
              <w:rPr>
                <w:sz w:val="20"/>
              </w:rPr>
              <w:t xml:space="preserve">été </w:t>
            </w:r>
            <w:r>
              <w:rPr>
                <w:sz w:val="20"/>
              </w:rPr>
              <w:t xml:space="preserve">signalé.</w:t>
            </w:r>
          </w:p>
          <w:p w:rsidR="00432386" w:rsidRDefault="00432386">
            <w:pPr>
              <w:pStyle w:val="TableParagraph"/>
              <w:spacing w:before="3"/>
              <w:rPr>
                <w:sz w:val="20"/>
              </w:rPr>
            </w:pPr>
          </w:p>
          <w:p>
            <w:pPr>
              <w:pStyle w:val="TableParagraph"/>
              <w:spacing w:line="237" w:lineRule="auto"/>
              <w:ind w:start="107" w:end="445"/>
              <w:rPr>
                <w:sz w:val="20"/>
              </w:rPr>
            </w:pPr>
            <w:r>
              <w:rPr>
                <w:sz w:val="20"/>
              </w:rPr>
              <w:t xml:space="preserve">L'échantillon se composait </w:t>
            </w:r>
            <w:r>
              <w:rPr>
                <w:sz w:val="20"/>
              </w:rPr>
              <w:t xml:space="preserve">de 201 </w:t>
            </w:r>
            <w:r>
              <w:rPr>
                <w:sz w:val="20"/>
              </w:rPr>
              <w:t xml:space="preserve">adolescents </w:t>
            </w:r>
            <w:r>
              <w:rPr>
                <w:sz w:val="20"/>
              </w:rPr>
              <w:t xml:space="preserve">(sexe </w:t>
            </w:r>
            <w:r>
              <w:rPr>
                <w:sz w:val="20"/>
              </w:rPr>
              <w:t xml:space="preserve">assigné à </w:t>
            </w:r>
            <w:r>
              <w:rPr>
                <w:sz w:val="20"/>
              </w:rPr>
              <w:t xml:space="preserve">l'âge adulte).</w:t>
            </w:r>
          </w:p>
          <w:p>
            <w:pPr>
              <w:pStyle w:val="TableParagraph"/>
              <w:spacing w:before="1" w:line="211" w:lineRule="exact"/>
              <w:ind w:start="107"/>
              <w:rPr>
                <w:sz w:val="20"/>
              </w:rPr>
            </w:pPr>
            <w:r>
              <w:rPr>
                <w:sz w:val="20"/>
              </w:rPr>
              <w:t xml:space="preserve">rapport </w:t>
            </w:r>
            <w:r>
              <w:rPr>
                <w:sz w:val="20"/>
              </w:rPr>
              <w:t xml:space="preserve">hommes/femmes à </w:t>
            </w:r>
            <w:r>
              <w:rPr>
                <w:sz w:val="20"/>
              </w:rPr>
              <w:t xml:space="preserve">la naissance </w:t>
            </w:r>
            <w:r>
              <w:rPr>
                <w:sz w:val="20"/>
              </w:rPr>
              <w:t xml:space="preserve">1:1,6)</w:t>
            </w:r>
          </w:p>
        </w:tc>
        <w:tc>
          <w:tcPr>
            <w:tcW w:w="2129" w:type="dxa"/>
          </w:tcPr>
          <w:p>
            <w:pPr>
              <w:pStyle w:val="TableParagraph"/>
              <w:spacing w:line="229" w:lineRule="exact"/>
              <w:ind w:start="106"/>
              <w:rPr>
                <w:b/>
                <w:sz w:val="20"/>
              </w:rPr>
            </w:pPr>
            <w:r>
              <w:rPr>
                <w:b/>
                <w:sz w:val="20"/>
              </w:rPr>
              <w:t xml:space="preserve">Intervention</w:t>
            </w:r>
          </w:p>
          <w:p>
            <w:pPr>
              <w:pStyle w:val="TableParagraph"/>
              <w:ind w:start="106" w:end="196"/>
              <w:rPr>
                <w:sz w:val="20"/>
              </w:rPr>
            </w:pPr>
            <w:r>
              <w:rPr>
                <w:sz w:val="20"/>
              </w:rPr>
              <w:t xml:space="preserve">101 </w:t>
            </w:r>
            <w:r>
              <w:rPr>
                <w:sz w:val="20"/>
              </w:rPr>
              <w:t xml:space="preserve">personnes </w:t>
            </w:r>
            <w:r>
              <w:rPr>
                <w:sz w:val="20"/>
              </w:rPr>
              <w:t xml:space="preserve">ont été </w:t>
            </w:r>
            <w:r>
              <w:rPr>
                <w:sz w:val="20"/>
              </w:rPr>
              <w:t xml:space="preserve">évaluées comme étant </w:t>
            </w:r>
            <w:r>
              <w:rPr>
                <w:sz w:val="20"/>
              </w:rPr>
              <w:t xml:space="preserve">immédiatement éligibles </w:t>
            </w:r>
            <w:r>
              <w:rPr>
                <w:sz w:val="20"/>
              </w:rPr>
              <w:t xml:space="preserve">pour l'utilisation d'</w:t>
            </w:r>
            <w:r>
              <w:rPr>
                <w:sz w:val="20"/>
              </w:rPr>
              <w:t xml:space="preserve">analogues de la </w:t>
            </w:r>
            <w:r>
              <w:rPr>
                <w:sz w:val="20"/>
              </w:rPr>
              <w:t xml:space="preserve">GnRH </w:t>
            </w:r>
            <w:r>
              <w:rPr>
                <w:sz w:val="20"/>
              </w:rPr>
              <w:t xml:space="preserve">(aucun </w:t>
            </w:r>
            <w:r>
              <w:rPr>
                <w:sz w:val="20"/>
              </w:rPr>
              <w:t xml:space="preserve">traitement spécifique, </w:t>
            </w:r>
            <w:r>
              <w:rPr>
                <w:sz w:val="20"/>
              </w:rPr>
              <w:t xml:space="preserve">aucune </w:t>
            </w:r>
            <w:r>
              <w:rPr>
                <w:sz w:val="20"/>
              </w:rPr>
              <w:t xml:space="preserve">dose ou voie d'administration, ni </w:t>
            </w:r>
            <w:r>
              <w:rPr>
                <w:sz w:val="20"/>
              </w:rPr>
              <w:t xml:space="preserve">fréquence d'</w:t>
            </w:r>
            <w:r>
              <w:rPr>
                <w:sz w:val="20"/>
              </w:rPr>
              <w:t xml:space="preserve">administration </w:t>
            </w:r>
            <w:r>
              <w:rPr>
                <w:sz w:val="20"/>
              </w:rPr>
              <w:t xml:space="preserve">n'</w:t>
            </w:r>
            <w:r>
              <w:rPr>
                <w:sz w:val="20"/>
              </w:rPr>
              <w:t xml:space="preserve">ont été signalés, mais toutes </w:t>
            </w:r>
            <w:r>
              <w:rPr>
                <w:sz w:val="20"/>
              </w:rPr>
              <w:t xml:space="preserve">ont reçu un </w:t>
            </w:r>
            <w:r>
              <w:rPr>
                <w:sz w:val="20"/>
              </w:rPr>
              <w:t xml:space="preserve">soutien </w:t>
            </w:r>
            <w:r>
              <w:rPr>
                <w:sz w:val="20"/>
              </w:rPr>
              <w:t xml:space="preserve">psychologique</w:t>
            </w:r>
            <w:r>
              <w:rPr>
                <w:sz w:val="20"/>
              </w:rPr>
              <w:t xml:space="preserve">).</w:t>
            </w:r>
          </w:p>
          <w:p w:rsidR="00432386" w:rsidRDefault="00432386">
            <w:pPr>
              <w:pStyle w:val="TableParagraph"/>
              <w:rPr>
                <w:sz w:val="20"/>
              </w:rPr>
            </w:pPr>
          </w:p>
          <w:p>
            <w:pPr>
              <w:pStyle w:val="TableParagraph"/>
              <w:ind w:start="106"/>
              <w:rPr>
                <w:b/>
                <w:sz w:val="20"/>
              </w:rPr>
            </w:pPr>
            <w:r>
              <w:rPr>
                <w:b/>
                <w:sz w:val="20"/>
              </w:rPr>
              <w:t xml:space="preserve">Comparaison</w:t>
            </w:r>
          </w:p>
          <w:p>
            <w:pPr>
              <w:pStyle w:val="TableParagraph"/>
              <w:spacing w:before="1"/>
              <w:ind w:start="106" w:end="261"/>
              <w:rPr>
                <w:sz w:val="20"/>
              </w:rPr>
            </w:pPr>
            <w:r>
              <w:rPr>
                <w:sz w:val="20"/>
              </w:rPr>
              <w:t xml:space="preserve">Les analyses ont porté sur </w:t>
            </w:r>
            <w:r>
              <w:rPr>
                <w:sz w:val="20"/>
              </w:rPr>
              <w:t xml:space="preserve">les personnes </w:t>
            </w:r>
            <w:r>
              <w:rPr>
                <w:sz w:val="20"/>
              </w:rPr>
              <w:t xml:space="preserve">immédiatement </w:t>
            </w:r>
            <w:r>
              <w:rPr>
                <w:sz w:val="20"/>
              </w:rPr>
              <w:t xml:space="preserve">éligibles</w:t>
            </w:r>
          </w:p>
        </w:tc>
        <w:tc>
          <w:tcPr>
            <w:tcW w:w="3855" w:type="dxa"/>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spacing w:line="229" w:lineRule="exact"/>
              <w:ind w:start="106"/>
              <w:rPr>
                <w:b/>
                <w:i/>
                <w:sz w:val="20"/>
              </w:rPr>
            </w:pPr>
            <w:r>
              <w:rPr>
                <w:b/>
                <w:i/>
                <w:sz w:val="20"/>
              </w:rPr>
              <w:t xml:space="preserve">Impact </w:t>
            </w:r>
            <w:r>
              <w:rPr>
                <w:b/>
                <w:i/>
                <w:sz w:val="20"/>
              </w:rPr>
              <w:t xml:space="preserve">sur la </w:t>
            </w:r>
            <w:r>
              <w:rPr>
                <w:b/>
                <w:i/>
                <w:sz w:val="20"/>
              </w:rPr>
              <w:t xml:space="preserve">dysphorie de </w:t>
            </w:r>
            <w:r>
              <w:rPr>
                <w:b/>
                <w:i/>
                <w:sz w:val="20"/>
              </w:rPr>
              <w:t xml:space="preserve">genre</w:t>
            </w:r>
          </w:p>
          <w:p>
            <w:pPr>
              <w:pStyle w:val="TableParagraph"/>
              <w:ind w:start="106" w:end="135"/>
              <w:rPr>
                <w:sz w:val="20"/>
              </w:rPr>
            </w:pPr>
            <w:r>
              <w:rPr>
                <w:sz w:val="20"/>
              </w:rPr>
              <w:t xml:space="preserve">L'</w:t>
            </w:r>
            <w:r>
              <w:rPr>
                <w:sz w:val="20"/>
              </w:rPr>
              <w:t xml:space="preserve">échelle de dysphorie de genre d'Utrecht </w:t>
            </w:r>
            <w:r>
              <w:rPr>
                <w:sz w:val="20"/>
              </w:rPr>
              <w:t xml:space="preserve">(UGDS) a été utilisée pour évaluer le </w:t>
            </w:r>
            <w:r>
              <w:rPr>
                <w:sz w:val="20"/>
              </w:rPr>
              <w:t xml:space="preserve">malaise </w:t>
            </w:r>
            <w:r>
              <w:rPr>
                <w:sz w:val="20"/>
              </w:rPr>
              <w:t xml:space="preserve">des adolescents lié à la dysphorie de genre</w:t>
            </w:r>
            <w:r>
              <w:rPr>
                <w:sz w:val="20"/>
              </w:rPr>
              <w:t xml:space="preserve">. L'alpha de Cronbach (α) de l'</w:t>
            </w:r>
            <w:r>
              <w:rPr>
                <w:sz w:val="20"/>
              </w:rPr>
              <w:t xml:space="preserve">étude a été rapporté entre 0,76 et 0,88, ce qui </w:t>
            </w:r>
            <w:r>
              <w:rPr>
                <w:sz w:val="20"/>
              </w:rPr>
              <w:t xml:space="preserve">suggère une </w:t>
            </w:r>
            <w:r>
              <w:rPr>
                <w:sz w:val="20"/>
              </w:rPr>
              <w:t xml:space="preserve">bonne </w:t>
            </w:r>
            <w:r>
              <w:rPr>
                <w:sz w:val="20"/>
              </w:rPr>
              <w:t xml:space="preserve">cohérence </w:t>
            </w:r>
            <w:r>
              <w:rPr>
                <w:sz w:val="20"/>
              </w:rPr>
              <w:t xml:space="preserve">interne</w:t>
            </w:r>
            <w:r>
              <w:rPr>
                <w:sz w:val="20"/>
              </w:rPr>
              <w:t xml:space="preserve">.</w:t>
            </w:r>
          </w:p>
          <w:p>
            <w:pPr>
              <w:pStyle w:val="TableParagraph"/>
              <w:ind w:start="106" w:end="148"/>
              <w:rPr>
                <w:sz w:val="20"/>
              </w:rPr>
            </w:pPr>
            <w:r>
              <w:rPr>
                <w:sz w:val="20"/>
              </w:rPr>
              <w:t xml:space="preserve">L'UGDS n'a été rapporté qu'une seule fois, pour 160 </w:t>
            </w:r>
            <w:r>
              <w:rPr>
                <w:sz w:val="20"/>
              </w:rPr>
              <w:t xml:space="preserve">adolescents (50 </w:t>
            </w:r>
            <w:r>
              <w:rPr>
                <w:sz w:val="20"/>
              </w:rPr>
              <w:t xml:space="preserve">garçons </w:t>
            </w:r>
            <w:r>
              <w:rPr>
                <w:sz w:val="20"/>
              </w:rPr>
              <w:t xml:space="preserve">assignés à la naissance </w:t>
            </w:r>
            <w:r>
              <w:rPr>
                <w:sz w:val="20"/>
              </w:rPr>
              <w:t xml:space="preserve">et 110 </w:t>
            </w:r>
            <w:r>
              <w:rPr>
                <w:sz w:val="20"/>
              </w:rPr>
              <w:t xml:space="preserve">filles </w:t>
            </w:r>
            <w:r>
              <w:rPr>
                <w:sz w:val="20"/>
              </w:rPr>
              <w:t xml:space="preserve">assignées à la naissance</w:t>
            </w:r>
            <w:r>
              <w:rPr>
                <w:sz w:val="20"/>
              </w:rPr>
              <w:t xml:space="preserve">). Le moment de l'évaluation </w:t>
            </w:r>
            <w:r>
              <w:rPr>
                <w:sz w:val="20"/>
              </w:rPr>
              <w:t xml:space="preserve">n'</w:t>
            </w:r>
            <w:r>
              <w:rPr>
                <w:sz w:val="20"/>
              </w:rPr>
              <w:t xml:space="preserve">est </w:t>
            </w:r>
            <w:r>
              <w:rPr>
                <w:sz w:val="20"/>
              </w:rPr>
              <w:t xml:space="preserve">pas indiqué (base ou suivi) et la </w:t>
            </w:r>
            <w:r>
              <w:rPr>
                <w:sz w:val="20"/>
              </w:rPr>
              <w:t xml:space="preserve">comparaison pour la </w:t>
            </w:r>
            <w:r>
              <w:rPr>
                <w:sz w:val="20"/>
              </w:rPr>
              <w:t xml:space="preserve">gêne </w:t>
            </w:r>
            <w:r>
              <w:rPr>
                <w:sz w:val="20"/>
              </w:rPr>
              <w:t xml:space="preserve">liée au sexe </w:t>
            </w:r>
            <w:r>
              <w:rPr>
                <w:sz w:val="20"/>
              </w:rPr>
              <w:t xml:space="preserve">était </w:t>
            </w:r>
            <w:r>
              <w:rPr>
                <w:sz w:val="20"/>
              </w:rPr>
              <w:t xml:space="preserve">entre les </w:t>
            </w:r>
            <w:r>
              <w:rPr>
                <w:sz w:val="20"/>
              </w:rPr>
              <w:t xml:space="preserve">garçons et les </w:t>
            </w:r>
            <w:r>
              <w:rPr>
                <w:sz w:val="20"/>
              </w:rPr>
              <w:t xml:space="preserve">filles </w:t>
            </w:r>
            <w:r>
              <w:rPr>
                <w:sz w:val="20"/>
              </w:rPr>
              <w:t xml:space="preserve">assignés au </w:t>
            </w:r>
            <w:r>
              <w:rPr>
                <w:sz w:val="20"/>
              </w:rPr>
              <w:t xml:space="preserve">sexe </w:t>
            </w:r>
            <w:r>
              <w:rPr>
                <w:sz w:val="20"/>
              </w:rPr>
              <w:t xml:space="preserve">à la </w:t>
            </w:r>
            <w:r>
              <w:rPr>
                <w:sz w:val="20"/>
              </w:rPr>
              <w:t xml:space="preserve">naissance</w:t>
            </w:r>
            <w:r>
              <w:rPr>
                <w:sz w:val="20"/>
              </w:rPr>
              <w:t xml:space="preserve">. Les hommes assignés au sexe de naissance </w:t>
            </w:r>
            <w:r>
              <w:rPr>
                <w:sz w:val="20"/>
              </w:rPr>
              <w:t xml:space="preserve">avaient un score UGDS moyen (±SD) </w:t>
            </w:r>
            <w:r>
              <w:rPr>
                <w:sz w:val="20"/>
              </w:rPr>
              <w:t xml:space="preserve">de 51,6 </w:t>
            </w:r>
            <w:r>
              <w:rPr>
                <w:sz w:val="20"/>
              </w:rPr>
              <w:t xml:space="preserve">[±9,7] </w:t>
            </w:r>
            <w:r>
              <w:rPr>
                <w:sz w:val="20"/>
              </w:rPr>
              <w:t xml:space="preserve">par rapport aux femmes </w:t>
            </w:r>
            <w:r>
              <w:rPr>
                <w:sz w:val="20"/>
              </w:rPr>
              <w:t xml:space="preserve">assignées au </w:t>
            </w:r>
            <w:r>
              <w:rPr>
                <w:sz w:val="20"/>
              </w:rPr>
              <w:t xml:space="preserve">sexe </w:t>
            </w:r>
            <w:r>
              <w:rPr>
                <w:sz w:val="20"/>
              </w:rPr>
              <w:t xml:space="preserve">de </w:t>
            </w:r>
            <w:r>
              <w:rPr>
                <w:sz w:val="20"/>
              </w:rPr>
              <w:t xml:space="preserve">naissance.</w:t>
            </w:r>
          </w:p>
        </w:tc>
        <w:tc>
          <w:tcPr>
            <w:tcW w:w="3404" w:type="dxa"/>
          </w:tcPr>
          <w:p>
            <w:pPr>
              <w:pStyle w:val="TableParagraph"/>
              <w:ind w:start="106" w:end="165"/>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w:t>
            </w:r>
            <w:r>
              <w:rPr>
                <w:sz w:val="20"/>
              </w:rPr>
              <w:t xml:space="preserve">outil Newcastle-Ottawa pour les </w:t>
            </w:r>
            <w:r>
              <w:rPr>
                <w:sz w:val="20"/>
              </w:rPr>
              <w:t xml:space="preserve">études de </w:t>
            </w:r>
            <w:r>
              <w:rPr>
                <w:sz w:val="20"/>
              </w:rPr>
              <w:t xml:space="preserve">cohorte</w:t>
            </w:r>
            <w:r>
              <w:rPr>
                <w:sz w:val="20"/>
              </w:rPr>
              <w:t xml:space="preserve">.</w:t>
            </w:r>
          </w:p>
          <w:p w:rsidR="00432386" w:rsidRDefault="00432386">
            <w:pPr>
              <w:pStyle w:val="TableParagraph"/>
              <w:spacing w:before="10"/>
              <w:rPr>
                <w:sz w:val="19"/>
              </w:rPr>
            </w:pPr>
          </w:p>
          <w:p>
            <w:pPr>
              <w:pStyle w:val="TableParagraph"/>
              <w:ind w:start="106"/>
              <w:rPr>
                <w:b/>
                <w:sz w:val="20"/>
              </w:rPr>
            </w:pPr>
            <w:r>
              <w:rPr>
                <w:b/>
                <w:sz w:val="20"/>
              </w:rPr>
              <w:t xml:space="preserve">Domaine </w:t>
            </w:r>
            <w:r>
              <w:rPr>
                <w:b/>
                <w:sz w:val="20"/>
              </w:rPr>
              <w:t xml:space="preserve">1 : </w:t>
            </w:r>
            <w:r>
              <w:rPr>
                <w:b/>
                <w:sz w:val="20"/>
              </w:rPr>
              <w:t xml:space="preserve">Sélection</w:t>
            </w:r>
          </w:p>
          <w:p>
            <w:pPr>
              <w:pStyle w:val="TableParagraph"/>
              <w:numPr>
                <w:ilvl w:val="0"/>
                <w:numId w:val="40"/>
              </w:numPr>
              <w:tabs>
                <w:tab w:val="left" w:pos="468"/>
              </w:tabs>
              <w:spacing w:before="1"/>
              <w:ind w:hanging="362"/>
              <w:rPr>
                <w:sz w:val="20"/>
              </w:rPr>
            </w:pPr>
            <w:r>
              <w:rPr>
                <w:sz w:val="20"/>
              </w:rPr>
              <w:t xml:space="preserve">quelque peu </w:t>
            </w:r>
            <w:r>
              <w:rPr>
                <w:sz w:val="20"/>
              </w:rPr>
              <w:t xml:space="preserve">représentatif</w:t>
            </w:r>
          </w:p>
          <w:p>
            <w:pPr>
              <w:pStyle w:val="TableParagraph"/>
              <w:numPr>
                <w:ilvl w:val="0"/>
                <w:numId w:val="40"/>
              </w:numPr>
              <w:tabs>
                <w:tab w:val="left" w:pos="468"/>
              </w:tabs>
              <w:ind w:end="549"/>
              <w:rPr>
                <w:sz w:val="20"/>
              </w:rPr>
            </w:pPr>
            <w:r>
              <w:rPr>
                <w:sz w:val="20"/>
              </w:rPr>
              <w:t xml:space="preserve">tirés de la même </w:t>
            </w:r>
            <w:r>
              <w:rPr>
                <w:sz w:val="20"/>
              </w:rPr>
              <w:t xml:space="preserve">communauté </w:t>
            </w:r>
            <w:r>
              <w:rPr>
                <w:sz w:val="20"/>
              </w:rPr>
              <w:t xml:space="preserve">que </w:t>
            </w:r>
            <w:r>
              <w:rPr>
                <w:sz w:val="20"/>
              </w:rPr>
              <w:t xml:space="preserve">la </w:t>
            </w:r>
            <w:r>
              <w:rPr>
                <w:sz w:val="20"/>
              </w:rPr>
              <w:t xml:space="preserve">cohorte </w:t>
            </w:r>
            <w:r>
              <w:rPr>
                <w:sz w:val="20"/>
              </w:rPr>
              <w:t xml:space="preserve">exposée</w:t>
            </w:r>
            <w:r>
              <w:rPr>
                <w:sz w:val="20"/>
              </w:rPr>
              <w:t xml:space="preserve">.</w:t>
            </w:r>
          </w:p>
          <w:p>
            <w:pPr>
              <w:pStyle w:val="TableParagraph"/>
              <w:numPr>
                <w:ilvl w:val="0"/>
                <w:numId w:val="40"/>
              </w:numPr>
              <w:tabs>
                <w:tab w:val="left" w:pos="468"/>
              </w:tabs>
              <w:spacing w:line="229" w:lineRule="exact"/>
              <w:ind w:hanging="362"/>
              <w:rPr>
                <w:sz w:val="20"/>
              </w:rPr>
            </w:pPr>
            <w:r>
              <w:rPr>
                <w:sz w:val="20"/>
              </w:rPr>
              <w:t xml:space="preserve">dossier </w:t>
            </w:r>
            <w:r>
              <w:rPr>
                <w:sz w:val="20"/>
              </w:rPr>
              <w:t xml:space="preserve">sécurisé</w:t>
            </w:r>
          </w:p>
          <w:p>
            <w:pPr>
              <w:pStyle w:val="TableParagraph"/>
              <w:numPr>
                <w:ilvl w:val="0"/>
                <w:numId w:val="40"/>
              </w:numPr>
              <w:tabs>
                <w:tab w:val="left" w:pos="468"/>
              </w:tabs>
              <w:spacing w:before="1"/>
              <w:ind w:hanging="362"/>
              <w:rPr>
                <w:sz w:val="20"/>
              </w:rPr>
            </w:pPr>
            <w:r>
              <w:rPr>
                <w:sz w:val="20"/>
              </w:rPr>
              <w:t xml:space="preserve">pas de</w:t>
            </w:r>
          </w:p>
          <w:p>
            <w:pPr>
              <w:pStyle w:val="TableParagraph"/>
              <w:spacing w:before="1"/>
              <w:ind w:start="106"/>
              <w:rPr>
                <w:b/>
                <w:sz w:val="20"/>
              </w:rPr>
            </w:pPr>
            <w:r>
              <w:rPr>
                <w:b/>
                <w:sz w:val="20"/>
              </w:rPr>
              <w:t xml:space="preserve">Domaine </w:t>
            </w:r>
            <w:r>
              <w:rPr>
                <w:b/>
                <w:sz w:val="20"/>
              </w:rPr>
              <w:t xml:space="preserve">2 : </w:t>
            </w:r>
            <w:r>
              <w:rPr>
                <w:b/>
                <w:sz w:val="20"/>
              </w:rPr>
              <w:t xml:space="preserve">Comparabilité</w:t>
            </w:r>
          </w:p>
          <w:p>
            <w:pPr>
              <w:pStyle w:val="TableParagraph"/>
              <w:spacing w:line="229" w:lineRule="exact"/>
              <w:ind w:start="106"/>
              <w:rPr>
                <w:sz w:val="20"/>
              </w:rPr>
            </w:pPr>
            <w:r>
              <w:rPr>
                <w:sz w:val="20"/>
              </w:rPr>
              <w:t xml:space="preserve">1. </w:t>
            </w:r>
            <w:r>
              <w:rPr>
                <w:sz w:val="20"/>
              </w:rPr>
              <w:t xml:space="preserve">Comparateur </w:t>
            </w:r>
            <w:r>
              <w:rPr>
                <w:sz w:val="20"/>
              </w:rPr>
              <w:t xml:space="preserve">partiel</w:t>
            </w:r>
          </w:p>
          <w:p>
            <w:pPr>
              <w:pStyle w:val="TableParagraph"/>
              <w:spacing w:line="229" w:lineRule="exact"/>
              <w:ind w:start="106"/>
              <w:rPr>
                <w:b/>
                <w:sz w:val="20"/>
              </w:rPr>
            </w:pPr>
            <w:r>
              <w:rPr>
                <w:b/>
                <w:sz w:val="20"/>
              </w:rPr>
              <w:t xml:space="preserve">Domaine </w:t>
            </w:r>
            <w:r>
              <w:rPr>
                <w:b/>
                <w:sz w:val="20"/>
              </w:rPr>
              <w:t xml:space="preserve">3 : </w:t>
            </w:r>
            <w:r>
              <w:rPr>
                <w:b/>
                <w:sz w:val="20"/>
              </w:rPr>
              <w:t xml:space="preserve">Résultat</w:t>
            </w:r>
          </w:p>
          <w:p>
            <w:pPr>
              <w:pStyle w:val="TableParagraph"/>
              <w:numPr>
                <w:ilvl w:val="0"/>
                <w:numId w:val="39"/>
              </w:numPr>
              <w:tabs>
                <w:tab w:val="left" w:pos="468"/>
              </w:tabs>
              <w:ind w:end="704"/>
              <w:rPr>
                <w:sz w:val="20"/>
              </w:rPr>
            </w:pPr>
            <w:r>
              <w:rPr>
                <w:sz w:val="20"/>
              </w:rPr>
              <w:t xml:space="preserve">évaluation </w:t>
            </w:r>
            <w:r>
              <w:rPr>
                <w:sz w:val="20"/>
              </w:rPr>
              <w:t xml:space="preserve">indépendante </w:t>
            </w:r>
            <w:r>
              <w:rPr>
                <w:sz w:val="20"/>
              </w:rPr>
              <w:t xml:space="preserve">(on ne sait pas si elle est </w:t>
            </w:r>
            <w:r>
              <w:rPr>
                <w:sz w:val="20"/>
              </w:rPr>
              <w:t xml:space="preserve">faite en aveugle)</w:t>
            </w:r>
          </w:p>
          <w:p>
            <w:pPr>
              <w:pStyle w:val="TableParagraph"/>
              <w:numPr>
                <w:ilvl w:val="0"/>
                <w:numId w:val="39"/>
              </w:numPr>
              <w:tabs>
                <w:tab w:val="left" w:pos="468"/>
              </w:tabs>
              <w:spacing w:before="1"/>
              <w:ind w:hanging="362"/>
              <w:rPr>
                <w:sz w:val="20"/>
              </w:rPr>
            </w:pPr>
            <w:r>
              <w:rPr>
                <w:sz w:val="20"/>
              </w:rPr>
              <w:t xml:space="preserve">oui</w:t>
            </w:r>
          </w:p>
          <w:p>
            <w:pPr>
              <w:pStyle w:val="TableParagraph"/>
              <w:numPr>
                <w:ilvl w:val="0"/>
                <w:numId w:val="39"/>
              </w:numPr>
              <w:tabs>
                <w:tab w:val="left" w:pos="468"/>
              </w:tabs>
              <w:spacing w:before="1"/>
              <w:ind w:hanging="362"/>
              <w:rPr>
                <w:sz w:val="20"/>
              </w:rPr>
            </w:pPr>
            <w:r>
              <w:rPr>
                <w:sz w:val="20"/>
              </w:rPr>
              <w:t xml:space="preserve">suivi </w:t>
            </w:r>
            <w:r>
              <w:rPr>
                <w:sz w:val="20"/>
              </w:rPr>
              <w:t xml:space="preserve">incomplet</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45"/>
        <w:gridCol w:w="2129"/>
        <w:gridCol w:w="3855"/>
        <w:gridCol w:w="3404"/>
      </w:tblGrid>
      <w:tr w:rsidR="00432386">
        <w:trPr>
          <w:trHeight w:val="9431"/>
        </w:trPr>
        <w:tc>
          <w:tcPr>
            <w:tcW w:w="2972" w:type="dxa"/>
          </w:tcPr>
          <w:p w:rsidR="00432386" w:rsidRDefault="00432386">
            <w:pPr>
              <w:pStyle w:val="TableParagraph"/>
              <w:rPr>
                <w:rFonts w:ascii="Times New Roman"/>
                <w:sz w:val="18"/>
              </w:rPr>
            </w:pPr>
          </w:p>
        </w:tc>
        <w:tc>
          <w:tcPr>
            <w:tcW w:w="3145" w:type="dxa"/>
          </w:tcPr>
          <w:p>
            <w:pPr>
              <w:pStyle w:val="TableParagraph"/>
              <w:ind w:start="107" w:end="141"/>
              <w:rPr>
                <w:sz w:val="20"/>
              </w:rPr>
            </w:pPr>
            <w:r>
              <w:rPr>
                <w:sz w:val="20"/>
              </w:rPr>
              <w:t xml:space="preserve">âge moyen (±SD) 15,52±1,41 </w:t>
            </w:r>
            <w:r>
              <w:rPr>
                <w:sz w:val="20"/>
              </w:rPr>
              <w:t xml:space="preserve">ans) à partir d'une base de sondage de </w:t>
            </w:r>
            <w:r>
              <w:rPr>
                <w:sz w:val="20"/>
              </w:rPr>
              <w:t xml:space="preserve">436 adolescents consécutifs </w:t>
            </w:r>
            <w:r>
              <w:rPr>
                <w:sz w:val="20"/>
              </w:rPr>
              <w:t xml:space="preserve">adressés au service entre </w:t>
            </w:r>
            <w:r>
              <w:rPr>
                <w:sz w:val="20"/>
              </w:rPr>
              <w:t xml:space="preserve">2010 et 2014. </w:t>
            </w:r>
            <w:r>
              <w:rPr>
                <w:sz w:val="20"/>
              </w:rPr>
              <w:t xml:space="preserve">L'</w:t>
            </w:r>
            <w:r>
              <w:rPr>
                <w:sz w:val="20"/>
              </w:rPr>
              <w:t xml:space="preserve">âge </w:t>
            </w:r>
            <w:r>
              <w:rPr>
                <w:sz w:val="20"/>
              </w:rPr>
              <w:t xml:space="preserve">moyen </w:t>
            </w:r>
            <w:r>
              <w:rPr>
                <w:sz w:val="20"/>
              </w:rPr>
              <w:t xml:space="preserve">(±SD) </w:t>
            </w:r>
            <w:r>
              <w:rPr>
                <w:sz w:val="20"/>
              </w:rPr>
              <w:t xml:space="preserve">au </w:t>
            </w:r>
            <w:r>
              <w:rPr>
                <w:sz w:val="20"/>
              </w:rPr>
              <w:t xml:space="preserve">début du </w:t>
            </w:r>
            <w:r>
              <w:rPr>
                <w:sz w:val="20"/>
              </w:rPr>
              <w:t xml:space="preserve">traitement par </w:t>
            </w:r>
            <w:r>
              <w:rPr>
                <w:sz w:val="20"/>
              </w:rPr>
              <w:t xml:space="preserve">analogues de la GnRH était de 16,48 </w:t>
            </w:r>
            <w:r>
              <w:rPr>
                <w:sz w:val="20"/>
              </w:rPr>
              <w:t xml:space="preserve">[±1,26], soit </w:t>
            </w:r>
            <w:r>
              <w:rPr>
                <w:sz w:val="20"/>
              </w:rPr>
              <w:t xml:space="preserve">entre </w:t>
            </w:r>
            <w:r>
              <w:rPr>
                <w:sz w:val="20"/>
              </w:rPr>
              <w:t xml:space="preserve">13 </w:t>
            </w:r>
            <w:r>
              <w:rPr>
                <w:sz w:val="20"/>
              </w:rPr>
              <w:t xml:space="preserve">et </w:t>
            </w:r>
            <w:r>
              <w:rPr>
                <w:sz w:val="20"/>
              </w:rPr>
              <w:t xml:space="preserve">17 </w:t>
            </w:r>
            <w:r>
              <w:rPr>
                <w:sz w:val="20"/>
              </w:rPr>
              <w:t xml:space="preserve">ans.</w:t>
            </w:r>
          </w:p>
          <w:p>
            <w:pPr>
              <w:pStyle w:val="TableParagraph"/>
              <w:ind w:start="107" w:end="169"/>
              <w:rPr>
                <w:sz w:val="20"/>
              </w:rPr>
            </w:pPr>
            <w:r>
              <w:rPr>
                <w:sz w:val="20"/>
              </w:rPr>
              <w:t xml:space="preserve">L'intervalle entre le début de la </w:t>
            </w:r>
            <w:r>
              <w:rPr>
                <w:sz w:val="20"/>
              </w:rPr>
              <w:t xml:space="preserve">procédure de </w:t>
            </w:r>
            <w:r>
              <w:rPr>
                <w:sz w:val="20"/>
              </w:rPr>
              <w:t xml:space="preserve">diagnostic </w:t>
            </w:r>
            <w:r>
              <w:rPr>
                <w:sz w:val="20"/>
              </w:rPr>
              <w:t xml:space="preserve">et </w:t>
            </w:r>
            <w:r>
              <w:rPr>
                <w:sz w:val="20"/>
              </w:rPr>
              <w:t xml:space="preserve">le </w:t>
            </w:r>
            <w:r>
              <w:rPr>
                <w:sz w:val="20"/>
              </w:rPr>
              <w:t xml:space="preserve">début de </w:t>
            </w:r>
            <w:r>
              <w:rPr>
                <w:sz w:val="20"/>
              </w:rPr>
              <w:t xml:space="preserve">la suppression de la puberté a duré </w:t>
            </w:r>
            <w:r>
              <w:rPr>
                <w:sz w:val="20"/>
              </w:rPr>
              <w:t xml:space="preserve">environ </w:t>
            </w:r>
            <w:r>
              <w:rPr>
                <w:sz w:val="20"/>
              </w:rPr>
              <w:t xml:space="preserve">1,5 an [±0,63] </w:t>
            </w:r>
            <w:r>
              <w:rPr>
                <w:sz w:val="20"/>
              </w:rPr>
              <w:t xml:space="preserve">à partir de la </w:t>
            </w:r>
            <w:r>
              <w:rPr>
                <w:sz w:val="20"/>
              </w:rPr>
              <w:t xml:space="preserve">ligne de base.</w:t>
            </w:r>
          </w:p>
          <w:p w:rsidR="00432386" w:rsidRDefault="00432386">
            <w:pPr>
              <w:pStyle w:val="TableParagraph"/>
              <w:spacing w:before="3"/>
              <w:rPr>
                <w:sz w:val="19"/>
              </w:rPr>
            </w:pPr>
          </w:p>
          <w:p>
            <w:pPr>
              <w:pStyle w:val="TableParagraph"/>
              <w:ind w:start="107" w:end="370"/>
              <w:rPr>
                <w:sz w:val="20"/>
              </w:rPr>
            </w:pPr>
            <w:r>
              <w:rPr>
                <w:sz w:val="20"/>
              </w:rPr>
              <w:t xml:space="preserve">Aucun des </w:t>
            </w:r>
            <w:r>
              <w:rPr>
                <w:sz w:val="20"/>
              </w:rPr>
              <w:t xml:space="preserve">individus </w:t>
            </w:r>
            <w:r>
              <w:rPr>
                <w:sz w:val="20"/>
              </w:rPr>
              <w:t xml:space="preserve">éligibles retardés n'</w:t>
            </w:r>
            <w:r>
              <w:rPr>
                <w:sz w:val="20"/>
              </w:rPr>
              <w:t xml:space="preserve">a reçu de </w:t>
            </w:r>
            <w:r>
              <w:rPr>
                <w:sz w:val="20"/>
              </w:rPr>
              <w:t xml:space="preserve">suppression de la </w:t>
            </w:r>
            <w:r>
              <w:rPr>
                <w:sz w:val="20"/>
              </w:rPr>
              <w:t xml:space="preserve">puberté </w:t>
            </w:r>
            <w:r>
              <w:rPr>
                <w:sz w:val="20"/>
              </w:rPr>
              <w:t xml:space="preserve">au moment </w:t>
            </w:r>
            <w:r>
              <w:rPr>
                <w:sz w:val="20"/>
              </w:rPr>
              <w:t xml:space="preserve">de </w:t>
            </w:r>
            <w:r>
              <w:rPr>
                <w:sz w:val="20"/>
              </w:rPr>
              <w:t xml:space="preserve">cette </w:t>
            </w:r>
            <w:r>
              <w:rPr>
                <w:sz w:val="20"/>
              </w:rPr>
              <w:t xml:space="preserve">étude. Le stade de Tanner n'a pas été </w:t>
            </w:r>
            <w:r>
              <w:rPr>
                <w:sz w:val="20"/>
              </w:rPr>
              <w:t xml:space="preserve">signalé.</w:t>
            </w:r>
          </w:p>
        </w:tc>
        <w:tc>
          <w:tcPr>
            <w:tcW w:w="2129" w:type="dxa"/>
          </w:tcPr>
          <w:p>
            <w:pPr>
              <w:pStyle w:val="TableParagraph"/>
              <w:ind w:start="106" w:end="132"/>
              <w:rPr>
                <w:sz w:val="20"/>
              </w:rPr>
            </w:pPr>
            <w:r>
              <w:rPr>
                <w:sz w:val="20"/>
              </w:rPr>
              <w:t xml:space="preserve">et les </w:t>
            </w:r>
            <w:r>
              <w:rPr>
                <w:sz w:val="20"/>
              </w:rPr>
              <w:t xml:space="preserve">adolescents </w:t>
            </w:r>
            <w:r>
              <w:rPr>
                <w:sz w:val="20"/>
              </w:rPr>
              <w:t xml:space="preserve">éligibles retardés </w:t>
            </w:r>
            <w:r>
              <w:rPr>
                <w:sz w:val="20"/>
              </w:rPr>
              <w:t xml:space="preserve">(n=100)</w:t>
            </w:r>
            <w:r>
              <w:rPr>
                <w:sz w:val="20"/>
              </w:rPr>
              <w:t xml:space="preserve">,</w:t>
            </w:r>
          </w:p>
          <w:p w:rsidR="00432386" w:rsidRDefault="00432386">
            <w:pPr>
              <w:pStyle w:val="TableParagraph"/>
              <w:spacing w:before="2"/>
              <w:rPr>
                <w:sz w:val="19"/>
              </w:rPr>
            </w:pPr>
          </w:p>
          <w:p>
            <w:pPr>
              <w:pStyle w:val="TableParagraph"/>
              <w:spacing w:before="1"/>
              <w:ind w:start="106" w:end="115"/>
              <w:rPr>
                <w:sz w:val="20"/>
              </w:rPr>
            </w:pPr>
            <w:r>
              <w:rPr>
                <w:sz w:val="20"/>
              </w:rPr>
              <w:t xml:space="preserve">L'</w:t>
            </w:r>
            <w:r>
              <w:rPr>
                <w:sz w:val="20"/>
              </w:rPr>
              <w:t xml:space="preserve">évaluation de </w:t>
            </w:r>
            <w:r>
              <w:rPr>
                <w:sz w:val="20"/>
              </w:rPr>
              <w:t xml:space="preserve">base </w:t>
            </w:r>
            <w:r>
              <w:rPr>
                <w:sz w:val="20"/>
              </w:rPr>
              <w:t xml:space="preserve">(après la </w:t>
            </w:r>
            <w:r>
              <w:rPr>
                <w:sz w:val="20"/>
              </w:rPr>
              <w:t xml:space="preserve">procédure de </w:t>
            </w:r>
            <w:r>
              <w:rPr>
                <w:sz w:val="20"/>
              </w:rPr>
              <w:t xml:space="preserve">diagnostic</w:t>
            </w:r>
            <w:r>
              <w:rPr>
                <w:sz w:val="20"/>
              </w:rPr>
              <w:t xml:space="preserve">) a été </w:t>
            </w:r>
            <w:r>
              <w:rPr>
                <w:sz w:val="20"/>
              </w:rPr>
              <w:t xml:space="preserve">suivie d'un suivi </w:t>
            </w:r>
            <w:r>
              <w:rPr>
                <w:sz w:val="20"/>
              </w:rPr>
              <w:t xml:space="preserve">à 6 mois de la </w:t>
            </w:r>
            <w:r>
              <w:rPr>
                <w:sz w:val="20"/>
              </w:rPr>
              <w:t xml:space="preserve">ligne de base (T1), 12 </w:t>
            </w:r>
            <w:r>
              <w:rPr>
                <w:sz w:val="20"/>
              </w:rPr>
              <w:t xml:space="preserve">mois </w:t>
            </w:r>
            <w:r>
              <w:rPr>
                <w:sz w:val="20"/>
              </w:rPr>
              <w:t xml:space="preserve">de la </w:t>
            </w:r>
            <w:r>
              <w:rPr>
                <w:sz w:val="20"/>
              </w:rPr>
              <w:t xml:space="preserve">ligne de base (T2) et 18 </w:t>
            </w:r>
            <w:r>
              <w:rPr>
                <w:sz w:val="20"/>
              </w:rPr>
              <w:t xml:space="preserve">mois </w:t>
            </w:r>
            <w:r>
              <w:rPr>
                <w:sz w:val="20"/>
              </w:rPr>
              <w:t xml:space="preserve">de la </w:t>
            </w:r>
            <w:r>
              <w:rPr>
                <w:sz w:val="20"/>
              </w:rPr>
              <w:t xml:space="preserve">ligne de base (T3).</w:t>
            </w:r>
          </w:p>
        </w:tc>
        <w:tc>
          <w:tcPr>
            <w:tcW w:w="3855" w:type="dxa"/>
          </w:tcPr>
          <w:p>
            <w:pPr>
              <w:pStyle w:val="TableParagraph"/>
              <w:ind w:start="106" w:end="196"/>
              <w:rPr>
                <w:sz w:val="20"/>
              </w:rPr>
            </w:pPr>
            <w:r>
              <w:rPr>
                <w:sz w:val="20"/>
              </w:rPr>
              <w:t xml:space="preserve">Les femmes ont obtenu un score de 56,1 [±4,3], </w:t>
            </w:r>
            <w:r>
              <w:rPr>
                <w:i/>
                <w:sz w:val="20"/>
              </w:rPr>
              <w:t xml:space="preserve">t-test </w:t>
            </w:r>
            <w:r>
              <w:rPr>
                <w:sz w:val="20"/>
              </w:rPr>
              <w:t xml:space="preserve">4,07 ; </w:t>
            </w:r>
            <w:r>
              <w:rPr>
                <w:sz w:val="20"/>
              </w:rPr>
              <w:t xml:space="preserve">p&lt;0,001.</w:t>
            </w:r>
          </w:p>
          <w:p w:rsidR="00432386" w:rsidRDefault="00432386">
            <w:pPr>
              <w:pStyle w:val="TableParagraph"/>
              <w:spacing w:before="2"/>
              <w:rPr>
                <w:sz w:val="19"/>
              </w:rPr>
            </w:pPr>
          </w:p>
          <w:p>
            <w:pPr>
              <w:pStyle w:val="TableParagraph"/>
              <w:spacing w:before="1"/>
              <w:ind w:start="106"/>
              <w:rPr>
                <w:b/>
                <w:i/>
                <w:sz w:val="20"/>
              </w:rPr>
            </w:pPr>
            <w:r>
              <w:rPr>
                <w:b/>
                <w:i/>
                <w:sz w:val="20"/>
              </w:rPr>
              <w:t xml:space="preserve">Impact </w:t>
            </w:r>
            <w:r>
              <w:rPr>
                <w:b/>
                <w:i/>
                <w:sz w:val="20"/>
              </w:rPr>
              <w:t xml:space="preserve">sur la </w:t>
            </w:r>
            <w:r>
              <w:rPr>
                <w:b/>
                <w:i/>
                <w:sz w:val="20"/>
              </w:rPr>
              <w:t xml:space="preserve">santé </w:t>
            </w:r>
            <w:r>
              <w:rPr>
                <w:b/>
                <w:i/>
                <w:sz w:val="20"/>
              </w:rPr>
              <w:t xml:space="preserve">mentale</w:t>
            </w:r>
          </w:p>
          <w:p>
            <w:pPr>
              <w:pStyle w:val="TableParagraph"/>
              <w:ind w:start="106"/>
              <w:rPr>
                <w:sz w:val="20"/>
              </w:rPr>
            </w:pPr>
            <w:r>
              <w:rPr>
                <w:sz w:val="20"/>
              </w:rPr>
              <w:t xml:space="preserve">Non </w:t>
            </w:r>
            <w:r>
              <w:rPr>
                <w:sz w:val="20"/>
              </w:rPr>
              <w:t xml:space="preserve">évalué.</w:t>
            </w:r>
          </w:p>
          <w:p w:rsidR="00432386" w:rsidRDefault="00432386">
            <w:pPr>
              <w:pStyle w:val="TableParagraph"/>
              <w:spacing w:before="10"/>
              <w:rPr>
                <w:sz w:val="19"/>
              </w:rPr>
            </w:pPr>
          </w:p>
          <w:p>
            <w:pPr>
              <w:pStyle w:val="TableParagraph"/>
              <w:ind w:start="106"/>
              <w:rPr>
                <w:b/>
                <w:i/>
                <w:sz w:val="20"/>
              </w:rPr>
            </w:pPr>
            <w:r>
              <w:rPr>
                <w:b/>
                <w:i/>
                <w:sz w:val="20"/>
              </w:rPr>
              <w:t xml:space="preserve">Impact </w:t>
            </w:r>
            <w:r>
              <w:rPr>
                <w:b/>
                <w:i/>
                <w:sz w:val="20"/>
              </w:rPr>
              <w:t xml:space="preserve">sur la </w:t>
            </w:r>
            <w:r>
              <w:rPr>
                <w:b/>
                <w:i/>
                <w:sz w:val="20"/>
              </w:rPr>
              <w:t xml:space="preserve">qualité </w:t>
            </w:r>
            <w:r>
              <w:rPr>
                <w:b/>
                <w:i/>
                <w:sz w:val="20"/>
              </w:rPr>
              <w:t xml:space="preserve">de </w:t>
            </w:r>
            <w:r>
              <w:rPr>
                <w:b/>
                <w:i/>
                <w:sz w:val="20"/>
              </w:rPr>
              <w:t xml:space="preserve">vie</w:t>
            </w:r>
          </w:p>
          <w:p>
            <w:pPr>
              <w:pStyle w:val="TableParagraph"/>
              <w:ind w:start="106"/>
              <w:rPr>
                <w:sz w:val="20"/>
              </w:rPr>
            </w:pPr>
            <w:r>
              <w:rPr>
                <w:sz w:val="20"/>
              </w:rPr>
              <w:t xml:space="preserve">Non </w:t>
            </w:r>
            <w:r>
              <w:rPr>
                <w:sz w:val="20"/>
              </w:rPr>
              <w:t xml:space="preserve">évalué.</w:t>
            </w:r>
          </w:p>
          <w:p w:rsidR="00432386" w:rsidRDefault="00432386">
            <w:pPr>
              <w:pStyle w:val="TableParagraph"/>
              <w:spacing w:before="1"/>
              <w:rPr>
                <w:sz w:val="20"/>
              </w:rPr>
            </w:pPr>
          </w:p>
          <w:p>
            <w:pPr>
              <w:pStyle w:val="TableParagraph"/>
              <w:ind w:start="106"/>
              <w:rPr>
                <w:b/>
                <w:sz w:val="20"/>
              </w:rPr>
            </w:pPr>
            <w:r>
              <w:rPr>
                <w:b/>
                <w:sz w:val="20"/>
              </w:rPr>
              <w:t xml:space="preserve">Résultats </w:t>
            </w:r>
            <w:r>
              <w:rPr>
                <w:b/>
                <w:sz w:val="20"/>
              </w:rPr>
              <w:t xml:space="preserve">importants</w:t>
            </w:r>
          </w:p>
          <w:p>
            <w:pPr>
              <w:pStyle w:val="TableParagraph"/>
              <w:spacing w:before="1" w:line="229" w:lineRule="exact"/>
              <w:ind w:start="106"/>
              <w:rPr>
                <w:b/>
                <w:i/>
                <w:sz w:val="20"/>
              </w:rPr>
            </w:pPr>
            <w:r>
              <w:rPr>
                <w:b/>
                <w:i/>
                <w:sz w:val="20"/>
              </w:rPr>
              <w:t xml:space="preserve">Impact </w:t>
            </w:r>
            <w:r>
              <w:rPr>
                <w:b/>
                <w:i/>
                <w:sz w:val="20"/>
              </w:rPr>
              <w:t xml:space="preserve">psychosocial</w:t>
            </w:r>
          </w:p>
          <w:p>
            <w:pPr>
              <w:pStyle w:val="TableParagraph"/>
              <w:ind w:start="106" w:end="117"/>
              <w:rPr>
                <w:sz w:val="20"/>
              </w:rPr>
            </w:pPr>
            <w:r>
              <w:rPr>
                <w:sz w:val="20"/>
              </w:rPr>
              <w:t xml:space="preserve">L'</w:t>
            </w:r>
            <w:r>
              <w:rPr>
                <w:sz w:val="20"/>
              </w:rPr>
              <w:t xml:space="preserve">échelle d'</w:t>
            </w:r>
            <w:r>
              <w:rPr>
                <w:sz w:val="20"/>
              </w:rPr>
              <w:t xml:space="preserve">évaluation </w:t>
            </w:r>
            <w:r>
              <w:rPr>
                <w:sz w:val="20"/>
              </w:rPr>
              <w:t xml:space="preserve">globale des </w:t>
            </w:r>
            <w:r>
              <w:rPr>
                <w:sz w:val="20"/>
              </w:rPr>
              <w:t xml:space="preserve">enfants </w:t>
            </w:r>
            <w:r>
              <w:rPr>
                <w:sz w:val="20"/>
              </w:rPr>
              <w:t xml:space="preserve">(CGAS) </w:t>
            </w:r>
            <w:r>
              <w:rPr>
                <w:sz w:val="20"/>
              </w:rPr>
              <w:t xml:space="preserve">a été </w:t>
            </w:r>
            <w:r>
              <w:rPr>
                <w:sz w:val="20"/>
              </w:rPr>
              <w:t xml:space="preserve">utilisée pour </w:t>
            </w:r>
            <w:r>
              <w:rPr>
                <w:sz w:val="20"/>
              </w:rPr>
              <w:t xml:space="preserve">évaluer le </w:t>
            </w:r>
            <w:r>
              <w:rPr>
                <w:sz w:val="20"/>
              </w:rPr>
              <w:t xml:space="preserve">fonctionnement </w:t>
            </w:r>
            <w:r>
              <w:rPr>
                <w:sz w:val="20"/>
              </w:rPr>
              <w:t xml:space="preserve">psychosocial </w:t>
            </w:r>
            <w:r>
              <w:rPr>
                <w:sz w:val="20"/>
              </w:rPr>
              <w:t xml:space="preserve">des adolescents</w:t>
            </w:r>
            <w:r>
              <w:rPr>
                <w:sz w:val="20"/>
              </w:rPr>
              <w:t xml:space="preserve">.</w:t>
            </w:r>
          </w:p>
          <w:p>
            <w:pPr>
              <w:pStyle w:val="TableParagraph"/>
              <w:spacing w:before="1"/>
              <w:ind w:start="106"/>
              <w:rPr>
                <w:sz w:val="20"/>
              </w:rPr>
            </w:pPr>
            <w:r>
              <w:rPr>
                <w:sz w:val="20"/>
              </w:rPr>
              <w:t xml:space="preserve">Le </w:t>
            </w:r>
            <w:r>
              <w:rPr>
                <w:sz w:val="20"/>
              </w:rPr>
              <w:t xml:space="preserve">CGAS a été administré par des </w:t>
            </w:r>
            <w:r>
              <w:rPr>
                <w:sz w:val="20"/>
              </w:rPr>
              <w:t xml:space="preserve">psychologues, des psychothérapeutes et des </w:t>
            </w:r>
            <w:r>
              <w:rPr>
                <w:sz w:val="20"/>
              </w:rPr>
              <w:t xml:space="preserve">psychiatres (l'</w:t>
            </w:r>
            <w:r>
              <w:rPr>
                <w:sz w:val="20"/>
              </w:rPr>
              <w:t xml:space="preserve">évaluation de la </w:t>
            </w:r>
            <w:r>
              <w:rPr>
                <w:sz w:val="20"/>
              </w:rPr>
              <w:t xml:space="preserve">corrélation intra-classe </w:t>
            </w:r>
            <w:r>
              <w:rPr>
                <w:sz w:val="20"/>
              </w:rPr>
              <w:t xml:space="preserve">était de </w:t>
            </w:r>
            <w:r>
              <w:rPr>
                <w:sz w:val="20"/>
              </w:rPr>
              <w:t xml:space="preserve">0,76</w:t>
            </w:r>
            <w:r>
              <w:rPr>
                <w:spacing w:val="-2"/>
                <w:sz w:val="20"/>
              </w:rPr>
              <w:t xml:space="preserve"> ≤</w:t>
            </w:r>
            <w:r>
              <w:rPr>
                <w:spacing w:val="-4"/>
                <w:sz w:val="20"/>
              </w:rPr>
              <w:t xml:space="preserve"> α </w:t>
            </w:r>
            <w:r>
              <w:rPr>
                <w:sz w:val="20"/>
              </w:rPr>
              <w:t xml:space="preserve">de Cronbach.</w:t>
            </w:r>
          </w:p>
          <w:p>
            <w:pPr>
              <w:pStyle w:val="TableParagraph"/>
              <w:spacing w:line="229" w:lineRule="exact"/>
              <w:ind w:start="106"/>
              <w:rPr>
                <w:sz w:val="20"/>
              </w:rPr>
            </w:pPr>
            <w:r>
              <w:rPr>
                <w:sz w:val="20"/>
              </w:rPr>
              <w:t xml:space="preserve">≤0.94).</w:t>
            </w:r>
          </w:p>
          <w:p>
            <w:pPr>
              <w:pStyle w:val="TableParagraph"/>
              <w:ind w:start="106" w:end="135"/>
              <w:rPr>
                <w:sz w:val="20"/>
              </w:rPr>
            </w:pPr>
            <w:r>
              <w:rPr>
                <w:sz w:val="20"/>
              </w:rPr>
              <w:t xml:space="preserve">Au départ, les scores CGAS n'étaient </w:t>
            </w:r>
            <w:r>
              <w:rPr>
                <w:sz w:val="20"/>
              </w:rPr>
              <w:t xml:space="preserve">associés à </w:t>
            </w:r>
            <w:r>
              <w:rPr>
                <w:sz w:val="20"/>
              </w:rPr>
              <w:t xml:space="preserve">aucune </w:t>
            </w:r>
            <w:r>
              <w:rPr>
                <w:sz w:val="20"/>
              </w:rPr>
              <w:t xml:space="preserve">variable </w:t>
            </w:r>
            <w:r>
              <w:rPr>
                <w:sz w:val="20"/>
              </w:rPr>
              <w:t xml:space="preserve">démographique</w:t>
            </w:r>
            <w:r>
              <w:rPr>
                <w:sz w:val="20"/>
              </w:rPr>
              <w:t xml:space="preserve">, tant chez les </w:t>
            </w:r>
            <w:r>
              <w:rPr>
                <w:sz w:val="20"/>
              </w:rPr>
              <w:t xml:space="preserve">hommes </w:t>
            </w:r>
            <w:r>
              <w:rPr>
                <w:sz w:val="20"/>
              </w:rPr>
              <w:t xml:space="preserve">que chez les </w:t>
            </w:r>
            <w:r>
              <w:rPr>
                <w:sz w:val="20"/>
              </w:rPr>
              <w:t xml:space="preserve">femmes </w:t>
            </w:r>
            <w:r>
              <w:rPr>
                <w:sz w:val="20"/>
              </w:rPr>
              <w:t xml:space="preserve">assignés </w:t>
            </w:r>
            <w:r>
              <w:rPr>
                <w:sz w:val="20"/>
              </w:rPr>
              <w:t xml:space="preserve">à</w:t>
            </w:r>
            <w:r>
              <w:rPr>
                <w:sz w:val="20"/>
              </w:rPr>
              <w:t xml:space="preserve"> </w:t>
            </w:r>
            <w:r>
              <w:rPr>
                <w:sz w:val="20"/>
              </w:rPr>
              <w:t xml:space="preserve">la</w:t>
            </w:r>
            <w:r>
              <w:rPr>
                <w:sz w:val="20"/>
              </w:rPr>
              <w:t xml:space="preserve"> naissance (</w:t>
            </w:r>
            <w:r>
              <w:rPr>
                <w:sz w:val="20"/>
              </w:rPr>
              <w:t xml:space="preserve">tous p&gt;0,1).</w:t>
            </w:r>
          </w:p>
          <w:p>
            <w:pPr>
              <w:pStyle w:val="TableParagraph"/>
              <w:ind w:start="106" w:end="92"/>
              <w:rPr>
                <w:sz w:val="20"/>
              </w:rPr>
            </w:pPr>
            <w:r>
              <w:rPr>
                <w:sz w:val="20"/>
              </w:rPr>
              <w:t xml:space="preserve">Par rapport aux </w:t>
            </w:r>
            <w:r>
              <w:rPr>
                <w:sz w:val="20"/>
              </w:rPr>
              <w:t xml:space="preserve">femmes </w:t>
            </w:r>
            <w:r>
              <w:rPr>
                <w:sz w:val="20"/>
              </w:rPr>
              <w:t xml:space="preserve">dont le sexe a été assigné à la naissance</w:t>
            </w:r>
            <w:r>
              <w:rPr>
                <w:sz w:val="20"/>
              </w:rPr>
              <w:t xml:space="preserve">, </w:t>
            </w:r>
            <w:r>
              <w:rPr>
                <w:sz w:val="20"/>
              </w:rPr>
              <w:t xml:space="preserve">les </w:t>
            </w:r>
            <w:r>
              <w:rPr>
                <w:sz w:val="20"/>
              </w:rPr>
              <w:t xml:space="preserve">hommes </w:t>
            </w:r>
            <w:r>
              <w:rPr>
                <w:sz w:val="20"/>
              </w:rPr>
              <w:t xml:space="preserve">dont le </w:t>
            </w:r>
            <w:r>
              <w:rPr>
                <w:sz w:val="20"/>
              </w:rPr>
              <w:t xml:space="preserve">sexe a </w:t>
            </w:r>
            <w:r>
              <w:rPr>
                <w:sz w:val="20"/>
              </w:rPr>
              <w:t xml:space="preserve">été assigné à </w:t>
            </w:r>
            <w:r>
              <w:rPr>
                <w:sz w:val="20"/>
              </w:rPr>
              <w:t xml:space="preserve">la </w:t>
            </w:r>
            <w:r>
              <w:rPr>
                <w:sz w:val="20"/>
              </w:rPr>
              <w:t xml:space="preserve">naissance </w:t>
            </w:r>
            <w:r>
              <w:rPr>
                <w:sz w:val="20"/>
              </w:rPr>
              <w:t xml:space="preserve">avaient des </w:t>
            </w:r>
            <w:r>
              <w:rPr>
                <w:sz w:val="20"/>
              </w:rPr>
              <w:t xml:space="preserve">scores de base </w:t>
            </w:r>
            <w:r>
              <w:rPr>
                <w:sz w:val="20"/>
              </w:rPr>
              <w:t xml:space="preserve">moyens </w:t>
            </w:r>
            <w:r>
              <w:rPr>
                <w:sz w:val="20"/>
              </w:rPr>
              <w:t xml:space="preserve">(±SD) </w:t>
            </w:r>
            <w:r>
              <w:rPr>
                <w:sz w:val="20"/>
              </w:rPr>
              <w:t xml:space="preserve">statistiquement plus faibles sur </w:t>
            </w:r>
            <w:r>
              <w:rPr>
                <w:sz w:val="20"/>
              </w:rPr>
              <w:t xml:space="preserve">l'échelle CGAS (55,4 </w:t>
            </w:r>
            <w:r>
              <w:rPr>
                <w:sz w:val="20"/>
              </w:rPr>
              <w:t xml:space="preserve">[±12,7] contre 59,2 [11,8] ; </w:t>
            </w:r>
            <w:r>
              <w:rPr>
                <w:i/>
                <w:sz w:val="20"/>
              </w:rPr>
              <w:t xml:space="preserve">t-test </w:t>
            </w:r>
            <w:r>
              <w:rPr>
                <w:sz w:val="20"/>
              </w:rPr>
              <w:t xml:space="preserve">2,15 ; </w:t>
            </w:r>
            <w:r>
              <w:rPr>
                <w:sz w:val="20"/>
              </w:rPr>
              <w:t xml:space="preserve">p=0,03).</w:t>
            </w:r>
          </w:p>
          <w:p>
            <w:pPr>
              <w:pStyle w:val="TableParagraph"/>
              <w:spacing w:before="1"/>
              <w:ind w:start="106" w:end="135"/>
              <w:rPr>
                <w:sz w:val="20"/>
              </w:rPr>
            </w:pPr>
            <w:r>
              <w:rPr>
                <w:sz w:val="20"/>
              </w:rPr>
              <w:t xml:space="preserve">Il n'y avait pas de </w:t>
            </w:r>
            <w:r>
              <w:rPr>
                <w:sz w:val="20"/>
              </w:rPr>
              <w:t xml:space="preserve">différence </w:t>
            </w:r>
            <w:r>
              <w:rPr>
                <w:sz w:val="20"/>
              </w:rPr>
              <w:t xml:space="preserve">statistiquement significative </w:t>
            </w:r>
            <w:r>
              <w:rPr>
                <w:sz w:val="20"/>
              </w:rPr>
              <w:t xml:space="preserve">dans les scores moyens (±SD) du CGAS </w:t>
            </w:r>
            <w:r>
              <w:rPr>
                <w:sz w:val="20"/>
              </w:rPr>
              <w:t xml:space="preserve">au départ (T0) entre les </w:t>
            </w:r>
            <w:r>
              <w:rPr>
                <w:sz w:val="20"/>
              </w:rPr>
              <w:t xml:space="preserve">adolescents </w:t>
            </w:r>
            <w:r>
              <w:rPr>
                <w:sz w:val="20"/>
              </w:rPr>
              <w:t xml:space="preserve">éligibles </w:t>
            </w:r>
            <w:r>
              <w:rPr>
                <w:sz w:val="20"/>
              </w:rPr>
              <w:t xml:space="preserve">immédiatement </w:t>
            </w:r>
            <w:r>
              <w:rPr>
                <w:sz w:val="20"/>
              </w:rPr>
              <w:t xml:space="preserve">et les </w:t>
            </w:r>
            <w:r>
              <w:rPr>
                <w:sz w:val="20"/>
              </w:rPr>
              <w:t xml:space="preserve">adolescents </w:t>
            </w:r>
            <w:r>
              <w:rPr>
                <w:sz w:val="20"/>
              </w:rPr>
              <w:t xml:space="preserve">éligibles </w:t>
            </w:r>
            <w:r>
              <w:rPr>
                <w:sz w:val="20"/>
              </w:rPr>
              <w:t xml:space="preserve">tardivement </w:t>
            </w:r>
            <w:r>
              <w:rPr>
                <w:sz w:val="20"/>
              </w:rPr>
              <w:t xml:space="preserve">(n=201, </w:t>
            </w:r>
            <w:r>
              <w:rPr>
                <w:sz w:val="20"/>
              </w:rPr>
              <w:t xml:space="preserve">58.72 </w:t>
            </w:r>
            <w:r>
              <w:rPr>
                <w:sz w:val="20"/>
              </w:rPr>
              <w:t xml:space="preserve">[±11.38]</w:t>
            </w:r>
          </w:p>
          <w:p>
            <w:pPr>
              <w:pStyle w:val="TableParagraph"/>
              <w:ind w:start="106" w:end="702"/>
              <w:rPr>
                <w:sz w:val="20"/>
              </w:rPr>
            </w:pPr>
            <w:r>
              <w:rPr>
                <w:sz w:val="20"/>
              </w:rPr>
              <w:t xml:space="preserve">contre </w:t>
            </w:r>
            <w:r>
              <w:rPr>
                <w:sz w:val="20"/>
              </w:rPr>
              <w:t xml:space="preserve">56,63 </w:t>
            </w:r>
            <w:r>
              <w:rPr>
                <w:sz w:val="20"/>
              </w:rPr>
              <w:t xml:space="preserve">[±13,14] ; </w:t>
            </w:r>
            <w:r>
              <w:rPr>
                <w:i/>
                <w:sz w:val="20"/>
              </w:rPr>
              <w:t xml:space="preserve">test t </w:t>
            </w:r>
            <w:r>
              <w:rPr>
                <w:sz w:val="20"/>
              </w:rPr>
              <w:t xml:space="preserve">1,21 ; </w:t>
            </w:r>
            <w:r>
              <w:rPr>
                <w:sz w:val="20"/>
              </w:rPr>
              <w:t xml:space="preserve">p=0,23).</w:t>
            </w:r>
          </w:p>
          <w:p>
            <w:pPr>
              <w:pStyle w:val="TableParagraph"/>
              <w:ind w:start="106" w:end="369"/>
              <w:rPr>
                <w:b/>
                <w:sz w:val="20"/>
              </w:rPr>
            </w:pPr>
            <w:r>
              <w:rPr>
                <w:b/>
                <w:sz w:val="20"/>
              </w:rPr>
              <w:t xml:space="preserve">Participants </w:t>
            </w:r>
            <w:r>
              <w:rPr>
                <w:b/>
                <w:sz w:val="20"/>
              </w:rPr>
              <w:t xml:space="preserve">éligibles </w:t>
            </w:r>
            <w:r>
              <w:rPr>
                <w:b/>
                <w:sz w:val="20"/>
              </w:rPr>
              <w:t xml:space="preserve">immédiatement </w:t>
            </w:r>
            <w:r>
              <w:rPr>
                <w:b/>
                <w:sz w:val="20"/>
              </w:rPr>
              <w:t xml:space="preserve">par rapport </w:t>
            </w:r>
            <w:r>
              <w:rPr>
                <w:b/>
                <w:sz w:val="20"/>
              </w:rPr>
              <w:t xml:space="preserve">aux </w:t>
            </w:r>
            <w:r>
              <w:rPr>
                <w:b/>
                <w:sz w:val="20"/>
              </w:rPr>
              <w:t xml:space="preserve">participants </w:t>
            </w:r>
            <w:r>
              <w:rPr>
                <w:b/>
                <w:sz w:val="20"/>
              </w:rPr>
              <w:t xml:space="preserve">éligibles </w:t>
            </w:r>
            <w:r>
              <w:rPr>
                <w:b/>
                <w:sz w:val="20"/>
              </w:rPr>
              <w:t xml:space="preserve">tardivement</w:t>
            </w:r>
          </w:p>
          <w:p>
            <w:pPr>
              <w:pStyle w:val="TableParagraph"/>
              <w:spacing w:line="230" w:lineRule="exact"/>
              <w:ind w:start="106"/>
              <w:rPr>
                <w:sz w:val="20"/>
              </w:rPr>
            </w:pPr>
            <w:r>
              <w:rPr>
                <w:sz w:val="20"/>
              </w:rPr>
              <w:t xml:space="preserve">Lors du </w:t>
            </w:r>
            <w:r>
              <w:rPr>
                <w:sz w:val="20"/>
              </w:rPr>
              <w:t xml:space="preserve">suivi, </w:t>
            </w:r>
            <w:r>
              <w:rPr>
                <w:sz w:val="20"/>
              </w:rPr>
              <w:t xml:space="preserve">il </w:t>
            </w:r>
            <w:r>
              <w:rPr>
                <w:sz w:val="20"/>
              </w:rPr>
              <w:t xml:space="preserve">n'y avait pas de </w:t>
            </w:r>
            <w:r>
              <w:rPr>
                <w:sz w:val="20"/>
              </w:rPr>
              <w:t xml:space="preserve">différence </w:t>
            </w:r>
            <w:r>
              <w:rPr>
                <w:sz w:val="20"/>
              </w:rPr>
              <w:t xml:space="preserve">statistiquement </w:t>
            </w:r>
            <w:r>
              <w:rPr>
                <w:sz w:val="20"/>
              </w:rPr>
              <w:t xml:space="preserve">significative </w:t>
            </w:r>
            <w:r>
              <w:rPr>
                <w:sz w:val="20"/>
              </w:rPr>
              <w:t xml:space="preserve">dans les valeurs </w:t>
            </w:r>
            <w:r>
              <w:rPr>
                <w:sz w:val="20"/>
              </w:rPr>
              <w:t xml:space="preserve">moyennes </w:t>
            </w:r>
            <w:r>
              <w:rPr>
                <w:sz w:val="20"/>
              </w:rPr>
              <w:t xml:space="preserve">(±SD)</w:t>
            </w:r>
          </w:p>
        </w:tc>
        <w:tc>
          <w:tcPr>
            <w:tcW w:w="3404" w:type="dxa"/>
          </w:tcPr>
          <w:p>
            <w:pPr>
              <w:pStyle w:val="TableParagraph"/>
              <w:ind w:start="106" w:end="449"/>
              <w:rPr>
                <w:b/>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p>
          <w:p w:rsidR="00432386" w:rsidRDefault="00432386">
            <w:pPr>
              <w:pStyle w:val="TableParagraph"/>
              <w:spacing w:before="2"/>
              <w:rPr>
                <w:sz w:val="19"/>
              </w:rPr>
            </w:pPr>
          </w:p>
          <w:p>
            <w:pPr>
              <w:pStyle w:val="TableParagraph"/>
              <w:spacing w:before="1"/>
              <w:ind w:start="106" w:end="73"/>
              <w:rPr>
                <w:sz w:val="20"/>
              </w:rPr>
            </w:pPr>
            <w:r>
              <w:rPr>
                <w:sz w:val="20"/>
              </w:rPr>
              <w:t xml:space="preserve">Autres commentaires : </w:t>
            </w:r>
            <w:r>
              <w:rPr>
                <w:sz w:val="20"/>
              </w:rPr>
              <w:t xml:space="preserve">La comorbidité </w:t>
            </w:r>
            <w:r>
              <w:rPr>
                <w:sz w:val="20"/>
              </w:rPr>
              <w:t xml:space="preserve">physique et </w:t>
            </w:r>
            <w:r>
              <w:rPr>
                <w:sz w:val="20"/>
              </w:rPr>
              <w:t xml:space="preserve">psychologique a été </w:t>
            </w:r>
            <w:r>
              <w:rPr>
                <w:sz w:val="20"/>
              </w:rPr>
              <w:t xml:space="preserve">mal </w:t>
            </w:r>
            <w:r>
              <w:rPr>
                <w:sz w:val="20"/>
              </w:rPr>
              <w:t xml:space="preserve">rapportée, l'</w:t>
            </w:r>
            <w:r>
              <w:rPr>
                <w:sz w:val="20"/>
              </w:rPr>
              <w:t xml:space="preserve">utilisation </w:t>
            </w:r>
            <w:r>
              <w:rPr>
                <w:sz w:val="20"/>
              </w:rPr>
              <w:t xml:space="preserve">concomitante </w:t>
            </w:r>
            <w:r>
              <w:rPr>
                <w:sz w:val="20"/>
              </w:rPr>
              <w:t xml:space="preserve">d'</w:t>
            </w:r>
            <w:r>
              <w:rPr>
                <w:sz w:val="20"/>
              </w:rPr>
              <w:t xml:space="preserve">autres médicaments n'a pas été rapportée. </w:t>
            </w:r>
            <w:r>
              <w:rPr>
                <w:sz w:val="20"/>
              </w:rPr>
              <w:t xml:space="preserve">Nombreuses </w:t>
            </w:r>
            <w:r>
              <w:rPr>
                <w:sz w:val="20"/>
              </w:rPr>
              <w:t xml:space="preserve">pertes </w:t>
            </w:r>
            <w:r>
              <w:rPr>
                <w:sz w:val="20"/>
              </w:rPr>
              <w:t xml:space="preserve">de </w:t>
            </w:r>
            <w:r>
              <w:rPr>
                <w:sz w:val="20"/>
              </w:rPr>
              <w:t xml:space="preserve">suivi </w:t>
            </w:r>
            <w:r>
              <w:rPr>
                <w:sz w:val="20"/>
              </w:rPr>
              <w:t xml:space="preserve">inexpliquées </w:t>
            </w:r>
            <w:r>
              <w:rPr>
                <w:sz w:val="20"/>
              </w:rPr>
              <w:t xml:space="preserve">(64,7 %) </w:t>
            </w:r>
            <w:r>
              <w:rPr>
                <w:sz w:val="20"/>
              </w:rPr>
              <w:t xml:space="preserve">à </w:t>
            </w:r>
            <w:r>
              <w:rPr>
                <w:sz w:val="20"/>
              </w:rPr>
              <w:t xml:space="preserve">T3.</w:t>
            </w:r>
          </w:p>
          <w:p w:rsidR="00432386" w:rsidRDefault="00432386">
            <w:pPr>
              <w:pStyle w:val="TableParagraph"/>
              <w:spacing w:before="1"/>
              <w:rPr>
                <w:sz w:val="20"/>
              </w:rPr>
            </w:pPr>
          </w:p>
          <w:p>
            <w:pPr>
              <w:pStyle w:val="TableParagraph"/>
              <w:ind w:start="106"/>
              <w:rPr>
                <w:sz w:val="20"/>
              </w:rPr>
            </w:pPr>
            <w:r>
              <w:rPr>
                <w:sz w:val="20"/>
              </w:rPr>
              <w:t xml:space="preserve">Source </w:t>
            </w:r>
            <w:r>
              <w:rPr>
                <w:sz w:val="20"/>
              </w:rPr>
              <w:t xml:space="preserve">de </w:t>
            </w:r>
            <w:r>
              <w:rPr>
                <w:sz w:val="20"/>
              </w:rPr>
              <w:t xml:space="preserve">financement : non </w:t>
            </w:r>
            <w:r>
              <w:rPr>
                <w:sz w:val="20"/>
              </w:rPr>
              <w:t xml:space="preserve">communiqué.</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45"/>
        <w:gridCol w:w="2129"/>
        <w:gridCol w:w="3855"/>
        <w:gridCol w:w="3404"/>
      </w:tblGrid>
      <w:tr w:rsidR="00432386">
        <w:trPr>
          <w:trHeight w:val="9092"/>
        </w:trPr>
        <w:tc>
          <w:tcPr>
            <w:tcW w:w="2972" w:type="dxa"/>
          </w:tcPr>
          <w:p w:rsidR="00432386" w:rsidRDefault="00432386">
            <w:pPr>
              <w:pStyle w:val="TableParagraph"/>
              <w:rPr>
                <w:rFonts w:ascii="Times New Roman"/>
                <w:sz w:val="18"/>
              </w:rPr>
            </w:pPr>
          </w:p>
        </w:tc>
        <w:tc>
          <w:tcPr>
            <w:tcW w:w="3145" w:type="dxa"/>
          </w:tcPr>
          <w:p w:rsidR="00432386" w:rsidRDefault="00432386">
            <w:pPr>
              <w:pStyle w:val="TableParagraph"/>
              <w:rPr>
                <w:rFonts w:ascii="Times New Roman"/>
                <w:sz w:val="18"/>
              </w:rPr>
            </w:pPr>
          </w:p>
        </w:tc>
        <w:tc>
          <w:tcPr>
            <w:tcW w:w="2129" w:type="dxa"/>
          </w:tcPr>
          <w:p w:rsidR="00432386" w:rsidRDefault="00432386">
            <w:pPr>
              <w:pStyle w:val="TableParagraph"/>
              <w:rPr>
                <w:rFonts w:ascii="Times New Roman"/>
                <w:sz w:val="18"/>
              </w:rPr>
            </w:pPr>
          </w:p>
        </w:tc>
        <w:tc>
          <w:tcPr>
            <w:tcW w:w="3855" w:type="dxa"/>
          </w:tcPr>
          <w:p>
            <w:pPr>
              <w:pStyle w:val="TableParagraph"/>
              <w:ind w:start="106"/>
              <w:rPr>
                <w:sz w:val="20"/>
              </w:rPr>
            </w:pPr>
            <w:r>
              <w:rPr>
                <w:sz w:val="20"/>
              </w:rPr>
              <w:t xml:space="preserve">Les </w:t>
            </w:r>
            <w:r>
              <w:rPr>
                <w:sz w:val="20"/>
              </w:rPr>
              <w:t xml:space="preserve">scores </w:t>
            </w:r>
            <w:r>
              <w:rPr>
                <w:sz w:val="20"/>
              </w:rPr>
              <w:t xml:space="preserve">CGAS </w:t>
            </w:r>
            <w:r>
              <w:rPr>
                <w:sz w:val="20"/>
              </w:rPr>
              <w:t xml:space="preserve">à </w:t>
            </w:r>
            <w:r>
              <w:rPr>
                <w:sz w:val="20"/>
              </w:rPr>
              <w:t xml:space="preserve">n'importe quel </w:t>
            </w:r>
            <w:r>
              <w:rPr>
                <w:sz w:val="20"/>
              </w:rPr>
              <w:t xml:space="preserve">moment </w:t>
            </w:r>
            <w:r>
              <w:rPr>
                <w:sz w:val="20"/>
              </w:rPr>
              <w:t xml:space="preserve">du </w:t>
            </w:r>
            <w:r>
              <w:rPr>
                <w:sz w:val="20"/>
              </w:rPr>
              <w:t xml:space="preserve">suivi </w:t>
            </w:r>
            <w:r>
              <w:rPr>
                <w:sz w:val="20"/>
              </w:rPr>
              <w:t xml:space="preserve">(T1, T2 ou T3) entre les </w:t>
            </w:r>
            <w:r>
              <w:rPr>
                <w:sz w:val="20"/>
              </w:rPr>
              <w:t xml:space="preserve">adolescents éligibles </w:t>
            </w:r>
            <w:r>
              <w:rPr>
                <w:sz w:val="20"/>
              </w:rPr>
              <w:t xml:space="preserve">immédiatement </w:t>
            </w:r>
            <w:r>
              <w:rPr>
                <w:sz w:val="20"/>
              </w:rPr>
              <w:t xml:space="preserve">et les </w:t>
            </w:r>
            <w:r>
              <w:rPr>
                <w:sz w:val="20"/>
              </w:rPr>
              <w:t xml:space="preserve">adolescents </w:t>
            </w:r>
            <w:r>
              <w:rPr>
                <w:sz w:val="20"/>
              </w:rPr>
              <w:t xml:space="preserve">éligibles tardivement </w:t>
            </w:r>
            <w:r>
              <w:rPr>
                <w:sz w:val="20"/>
              </w:rPr>
              <w:t xml:space="preserve">:</w:t>
            </w:r>
          </w:p>
          <w:p>
            <w:pPr>
              <w:pStyle w:val="TableParagraph"/>
              <w:numPr>
                <w:ilvl w:val="0"/>
                <w:numId w:val="38"/>
              </w:numPr>
              <w:tabs>
                <w:tab w:val="left" w:pos="359"/>
                <w:tab w:val="left" w:pos="360"/>
              </w:tabs>
              <w:spacing w:line="243" w:lineRule="exact"/>
              <w:ind w:end="437" w:hanging="467"/>
              <w:jc w:val="right"/>
              <w:rPr>
                <w:sz w:val="20"/>
              </w:rPr>
            </w:pPr>
            <w:r>
              <w:rPr>
                <w:sz w:val="20"/>
              </w:rPr>
              <w:t xml:space="preserve">T1, </w:t>
            </w:r>
            <w:r>
              <w:rPr>
                <w:sz w:val="20"/>
              </w:rPr>
              <w:t xml:space="preserve">n=201, </w:t>
            </w:r>
            <w:r>
              <w:rPr>
                <w:sz w:val="20"/>
              </w:rPr>
              <w:t xml:space="preserve">60,89 </w:t>
            </w:r>
            <w:r>
              <w:rPr>
                <w:sz w:val="20"/>
              </w:rPr>
              <w:t xml:space="preserve">[±12,17] </w:t>
            </w:r>
            <w:r>
              <w:rPr>
                <w:sz w:val="20"/>
              </w:rPr>
              <w:t xml:space="preserve">versus</w:t>
            </w:r>
          </w:p>
          <w:p>
            <w:pPr>
              <w:pStyle w:val="TableParagraph"/>
              <w:spacing w:line="228" w:lineRule="exact"/>
              <w:ind w:end="370"/>
              <w:jc w:val="right"/>
              <w:rPr>
                <w:sz w:val="20"/>
              </w:rPr>
            </w:pPr>
            <w:r>
              <w:rPr>
                <w:sz w:val="20"/>
              </w:rPr>
              <w:t xml:space="preserve">60,29 </w:t>
            </w:r>
            <w:r>
              <w:rPr>
                <w:sz w:val="20"/>
              </w:rPr>
              <w:t xml:space="preserve">[±12,81] ; </w:t>
            </w:r>
            <w:r>
              <w:rPr>
                <w:i/>
                <w:sz w:val="20"/>
              </w:rPr>
              <w:t xml:space="preserve">test t </w:t>
            </w:r>
            <w:r>
              <w:rPr>
                <w:sz w:val="20"/>
              </w:rPr>
              <w:t xml:space="preserve">0,34 ; </w:t>
            </w:r>
            <w:r>
              <w:rPr>
                <w:sz w:val="20"/>
              </w:rPr>
              <w:t xml:space="preserve">p=0,73</w:t>
            </w:r>
          </w:p>
          <w:p>
            <w:pPr>
              <w:pStyle w:val="TableParagraph"/>
              <w:numPr>
                <w:ilvl w:val="0"/>
                <w:numId w:val="38"/>
              </w:numPr>
              <w:tabs>
                <w:tab w:val="left" w:pos="359"/>
                <w:tab w:val="left" w:pos="360"/>
              </w:tabs>
              <w:spacing w:line="243" w:lineRule="exact"/>
              <w:ind w:end="437" w:hanging="467"/>
              <w:jc w:val="right"/>
              <w:rPr>
                <w:sz w:val="20"/>
              </w:rPr>
            </w:pPr>
            <w:r>
              <w:rPr>
                <w:sz w:val="20"/>
              </w:rPr>
              <w:t xml:space="preserve">T2, </w:t>
            </w:r>
            <w:r>
              <w:rPr>
                <w:sz w:val="20"/>
              </w:rPr>
              <w:t xml:space="preserve">n=121, </w:t>
            </w:r>
            <w:r>
              <w:rPr>
                <w:sz w:val="20"/>
              </w:rPr>
              <w:t xml:space="preserve">64,70 </w:t>
            </w:r>
            <w:r>
              <w:rPr>
                <w:sz w:val="20"/>
              </w:rPr>
              <w:t xml:space="preserve">[±13,34] </w:t>
            </w:r>
            <w:r>
              <w:rPr>
                <w:sz w:val="20"/>
              </w:rPr>
              <w:t xml:space="preserve">versus</w:t>
            </w:r>
          </w:p>
          <w:p>
            <w:pPr>
              <w:pStyle w:val="TableParagraph"/>
              <w:spacing w:line="228" w:lineRule="exact"/>
              <w:ind w:end="371"/>
              <w:jc w:val="right"/>
              <w:rPr>
                <w:sz w:val="20"/>
              </w:rPr>
            </w:pPr>
            <w:r>
              <w:rPr>
                <w:sz w:val="20"/>
              </w:rPr>
              <w:t xml:space="preserve">62,97 </w:t>
            </w:r>
            <w:r>
              <w:rPr>
                <w:sz w:val="20"/>
              </w:rPr>
              <w:t xml:space="preserve">[±14,10] ; </w:t>
            </w:r>
            <w:r>
              <w:rPr>
                <w:i/>
                <w:sz w:val="20"/>
              </w:rPr>
              <w:t xml:space="preserve">test t </w:t>
            </w:r>
            <w:r>
              <w:rPr>
                <w:sz w:val="20"/>
              </w:rPr>
              <w:t xml:space="preserve">0,69 ; </w:t>
            </w:r>
            <w:r>
              <w:rPr>
                <w:sz w:val="20"/>
              </w:rPr>
              <w:t xml:space="preserve">p=0,49</w:t>
            </w:r>
          </w:p>
          <w:p>
            <w:pPr>
              <w:pStyle w:val="TableParagraph"/>
              <w:numPr>
                <w:ilvl w:val="0"/>
                <w:numId w:val="38"/>
              </w:numPr>
              <w:tabs>
                <w:tab w:val="left" w:pos="466"/>
                <w:tab w:val="left" w:pos="467"/>
              </w:tabs>
              <w:spacing w:line="244" w:lineRule="exact"/>
              <w:ind w:hanging="361"/>
              <w:rPr>
                <w:sz w:val="20"/>
              </w:rPr>
            </w:pPr>
            <w:r>
              <w:rPr>
                <w:sz w:val="20"/>
              </w:rPr>
              <w:t xml:space="preserve">T3, </w:t>
            </w:r>
            <w:r>
              <w:rPr>
                <w:sz w:val="20"/>
              </w:rPr>
              <w:t xml:space="preserve">n=71, </w:t>
            </w:r>
            <w:r>
              <w:rPr>
                <w:sz w:val="20"/>
              </w:rPr>
              <w:t xml:space="preserve">67,40 </w:t>
            </w:r>
            <w:r>
              <w:rPr>
                <w:sz w:val="20"/>
              </w:rPr>
              <w:t xml:space="preserve">[±13,93] </w:t>
            </w:r>
            <w:r>
              <w:rPr>
                <w:sz w:val="20"/>
              </w:rPr>
              <w:t xml:space="preserve">versus</w:t>
            </w:r>
          </w:p>
          <w:p>
            <w:pPr>
              <w:pStyle w:val="TableParagraph"/>
              <w:spacing w:line="229" w:lineRule="exact"/>
              <w:ind w:start="466"/>
              <w:rPr>
                <w:sz w:val="20"/>
              </w:rPr>
            </w:pPr>
            <w:r>
              <w:rPr>
                <w:sz w:val="20"/>
              </w:rPr>
              <w:t xml:space="preserve">62,53 </w:t>
            </w:r>
            <w:r>
              <w:rPr>
                <w:sz w:val="20"/>
              </w:rPr>
              <w:t xml:space="preserve">[±13,54] ; </w:t>
            </w:r>
            <w:r>
              <w:rPr>
                <w:i/>
                <w:sz w:val="20"/>
              </w:rPr>
              <w:t xml:space="preserve">test t </w:t>
            </w:r>
            <w:r>
              <w:rPr>
                <w:sz w:val="20"/>
              </w:rPr>
              <w:t xml:space="preserve">1,49 ; p=0,14.</w:t>
            </w:r>
          </w:p>
          <w:p>
            <w:pPr>
              <w:pStyle w:val="TableParagraph"/>
              <w:spacing w:line="229" w:lineRule="exact"/>
              <w:ind w:start="106"/>
              <w:rPr>
                <w:b/>
                <w:sz w:val="20"/>
              </w:rPr>
            </w:pPr>
            <w:r>
              <w:rPr>
                <w:b/>
                <w:sz w:val="20"/>
              </w:rPr>
              <w:t xml:space="preserve">Tous les </w:t>
            </w:r>
            <w:r>
              <w:rPr>
                <w:b/>
                <w:sz w:val="20"/>
              </w:rPr>
              <w:t xml:space="preserve">participants</w:t>
            </w:r>
          </w:p>
          <w:p>
            <w:pPr>
              <w:pStyle w:val="TableParagraph"/>
              <w:ind w:start="106"/>
              <w:rPr>
                <w:sz w:val="20"/>
              </w:rPr>
            </w:pPr>
            <w:r>
              <w:rPr>
                <w:sz w:val="20"/>
              </w:rPr>
              <w:t xml:space="preserve">Il y a eu une </w:t>
            </w:r>
            <w:r>
              <w:rPr>
                <w:sz w:val="20"/>
              </w:rPr>
              <w:t xml:space="preserve">augmentation </w:t>
            </w:r>
            <w:r>
              <w:rPr>
                <w:sz w:val="20"/>
              </w:rPr>
              <w:t xml:space="preserve">statistiquement significative </w:t>
            </w:r>
            <w:r>
              <w:rPr>
                <w:sz w:val="20"/>
              </w:rPr>
              <w:t xml:space="preserve">des </w:t>
            </w:r>
            <w:r>
              <w:rPr>
                <w:sz w:val="20"/>
              </w:rPr>
              <w:t xml:space="preserve">scores </w:t>
            </w:r>
            <w:r>
              <w:rPr>
                <w:sz w:val="20"/>
              </w:rPr>
              <w:t xml:space="preserve">moyens </w:t>
            </w:r>
            <w:r>
              <w:rPr>
                <w:sz w:val="20"/>
              </w:rPr>
              <w:t xml:space="preserve">(±SD) du </w:t>
            </w:r>
            <w:r>
              <w:rPr>
                <w:sz w:val="20"/>
              </w:rPr>
              <w:t xml:space="preserve">CGAS </w:t>
            </w:r>
            <w:r>
              <w:rPr>
                <w:sz w:val="20"/>
              </w:rPr>
              <w:t xml:space="preserve">à </w:t>
            </w:r>
            <w:r>
              <w:rPr>
                <w:sz w:val="20"/>
              </w:rPr>
              <w:t xml:space="preserve">n'importe quel moment du suivi (T1, T2 ou T3) </w:t>
            </w:r>
            <w:r>
              <w:rPr>
                <w:sz w:val="20"/>
              </w:rPr>
              <w:t xml:space="preserve">par rapport à la ligne de base (T0) pour le </w:t>
            </w:r>
            <w:r>
              <w:rPr>
                <w:sz w:val="20"/>
              </w:rPr>
              <w:t xml:space="preserve">groupe de </w:t>
            </w:r>
            <w:r>
              <w:rPr>
                <w:sz w:val="20"/>
              </w:rPr>
              <w:t xml:space="preserve">tous les </w:t>
            </w:r>
            <w:r>
              <w:rPr>
                <w:sz w:val="20"/>
              </w:rPr>
              <w:t xml:space="preserve">adolescents :</w:t>
            </w:r>
          </w:p>
          <w:p>
            <w:pPr>
              <w:pStyle w:val="TableParagraph"/>
              <w:numPr>
                <w:ilvl w:val="0"/>
                <w:numId w:val="38"/>
              </w:numPr>
              <w:tabs>
                <w:tab w:val="left" w:pos="359"/>
                <w:tab w:val="left" w:pos="360"/>
              </w:tabs>
              <w:spacing w:line="243" w:lineRule="exact"/>
              <w:ind w:end="101" w:hanging="467"/>
              <w:jc w:val="right"/>
              <w:rPr>
                <w:sz w:val="20"/>
              </w:rPr>
            </w:pPr>
            <w:r>
              <w:rPr>
                <w:sz w:val="20"/>
              </w:rPr>
              <w:t xml:space="preserve">T0 </w:t>
            </w:r>
            <w:r>
              <w:rPr>
                <w:sz w:val="20"/>
              </w:rPr>
              <w:t xml:space="preserve">(n=201) </w:t>
            </w:r>
            <w:r>
              <w:rPr>
                <w:sz w:val="20"/>
              </w:rPr>
              <w:t xml:space="preserve">versus </w:t>
            </w:r>
            <w:r>
              <w:rPr>
                <w:sz w:val="20"/>
              </w:rPr>
              <w:t xml:space="preserve">T1 </w:t>
            </w:r>
            <w:r>
              <w:rPr>
                <w:sz w:val="20"/>
              </w:rPr>
              <w:t xml:space="preserve">(n=201), </w:t>
            </w:r>
            <w:r>
              <w:rPr>
                <w:sz w:val="20"/>
              </w:rPr>
              <w:t xml:space="preserve">57.73</w:t>
            </w:r>
          </w:p>
          <w:p>
            <w:pPr>
              <w:pStyle w:val="TableParagraph"/>
              <w:spacing w:line="228" w:lineRule="exact"/>
              <w:ind w:end="121"/>
              <w:jc w:val="right"/>
              <w:rPr>
                <w:sz w:val="20"/>
              </w:rPr>
            </w:pPr>
            <w:r>
              <w:rPr>
                <w:sz w:val="20"/>
              </w:rPr>
              <w:t xml:space="preserve">[±12,27] </w:t>
            </w:r>
            <w:r>
              <w:rPr>
                <w:sz w:val="20"/>
              </w:rPr>
              <w:t xml:space="preserve">contre </w:t>
            </w:r>
            <w:r>
              <w:rPr>
                <w:sz w:val="20"/>
              </w:rPr>
              <w:t xml:space="preserve">60,68 </w:t>
            </w:r>
            <w:r>
              <w:rPr>
                <w:sz w:val="20"/>
              </w:rPr>
              <w:t xml:space="preserve">[±12,47] ; </w:t>
            </w:r>
            <w:r>
              <w:rPr>
                <w:i/>
                <w:sz w:val="20"/>
              </w:rPr>
              <w:t xml:space="preserve">test t</w:t>
            </w:r>
          </w:p>
          <w:p>
            <w:pPr>
              <w:pStyle w:val="TableParagraph"/>
              <w:ind w:start="466"/>
              <w:rPr>
                <w:sz w:val="20"/>
              </w:rPr>
            </w:pPr>
            <w:r>
              <w:rPr>
                <w:sz w:val="20"/>
              </w:rPr>
              <w:t xml:space="preserve">4.87 ; </w:t>
            </w:r>
            <w:r>
              <w:rPr>
                <w:sz w:val="20"/>
              </w:rPr>
              <w:t xml:space="preserve">p&lt;0.001</w:t>
            </w:r>
          </w:p>
          <w:p>
            <w:pPr>
              <w:pStyle w:val="TableParagraph"/>
              <w:numPr>
                <w:ilvl w:val="0"/>
                <w:numId w:val="38"/>
              </w:numPr>
              <w:tabs>
                <w:tab w:val="left" w:pos="359"/>
                <w:tab w:val="left" w:pos="360"/>
              </w:tabs>
              <w:spacing w:line="243" w:lineRule="exact"/>
              <w:ind w:end="101" w:hanging="467"/>
              <w:jc w:val="right"/>
              <w:rPr>
                <w:sz w:val="20"/>
              </w:rPr>
            </w:pPr>
            <w:r>
              <w:rPr>
                <w:sz w:val="20"/>
              </w:rPr>
              <w:t xml:space="preserve">T0 </w:t>
            </w:r>
            <w:r>
              <w:rPr>
                <w:sz w:val="20"/>
              </w:rPr>
              <w:t xml:space="preserve">(n=201) </w:t>
            </w:r>
            <w:r>
              <w:rPr>
                <w:sz w:val="20"/>
              </w:rPr>
              <w:t xml:space="preserve">contre </w:t>
            </w:r>
            <w:r>
              <w:rPr>
                <w:sz w:val="20"/>
              </w:rPr>
              <w:t xml:space="preserve">T2 </w:t>
            </w:r>
            <w:r>
              <w:rPr>
                <w:sz w:val="20"/>
              </w:rPr>
              <w:t xml:space="preserve">(n=121), </w:t>
            </w:r>
            <w:r>
              <w:rPr>
                <w:sz w:val="20"/>
              </w:rPr>
              <w:t xml:space="preserve">57,73</w:t>
            </w:r>
          </w:p>
          <w:p>
            <w:pPr>
              <w:pStyle w:val="TableParagraph"/>
              <w:spacing w:line="228" w:lineRule="exact"/>
              <w:ind w:end="121"/>
              <w:jc w:val="right"/>
              <w:rPr>
                <w:sz w:val="20"/>
              </w:rPr>
            </w:pPr>
            <w:r>
              <w:rPr>
                <w:sz w:val="20"/>
              </w:rPr>
              <w:t xml:space="preserve">[±12,27] </w:t>
            </w:r>
            <w:r>
              <w:rPr>
                <w:sz w:val="20"/>
              </w:rPr>
              <w:t xml:space="preserve">contre </w:t>
            </w:r>
            <w:r>
              <w:rPr>
                <w:sz w:val="20"/>
              </w:rPr>
              <w:t xml:space="preserve">63,31 </w:t>
            </w:r>
            <w:r>
              <w:rPr>
                <w:sz w:val="20"/>
              </w:rPr>
              <w:t xml:space="preserve">[±14,41] ; </w:t>
            </w:r>
            <w:r>
              <w:rPr>
                <w:i/>
                <w:sz w:val="20"/>
              </w:rPr>
              <w:t xml:space="preserve">test t</w:t>
            </w:r>
          </w:p>
          <w:p>
            <w:pPr>
              <w:pStyle w:val="TableParagraph"/>
              <w:spacing w:before="1"/>
              <w:ind w:start="466"/>
              <w:rPr>
                <w:sz w:val="20"/>
              </w:rPr>
            </w:pPr>
            <w:r>
              <w:rPr>
                <w:sz w:val="20"/>
              </w:rPr>
              <w:t xml:space="preserve">3.70 ; </w:t>
            </w:r>
            <w:r>
              <w:rPr>
                <w:sz w:val="20"/>
              </w:rPr>
              <w:t xml:space="preserve">p&lt;0.001</w:t>
            </w:r>
          </w:p>
          <w:p>
            <w:pPr>
              <w:pStyle w:val="TableParagraph"/>
              <w:numPr>
                <w:ilvl w:val="0"/>
                <w:numId w:val="38"/>
              </w:numPr>
              <w:tabs>
                <w:tab w:val="left" w:pos="466"/>
                <w:tab w:val="left" w:pos="467"/>
              </w:tabs>
              <w:spacing w:before="5" w:line="235" w:lineRule="auto"/>
              <w:ind w:end="121"/>
              <w:rPr>
                <w:sz w:val="20"/>
              </w:rPr>
            </w:pPr>
            <w:r>
              <w:rPr>
                <w:sz w:val="20"/>
              </w:rPr>
              <w:t xml:space="preserve">T0 (n=201) versus T3 (n=71), 57,73 </w:t>
            </w:r>
            <w:r>
              <w:rPr>
                <w:sz w:val="20"/>
              </w:rPr>
              <w:t xml:space="preserve">[±12,27] </w:t>
            </w:r>
            <w:r>
              <w:rPr>
                <w:sz w:val="20"/>
              </w:rPr>
              <w:t xml:space="preserve">versus </w:t>
            </w:r>
            <w:r>
              <w:rPr>
                <w:sz w:val="20"/>
              </w:rPr>
              <w:t xml:space="preserve">64,93 </w:t>
            </w:r>
            <w:r>
              <w:rPr>
                <w:sz w:val="20"/>
              </w:rPr>
              <w:t xml:space="preserve">[±13,85] ; </w:t>
            </w:r>
            <w:r>
              <w:rPr>
                <w:i/>
                <w:sz w:val="20"/>
              </w:rPr>
              <w:t xml:space="preserve">test t.</w:t>
            </w:r>
          </w:p>
          <w:p>
            <w:pPr>
              <w:pStyle w:val="TableParagraph"/>
              <w:spacing w:before="3"/>
              <w:ind w:start="466"/>
              <w:rPr>
                <w:sz w:val="20"/>
              </w:rPr>
            </w:pPr>
            <w:r>
              <w:rPr>
                <w:sz w:val="20"/>
              </w:rPr>
              <w:t xml:space="preserve">4.11 ; </w:t>
            </w:r>
            <w:r>
              <w:rPr>
                <w:sz w:val="20"/>
              </w:rPr>
              <w:t xml:space="preserve">p&lt;0.001</w:t>
            </w:r>
          </w:p>
          <w:p>
            <w:pPr>
              <w:pStyle w:val="TableParagraph"/>
              <w:ind w:start="106" w:end="167"/>
              <w:rPr>
                <w:sz w:val="20"/>
              </w:rPr>
            </w:pPr>
            <w:r>
              <w:rPr>
                <w:sz w:val="20"/>
              </w:rPr>
              <w:t xml:space="preserve">On a constaté une augmentation </w:t>
            </w:r>
            <w:r>
              <w:rPr>
                <w:sz w:val="20"/>
              </w:rPr>
              <w:t xml:space="preserve">statistiquement significative </w:t>
            </w:r>
            <w:r>
              <w:rPr>
                <w:sz w:val="20"/>
              </w:rPr>
              <w:t xml:space="preserve">des scores moyens (±SD) du CGAS </w:t>
            </w:r>
            <w:r>
              <w:rPr>
                <w:sz w:val="20"/>
              </w:rPr>
              <w:t xml:space="preserve">en </w:t>
            </w:r>
            <w:r>
              <w:rPr>
                <w:sz w:val="20"/>
              </w:rPr>
              <w:t xml:space="preserve">comparant </w:t>
            </w:r>
            <w:r>
              <w:rPr>
                <w:sz w:val="20"/>
              </w:rPr>
              <w:t xml:space="preserve">la </w:t>
            </w:r>
            <w:r>
              <w:rPr>
                <w:sz w:val="20"/>
              </w:rPr>
              <w:t xml:space="preserve">période de </w:t>
            </w:r>
            <w:r>
              <w:rPr>
                <w:sz w:val="20"/>
              </w:rPr>
              <w:t xml:space="preserve">suivi </w:t>
            </w:r>
            <w:r>
              <w:rPr>
                <w:sz w:val="20"/>
              </w:rPr>
              <w:t xml:space="preserve">T1 </w:t>
            </w:r>
            <w:r>
              <w:rPr>
                <w:sz w:val="20"/>
              </w:rPr>
              <w:t xml:space="preserve">à T3 mais pas pour les périodes T1 à T2 </w:t>
            </w:r>
            <w:r>
              <w:rPr>
                <w:sz w:val="20"/>
              </w:rPr>
              <w:t xml:space="preserve">et </w:t>
            </w:r>
            <w:r>
              <w:rPr>
                <w:sz w:val="20"/>
              </w:rPr>
              <w:t xml:space="preserve">T2 à </w:t>
            </w:r>
            <w:r>
              <w:rPr>
                <w:sz w:val="20"/>
              </w:rPr>
              <w:t xml:space="preserve">T3, </w:t>
            </w:r>
            <w:r>
              <w:rPr>
                <w:sz w:val="20"/>
              </w:rPr>
              <w:t xml:space="preserve">pour </w:t>
            </w:r>
            <w:r>
              <w:rPr>
                <w:sz w:val="20"/>
              </w:rPr>
              <w:t xml:space="preserve">tous les </w:t>
            </w:r>
            <w:r>
              <w:rPr>
                <w:sz w:val="20"/>
              </w:rPr>
              <w:t xml:space="preserve">adolescents :</w:t>
            </w:r>
          </w:p>
          <w:p>
            <w:pPr>
              <w:pStyle w:val="TableParagraph"/>
              <w:numPr>
                <w:ilvl w:val="0"/>
                <w:numId w:val="38"/>
              </w:numPr>
              <w:tabs>
                <w:tab w:val="left" w:pos="359"/>
                <w:tab w:val="left" w:pos="360"/>
              </w:tabs>
              <w:spacing w:before="1" w:line="243" w:lineRule="exact"/>
              <w:ind w:end="101" w:hanging="467"/>
              <w:jc w:val="right"/>
              <w:rPr>
                <w:sz w:val="20"/>
              </w:rPr>
            </w:pPr>
            <w:r>
              <w:rPr>
                <w:sz w:val="20"/>
              </w:rPr>
              <w:t xml:space="preserve">T1 </w:t>
            </w:r>
            <w:r>
              <w:rPr>
                <w:sz w:val="20"/>
              </w:rPr>
              <w:t xml:space="preserve">(n=201) </w:t>
            </w:r>
            <w:r>
              <w:rPr>
                <w:sz w:val="20"/>
              </w:rPr>
              <w:t xml:space="preserve">contre </w:t>
            </w:r>
            <w:r>
              <w:rPr>
                <w:sz w:val="20"/>
              </w:rPr>
              <w:t xml:space="preserve">T2 </w:t>
            </w:r>
            <w:r>
              <w:rPr>
                <w:sz w:val="20"/>
              </w:rPr>
              <w:t xml:space="preserve">(n=121), </w:t>
            </w:r>
            <w:r>
              <w:rPr>
                <w:sz w:val="20"/>
              </w:rPr>
              <w:t xml:space="preserve">60.68</w:t>
            </w:r>
          </w:p>
          <w:p>
            <w:pPr>
              <w:pStyle w:val="TableParagraph"/>
              <w:spacing w:line="228" w:lineRule="exact"/>
              <w:ind w:end="121"/>
              <w:jc w:val="right"/>
              <w:rPr>
                <w:sz w:val="20"/>
              </w:rPr>
            </w:pPr>
            <w:r>
              <w:rPr>
                <w:sz w:val="20"/>
              </w:rPr>
              <w:t xml:space="preserve">[±12,47] </w:t>
            </w:r>
            <w:r>
              <w:rPr>
                <w:sz w:val="20"/>
              </w:rPr>
              <w:t xml:space="preserve">contre </w:t>
            </w:r>
            <w:r>
              <w:rPr>
                <w:sz w:val="20"/>
              </w:rPr>
              <w:t xml:space="preserve">63,31 </w:t>
            </w:r>
            <w:r>
              <w:rPr>
                <w:sz w:val="20"/>
              </w:rPr>
              <w:t xml:space="preserve">[±14,41] ; </w:t>
            </w:r>
            <w:r>
              <w:rPr>
                <w:i/>
                <w:sz w:val="20"/>
              </w:rPr>
              <w:t xml:space="preserve">test t</w:t>
            </w:r>
          </w:p>
          <w:p>
            <w:pPr>
              <w:pStyle w:val="TableParagraph"/>
              <w:spacing w:before="1"/>
              <w:ind w:start="466"/>
              <w:rPr>
                <w:sz w:val="20"/>
              </w:rPr>
            </w:pPr>
            <w:r>
              <w:rPr>
                <w:sz w:val="20"/>
              </w:rPr>
              <w:t xml:space="preserve">1.73 ; </w:t>
            </w:r>
            <w:r>
              <w:rPr>
                <w:sz w:val="20"/>
              </w:rPr>
              <w:t xml:space="preserve">p&lt;0.08</w:t>
            </w:r>
          </w:p>
          <w:p>
            <w:pPr>
              <w:pStyle w:val="TableParagraph"/>
              <w:numPr>
                <w:ilvl w:val="0"/>
                <w:numId w:val="38"/>
              </w:numPr>
              <w:tabs>
                <w:tab w:val="left" w:pos="466"/>
                <w:tab w:val="left" w:pos="467"/>
              </w:tabs>
              <w:spacing w:before="5" w:line="235" w:lineRule="auto"/>
              <w:ind w:end="121"/>
              <w:rPr>
                <w:sz w:val="20"/>
              </w:rPr>
            </w:pPr>
            <w:r>
              <w:rPr>
                <w:sz w:val="20"/>
              </w:rPr>
              <w:t xml:space="preserve">T1 (n=201) versus T3 (n=71), 60,68 </w:t>
            </w:r>
            <w:r>
              <w:rPr>
                <w:sz w:val="20"/>
              </w:rPr>
              <w:t xml:space="preserve">[±12,47] </w:t>
            </w:r>
            <w:r>
              <w:rPr>
                <w:sz w:val="20"/>
              </w:rPr>
              <w:t xml:space="preserve">versus </w:t>
            </w:r>
            <w:r>
              <w:rPr>
                <w:sz w:val="20"/>
              </w:rPr>
              <w:t xml:space="preserve">64,93 </w:t>
            </w:r>
            <w:r>
              <w:rPr>
                <w:sz w:val="20"/>
              </w:rPr>
              <w:t xml:space="preserve">[±13,85], </w:t>
            </w:r>
            <w:r>
              <w:rPr>
                <w:i/>
                <w:sz w:val="20"/>
              </w:rPr>
              <w:t xml:space="preserve">test t</w:t>
            </w:r>
          </w:p>
          <w:p>
            <w:pPr>
              <w:pStyle w:val="TableParagraph"/>
              <w:spacing w:before="2"/>
              <w:ind w:start="466"/>
              <w:rPr>
                <w:sz w:val="20"/>
              </w:rPr>
            </w:pPr>
            <w:r>
              <w:rPr>
                <w:sz w:val="20"/>
              </w:rPr>
              <w:t xml:space="preserve">2.40 ; </w:t>
            </w:r>
            <w:r>
              <w:rPr>
                <w:sz w:val="20"/>
              </w:rPr>
              <w:t xml:space="preserve">p&lt;0.02</w:t>
            </w:r>
          </w:p>
          <w:p>
            <w:pPr>
              <w:pStyle w:val="TableParagraph"/>
              <w:numPr>
                <w:ilvl w:val="0"/>
                <w:numId w:val="38"/>
              </w:numPr>
              <w:tabs>
                <w:tab w:val="left" w:pos="466"/>
                <w:tab w:val="left" w:pos="467"/>
              </w:tabs>
              <w:spacing w:before="6" w:line="235" w:lineRule="auto"/>
              <w:ind w:end="121"/>
              <w:rPr>
                <w:sz w:val="20"/>
              </w:rPr>
            </w:pPr>
            <w:r>
              <w:rPr>
                <w:sz w:val="20"/>
              </w:rPr>
              <w:t xml:space="preserve">T2 (n=121) </w:t>
            </w:r>
            <w:r>
              <w:rPr>
                <w:sz w:val="20"/>
              </w:rPr>
              <w:t xml:space="preserve">versus T3 (n=71), 63,31 </w:t>
            </w:r>
            <w:r>
              <w:rPr>
                <w:sz w:val="20"/>
              </w:rPr>
              <w:t xml:space="preserve">[±14,41] </w:t>
            </w:r>
            <w:r>
              <w:rPr>
                <w:sz w:val="20"/>
              </w:rPr>
              <w:t xml:space="preserve">versus </w:t>
            </w:r>
            <w:r>
              <w:rPr>
                <w:sz w:val="20"/>
              </w:rPr>
              <w:t xml:space="preserve">64,93 </w:t>
            </w:r>
            <w:r>
              <w:rPr>
                <w:sz w:val="20"/>
              </w:rPr>
              <w:t xml:space="preserve">[±13,85], </w:t>
            </w:r>
            <w:r>
              <w:rPr>
                <w:i/>
                <w:sz w:val="20"/>
              </w:rPr>
              <w:t xml:space="preserve">test t</w:t>
            </w:r>
          </w:p>
          <w:p>
            <w:pPr>
              <w:pStyle w:val="TableParagraph"/>
              <w:spacing w:before="2" w:line="220" w:lineRule="exact"/>
              <w:ind w:start="466"/>
              <w:rPr>
                <w:sz w:val="20"/>
              </w:rPr>
            </w:pPr>
            <w:r>
              <w:rPr>
                <w:sz w:val="20"/>
              </w:rPr>
              <w:t xml:space="preserve">0.76 ; </w:t>
            </w:r>
            <w:r>
              <w:rPr>
                <w:sz w:val="20"/>
              </w:rPr>
              <w:t xml:space="preserve">p=0</w:t>
            </w:r>
            <w:r>
              <w:rPr>
                <w:sz w:val="20"/>
              </w:rPr>
              <w:t xml:space="preserve">.45</w:t>
            </w:r>
          </w:p>
        </w:tc>
        <w:tc>
          <w:tcPr>
            <w:tcW w:w="3404"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45"/>
        <w:gridCol w:w="2129"/>
        <w:gridCol w:w="3855"/>
        <w:gridCol w:w="3404"/>
      </w:tblGrid>
      <w:tr w:rsidR="00432386">
        <w:trPr>
          <w:trHeight w:val="8809"/>
        </w:trPr>
        <w:tc>
          <w:tcPr>
            <w:tcW w:w="2972" w:type="dxa"/>
          </w:tcPr>
          <w:p w:rsidR="00432386" w:rsidRDefault="00432386">
            <w:pPr>
              <w:pStyle w:val="TableParagraph"/>
              <w:rPr>
                <w:rFonts w:ascii="Times New Roman"/>
                <w:sz w:val="18"/>
              </w:rPr>
            </w:pPr>
          </w:p>
        </w:tc>
        <w:tc>
          <w:tcPr>
            <w:tcW w:w="3145" w:type="dxa"/>
          </w:tcPr>
          <w:p w:rsidR="00432386" w:rsidRDefault="00432386">
            <w:pPr>
              <w:pStyle w:val="TableParagraph"/>
              <w:rPr>
                <w:rFonts w:ascii="Times New Roman"/>
                <w:sz w:val="18"/>
              </w:rPr>
            </w:pPr>
          </w:p>
        </w:tc>
        <w:tc>
          <w:tcPr>
            <w:tcW w:w="2129" w:type="dxa"/>
          </w:tcPr>
          <w:p w:rsidR="00432386" w:rsidRDefault="00432386">
            <w:pPr>
              <w:pStyle w:val="TableParagraph"/>
              <w:rPr>
                <w:rFonts w:ascii="Times New Roman"/>
                <w:sz w:val="18"/>
              </w:rPr>
            </w:pPr>
          </w:p>
        </w:tc>
        <w:tc>
          <w:tcPr>
            <w:tcW w:w="3855" w:type="dxa"/>
          </w:tcPr>
          <w:p>
            <w:pPr>
              <w:pStyle w:val="TableParagraph"/>
              <w:ind w:start="106" w:end="103"/>
              <w:rPr>
                <w:sz w:val="20"/>
              </w:rPr>
            </w:pPr>
            <w:r>
              <w:rPr>
                <w:sz w:val="20"/>
              </w:rPr>
              <w:t xml:space="preserve">Il n'y avait pas de </w:t>
            </w:r>
            <w:r>
              <w:rPr>
                <w:sz w:val="20"/>
              </w:rPr>
              <w:t xml:space="preserve">différences </w:t>
            </w:r>
            <w:r>
              <w:rPr>
                <w:sz w:val="20"/>
              </w:rPr>
              <w:t xml:space="preserve">statistiquement significatives </w:t>
            </w:r>
            <w:r>
              <w:rPr>
                <w:sz w:val="20"/>
              </w:rPr>
              <w:t xml:space="preserve">dans les </w:t>
            </w:r>
            <w:r>
              <w:rPr>
                <w:sz w:val="20"/>
              </w:rPr>
              <w:t xml:space="preserve">scores </w:t>
            </w:r>
            <w:r>
              <w:rPr>
                <w:sz w:val="20"/>
              </w:rPr>
              <w:t xml:space="preserve">CGAS </w:t>
            </w:r>
            <w:r>
              <w:rPr>
                <w:sz w:val="20"/>
              </w:rPr>
              <w:t xml:space="preserve">entre les </w:t>
            </w:r>
            <w:r>
              <w:rPr>
                <w:sz w:val="20"/>
              </w:rPr>
              <w:t xml:space="preserve">garçons </w:t>
            </w:r>
            <w:r>
              <w:rPr>
                <w:sz w:val="20"/>
              </w:rPr>
              <w:t xml:space="preserve">assignés au </w:t>
            </w:r>
            <w:r>
              <w:rPr>
                <w:sz w:val="20"/>
              </w:rPr>
              <w:t xml:space="preserve">sexe </w:t>
            </w:r>
            <w:r>
              <w:rPr>
                <w:sz w:val="20"/>
              </w:rPr>
              <w:t xml:space="preserve">à la </w:t>
            </w:r>
            <w:r>
              <w:rPr>
                <w:sz w:val="20"/>
              </w:rPr>
              <w:t xml:space="preserve">naissance </w:t>
            </w:r>
            <w:r>
              <w:rPr>
                <w:sz w:val="20"/>
              </w:rPr>
              <w:t xml:space="preserve">et les </w:t>
            </w:r>
            <w:r>
              <w:rPr>
                <w:sz w:val="20"/>
              </w:rPr>
              <w:t xml:space="preserve">filles assignées au </w:t>
            </w:r>
            <w:r>
              <w:rPr>
                <w:sz w:val="20"/>
              </w:rPr>
              <w:t xml:space="preserve">sexe </w:t>
            </w:r>
            <w:r>
              <w:rPr>
                <w:sz w:val="20"/>
              </w:rPr>
              <w:t xml:space="preserve">à la naissance souffrant de </w:t>
            </w:r>
            <w:r>
              <w:rPr>
                <w:sz w:val="20"/>
              </w:rPr>
              <w:t xml:space="preserve">dysphorie de </w:t>
            </w:r>
            <w:r>
              <w:rPr>
                <w:sz w:val="20"/>
              </w:rPr>
              <w:t xml:space="preserve">genre </w:t>
            </w:r>
            <w:r>
              <w:rPr>
                <w:sz w:val="20"/>
              </w:rPr>
              <w:t xml:space="preserve">dans toutes les évaluations de suivi </w:t>
            </w:r>
            <w:r>
              <w:rPr>
                <w:sz w:val="20"/>
              </w:rPr>
              <w:t xml:space="preserve">(toutes p&gt;0,1). </w:t>
            </w:r>
            <w:r>
              <w:rPr>
                <w:sz w:val="20"/>
              </w:rPr>
              <w:t xml:space="preserve">Les </w:t>
            </w:r>
            <w:r>
              <w:rPr>
                <w:sz w:val="20"/>
              </w:rPr>
              <w:t xml:space="preserve">adolescents souffrant de </w:t>
            </w:r>
            <w:r>
              <w:rPr>
                <w:sz w:val="20"/>
              </w:rPr>
              <w:t xml:space="preserve">dysphorie de genre, </w:t>
            </w:r>
            <w:r>
              <w:rPr>
                <w:sz w:val="20"/>
              </w:rPr>
              <w:t xml:space="preserve">éligibles avec retard et </w:t>
            </w:r>
            <w:r>
              <w:rPr>
                <w:sz w:val="20"/>
              </w:rPr>
              <w:t xml:space="preserve">immédiatement éligibles, </w:t>
            </w:r>
            <w:r>
              <w:rPr>
                <w:sz w:val="20"/>
              </w:rPr>
              <w:t xml:space="preserve">n'étaient pas statistiquement </w:t>
            </w:r>
            <w:r>
              <w:rPr>
                <w:sz w:val="20"/>
              </w:rPr>
              <w:t xml:space="preserve">différents pour les </w:t>
            </w:r>
            <w:r>
              <w:rPr>
                <w:sz w:val="20"/>
              </w:rPr>
              <w:t xml:space="preserve">variables </w:t>
            </w:r>
            <w:r>
              <w:rPr>
                <w:sz w:val="20"/>
              </w:rPr>
              <w:t xml:space="preserve">démographiques </w:t>
            </w:r>
            <w:r>
              <w:rPr>
                <w:sz w:val="20"/>
              </w:rPr>
              <w:t xml:space="preserve">(toutes p&gt;0,1).</w:t>
            </w:r>
          </w:p>
          <w:p>
            <w:pPr>
              <w:pStyle w:val="TableParagraph"/>
              <w:ind w:start="106" w:end="150"/>
              <w:rPr>
                <w:sz w:val="20"/>
              </w:rPr>
            </w:pPr>
            <w:r>
              <w:rPr>
                <w:b/>
                <w:sz w:val="20"/>
              </w:rPr>
              <w:t xml:space="preserve">Participants immédiatement éligibles </w:t>
            </w:r>
            <w:r>
              <w:rPr>
                <w:sz w:val="20"/>
              </w:rPr>
              <w:t xml:space="preserve">On a constaté une </w:t>
            </w:r>
            <w:r>
              <w:rPr>
                <w:sz w:val="20"/>
              </w:rPr>
              <w:t xml:space="preserve">augmentation </w:t>
            </w:r>
            <w:r>
              <w:rPr>
                <w:sz w:val="20"/>
              </w:rPr>
              <w:t xml:space="preserve">statistiquement significative </w:t>
            </w:r>
            <w:r>
              <w:rPr>
                <w:sz w:val="20"/>
              </w:rPr>
              <w:t xml:space="preserve">des </w:t>
            </w:r>
            <w:r>
              <w:rPr>
                <w:sz w:val="20"/>
              </w:rPr>
              <w:t xml:space="preserve">scores </w:t>
            </w:r>
            <w:r>
              <w:rPr>
                <w:sz w:val="20"/>
              </w:rPr>
              <w:t xml:space="preserve">moyens </w:t>
            </w:r>
            <w:r>
              <w:rPr>
                <w:sz w:val="20"/>
              </w:rPr>
              <w:t xml:space="preserve">(±SD) </w:t>
            </w:r>
            <w:r>
              <w:rPr>
                <w:sz w:val="20"/>
              </w:rPr>
              <w:t xml:space="preserve">de l'</w:t>
            </w:r>
            <w:r>
              <w:rPr>
                <w:sz w:val="20"/>
              </w:rPr>
              <w:t xml:space="preserve">échelle CGAS </w:t>
            </w:r>
            <w:r>
              <w:rPr>
                <w:sz w:val="20"/>
              </w:rPr>
              <w:t xml:space="preserve">aux </w:t>
            </w:r>
            <w:r>
              <w:rPr>
                <w:sz w:val="20"/>
              </w:rPr>
              <w:t xml:space="preserve">temps de suivi T2 et T3 par rapport </w:t>
            </w:r>
            <w:r>
              <w:rPr>
                <w:sz w:val="20"/>
              </w:rPr>
              <w:t xml:space="preserve">au niveau de base (T0), mais pas pour T0 par rapport à </w:t>
            </w:r>
            <w:r>
              <w:rPr>
                <w:sz w:val="20"/>
              </w:rPr>
              <w:t xml:space="preserve">T1, pour les </w:t>
            </w:r>
            <w:r>
              <w:rPr>
                <w:sz w:val="20"/>
              </w:rPr>
              <w:t xml:space="preserve">adolescents </w:t>
            </w:r>
            <w:r>
              <w:rPr>
                <w:sz w:val="20"/>
              </w:rPr>
              <w:t xml:space="preserve">immédiatement éligibles </w:t>
            </w:r>
            <w:r>
              <w:rPr>
                <w:sz w:val="20"/>
              </w:rPr>
              <w:t xml:space="preserve">:</w:t>
            </w:r>
          </w:p>
          <w:p>
            <w:pPr>
              <w:pStyle w:val="TableParagraph"/>
              <w:numPr>
                <w:ilvl w:val="0"/>
                <w:numId w:val="37"/>
              </w:numPr>
              <w:tabs>
                <w:tab w:val="left" w:pos="359"/>
                <w:tab w:val="left" w:pos="360"/>
              </w:tabs>
              <w:spacing w:line="243" w:lineRule="exact"/>
              <w:ind w:end="101" w:hanging="467"/>
              <w:jc w:val="right"/>
              <w:rPr>
                <w:sz w:val="20"/>
              </w:rPr>
            </w:pPr>
            <w:r>
              <w:rPr>
                <w:sz w:val="20"/>
              </w:rPr>
              <w:t xml:space="preserve">T0 </w:t>
            </w:r>
            <w:r>
              <w:rPr>
                <w:sz w:val="20"/>
              </w:rPr>
              <w:t xml:space="preserve">(n=101) </w:t>
            </w:r>
            <w:r>
              <w:rPr>
                <w:sz w:val="20"/>
              </w:rPr>
              <w:t xml:space="preserve">versus </w:t>
            </w:r>
            <w:r>
              <w:rPr>
                <w:sz w:val="20"/>
              </w:rPr>
              <w:t xml:space="preserve">T1 </w:t>
            </w:r>
            <w:r>
              <w:rPr>
                <w:sz w:val="20"/>
              </w:rPr>
              <w:t xml:space="preserve">(n=101), </w:t>
            </w:r>
            <w:r>
              <w:rPr>
                <w:sz w:val="20"/>
              </w:rPr>
              <w:t xml:space="preserve">58.72</w:t>
            </w:r>
          </w:p>
          <w:p>
            <w:pPr>
              <w:pStyle w:val="TableParagraph"/>
              <w:spacing w:line="228" w:lineRule="exact"/>
              <w:ind w:end="121"/>
              <w:jc w:val="right"/>
              <w:rPr>
                <w:sz w:val="20"/>
              </w:rPr>
            </w:pPr>
            <w:r>
              <w:rPr>
                <w:sz w:val="20"/>
              </w:rPr>
              <w:t xml:space="preserve">[±11,38] </w:t>
            </w:r>
            <w:r>
              <w:rPr>
                <w:sz w:val="20"/>
              </w:rPr>
              <w:t xml:space="preserve">contre </w:t>
            </w:r>
            <w:r>
              <w:rPr>
                <w:sz w:val="20"/>
              </w:rPr>
              <w:t xml:space="preserve">60,89 </w:t>
            </w:r>
            <w:r>
              <w:rPr>
                <w:sz w:val="20"/>
              </w:rPr>
              <w:t xml:space="preserve">[±12,17] ; </w:t>
            </w:r>
            <w:r>
              <w:rPr>
                <w:i/>
                <w:sz w:val="20"/>
              </w:rPr>
              <w:t xml:space="preserve">test t</w:t>
            </w:r>
          </w:p>
          <w:p>
            <w:pPr>
              <w:pStyle w:val="TableParagraph"/>
              <w:ind w:start="466"/>
              <w:rPr>
                <w:sz w:val="20"/>
              </w:rPr>
            </w:pPr>
            <w:r>
              <w:rPr>
                <w:sz w:val="20"/>
              </w:rPr>
              <w:t xml:space="preserve">1.31 ; </w:t>
            </w:r>
            <w:r>
              <w:rPr>
                <w:sz w:val="20"/>
              </w:rPr>
              <w:t xml:space="preserve">p=0.19</w:t>
            </w:r>
          </w:p>
          <w:p>
            <w:pPr>
              <w:pStyle w:val="TableParagraph"/>
              <w:numPr>
                <w:ilvl w:val="0"/>
                <w:numId w:val="37"/>
              </w:numPr>
              <w:tabs>
                <w:tab w:val="left" w:pos="466"/>
                <w:tab w:val="left" w:pos="467"/>
              </w:tabs>
              <w:spacing w:line="235" w:lineRule="auto"/>
              <w:ind w:end="121"/>
              <w:rPr>
                <w:sz w:val="20"/>
              </w:rPr>
            </w:pPr>
            <w:r>
              <w:rPr>
                <w:sz w:val="20"/>
              </w:rPr>
              <w:t xml:space="preserve">T0 (n=101) contre T2 (n=60), 58,72 </w:t>
            </w:r>
            <w:r>
              <w:rPr>
                <w:sz w:val="20"/>
              </w:rPr>
              <w:t xml:space="preserve">[±11,38] </w:t>
            </w:r>
            <w:r>
              <w:rPr>
                <w:sz w:val="20"/>
              </w:rPr>
              <w:t xml:space="preserve">contre </w:t>
            </w:r>
            <w:r>
              <w:rPr>
                <w:sz w:val="20"/>
              </w:rPr>
              <w:t xml:space="preserve">64,70 </w:t>
            </w:r>
            <w:r>
              <w:rPr>
                <w:sz w:val="20"/>
              </w:rPr>
              <w:t xml:space="preserve">[±13,34] ; </w:t>
            </w:r>
            <w:r>
              <w:rPr>
                <w:i/>
                <w:sz w:val="20"/>
              </w:rPr>
              <w:t xml:space="preserve">test t.</w:t>
            </w:r>
          </w:p>
          <w:p>
            <w:pPr>
              <w:pStyle w:val="TableParagraph"/>
              <w:spacing w:before="2"/>
              <w:ind w:start="466"/>
              <w:rPr>
                <w:sz w:val="20"/>
              </w:rPr>
            </w:pPr>
            <w:r>
              <w:rPr>
                <w:sz w:val="20"/>
              </w:rPr>
              <w:t xml:space="preserve">3.02 ; </w:t>
            </w:r>
            <w:r>
              <w:rPr>
                <w:sz w:val="20"/>
              </w:rPr>
              <w:t xml:space="preserve">p=0.003</w:t>
            </w:r>
          </w:p>
          <w:p>
            <w:pPr>
              <w:pStyle w:val="TableParagraph"/>
              <w:numPr>
                <w:ilvl w:val="0"/>
                <w:numId w:val="37"/>
              </w:numPr>
              <w:tabs>
                <w:tab w:val="left" w:pos="466"/>
                <w:tab w:val="left" w:pos="467"/>
              </w:tabs>
              <w:spacing w:before="6" w:line="235" w:lineRule="auto"/>
              <w:ind w:end="121"/>
              <w:rPr>
                <w:sz w:val="20"/>
              </w:rPr>
            </w:pPr>
            <w:r>
              <w:rPr>
                <w:sz w:val="20"/>
              </w:rPr>
              <w:t xml:space="preserve">T0 (n=101) contre T3 (n=35), 58,72 </w:t>
            </w:r>
            <w:r>
              <w:rPr>
                <w:sz w:val="20"/>
              </w:rPr>
              <w:t xml:space="preserve">[±11,38] </w:t>
            </w:r>
            <w:r>
              <w:rPr>
                <w:sz w:val="20"/>
              </w:rPr>
              <w:t xml:space="preserve">contre </w:t>
            </w:r>
            <w:r>
              <w:rPr>
                <w:sz w:val="20"/>
              </w:rPr>
              <w:t xml:space="preserve">67,40 </w:t>
            </w:r>
            <w:r>
              <w:rPr>
                <w:sz w:val="20"/>
              </w:rPr>
              <w:t xml:space="preserve">[±13,93] ; </w:t>
            </w:r>
            <w:r>
              <w:rPr>
                <w:i/>
                <w:sz w:val="20"/>
              </w:rPr>
              <w:t xml:space="preserve">test t.</w:t>
            </w:r>
          </w:p>
          <w:p>
            <w:pPr>
              <w:pStyle w:val="TableParagraph"/>
              <w:spacing w:before="2"/>
              <w:ind w:start="466"/>
              <w:rPr>
                <w:sz w:val="20"/>
              </w:rPr>
            </w:pPr>
            <w:r>
              <w:rPr>
                <w:sz w:val="20"/>
              </w:rPr>
              <w:t xml:space="preserve">3.66 ; </w:t>
            </w:r>
            <w:r>
              <w:rPr>
                <w:sz w:val="20"/>
              </w:rPr>
              <w:t xml:space="preserve">p&lt;0.001</w:t>
            </w:r>
          </w:p>
          <w:p>
            <w:pPr>
              <w:pStyle w:val="TableParagraph"/>
              <w:ind w:start="106" w:end="135"/>
              <w:rPr>
                <w:sz w:val="20"/>
              </w:rPr>
            </w:pPr>
            <w:r>
              <w:rPr>
                <w:sz w:val="20"/>
              </w:rPr>
              <w:t xml:space="preserve">On a constaté une </w:t>
            </w:r>
            <w:r>
              <w:rPr>
                <w:sz w:val="20"/>
              </w:rPr>
              <w:t xml:space="preserve">augmentation </w:t>
            </w:r>
            <w:r>
              <w:rPr>
                <w:sz w:val="20"/>
              </w:rPr>
              <w:t xml:space="preserve">statistiquement significative </w:t>
            </w:r>
            <w:r>
              <w:rPr>
                <w:sz w:val="20"/>
              </w:rPr>
              <w:t xml:space="preserve">des </w:t>
            </w:r>
            <w:r>
              <w:rPr>
                <w:sz w:val="20"/>
              </w:rPr>
              <w:t xml:space="preserve">scores moyens (±SD) du CGAS </w:t>
            </w:r>
            <w:r>
              <w:rPr>
                <w:sz w:val="20"/>
              </w:rPr>
              <w:t xml:space="preserve">en </w:t>
            </w:r>
            <w:r>
              <w:rPr>
                <w:sz w:val="20"/>
              </w:rPr>
              <w:t xml:space="preserve">comparant les </w:t>
            </w:r>
            <w:r>
              <w:rPr>
                <w:sz w:val="20"/>
              </w:rPr>
              <w:t xml:space="preserve">périodes de </w:t>
            </w:r>
            <w:r>
              <w:rPr>
                <w:sz w:val="20"/>
              </w:rPr>
              <w:t xml:space="preserve">suivi </w:t>
            </w:r>
            <w:r>
              <w:rPr>
                <w:sz w:val="20"/>
              </w:rPr>
              <w:t xml:space="preserve">T1 </w:t>
            </w:r>
            <w:r>
              <w:rPr>
                <w:sz w:val="20"/>
              </w:rPr>
              <w:t xml:space="preserve">à T3 entre elles, mais pas pour les </w:t>
            </w:r>
            <w:r>
              <w:rPr>
                <w:sz w:val="20"/>
              </w:rPr>
              <w:t xml:space="preserve">périodes T1 à T2 et T2 à T3, pour les </w:t>
            </w:r>
            <w:r>
              <w:rPr>
                <w:sz w:val="20"/>
              </w:rPr>
              <w:t xml:space="preserve">adolescents </w:t>
            </w:r>
            <w:r>
              <w:rPr>
                <w:sz w:val="20"/>
              </w:rPr>
              <w:t xml:space="preserve">immédiatement </w:t>
            </w:r>
            <w:r>
              <w:rPr>
                <w:sz w:val="20"/>
              </w:rPr>
              <w:t xml:space="preserve">éligibles </w:t>
            </w:r>
            <w:r>
              <w:rPr>
                <w:sz w:val="20"/>
              </w:rPr>
              <w:t xml:space="preserve">:</w:t>
            </w:r>
          </w:p>
          <w:p>
            <w:pPr>
              <w:pStyle w:val="TableParagraph"/>
              <w:numPr>
                <w:ilvl w:val="0"/>
                <w:numId w:val="37"/>
              </w:numPr>
              <w:tabs>
                <w:tab w:val="left" w:pos="466"/>
                <w:tab w:val="left" w:pos="467"/>
              </w:tabs>
              <w:spacing w:before="6" w:line="235" w:lineRule="auto"/>
              <w:ind w:end="121"/>
              <w:rPr>
                <w:sz w:val="20"/>
              </w:rPr>
            </w:pPr>
            <w:r>
              <w:rPr>
                <w:sz w:val="20"/>
              </w:rPr>
              <w:t xml:space="preserve">T1 (n=101) contre T2 (n=60), 60,89 </w:t>
            </w:r>
            <w:r>
              <w:rPr>
                <w:sz w:val="20"/>
              </w:rPr>
              <w:t xml:space="preserve">[±12,17] </w:t>
            </w:r>
            <w:r>
              <w:rPr>
                <w:sz w:val="20"/>
              </w:rPr>
              <w:t xml:space="preserve">contre </w:t>
            </w:r>
            <w:r>
              <w:rPr>
                <w:sz w:val="20"/>
              </w:rPr>
              <w:t xml:space="preserve">64,70 </w:t>
            </w:r>
            <w:r>
              <w:rPr>
                <w:sz w:val="20"/>
              </w:rPr>
              <w:t xml:space="preserve">[±13,34] ; </w:t>
            </w:r>
            <w:r>
              <w:rPr>
                <w:i/>
                <w:sz w:val="20"/>
              </w:rPr>
              <w:t xml:space="preserve">test t.</w:t>
            </w:r>
          </w:p>
          <w:p>
            <w:pPr>
              <w:pStyle w:val="TableParagraph"/>
              <w:spacing w:before="2"/>
              <w:ind w:start="466"/>
              <w:rPr>
                <w:sz w:val="20"/>
              </w:rPr>
            </w:pPr>
            <w:r>
              <w:rPr>
                <w:sz w:val="20"/>
              </w:rPr>
              <w:t xml:space="preserve">1.85 ; </w:t>
            </w:r>
            <w:r>
              <w:rPr>
                <w:sz w:val="20"/>
              </w:rPr>
              <w:t xml:space="preserve">p=0.07</w:t>
            </w:r>
          </w:p>
          <w:p>
            <w:pPr>
              <w:pStyle w:val="TableParagraph"/>
              <w:numPr>
                <w:ilvl w:val="0"/>
                <w:numId w:val="37"/>
              </w:numPr>
              <w:tabs>
                <w:tab w:val="left" w:pos="466"/>
                <w:tab w:val="left" w:pos="467"/>
              </w:tabs>
              <w:spacing w:before="6" w:line="235" w:lineRule="auto"/>
              <w:ind w:end="121"/>
              <w:rPr>
                <w:sz w:val="20"/>
              </w:rPr>
            </w:pPr>
            <w:r>
              <w:rPr>
                <w:sz w:val="20"/>
              </w:rPr>
              <w:t xml:space="preserve">T1 (n=101) versus T3 (n=35), 60,89 </w:t>
            </w:r>
            <w:r>
              <w:rPr>
                <w:sz w:val="20"/>
              </w:rPr>
              <w:t xml:space="preserve">[±12,17] </w:t>
            </w:r>
            <w:r>
              <w:rPr>
                <w:sz w:val="20"/>
              </w:rPr>
              <w:t xml:space="preserve">versus </w:t>
            </w:r>
            <w:r>
              <w:rPr>
                <w:sz w:val="20"/>
              </w:rPr>
              <w:t xml:space="preserve">67,40 </w:t>
            </w:r>
            <w:r>
              <w:rPr>
                <w:sz w:val="20"/>
              </w:rPr>
              <w:t xml:space="preserve">[±13,93], </w:t>
            </w:r>
            <w:r>
              <w:rPr>
                <w:i/>
                <w:sz w:val="20"/>
              </w:rPr>
              <w:t xml:space="preserve">test t</w:t>
            </w:r>
          </w:p>
          <w:p>
            <w:pPr>
              <w:pStyle w:val="TableParagraph"/>
              <w:spacing w:before="2" w:line="220" w:lineRule="exact"/>
              <w:ind w:start="466"/>
              <w:rPr>
                <w:sz w:val="20"/>
              </w:rPr>
            </w:pPr>
            <w:r>
              <w:rPr>
                <w:sz w:val="20"/>
              </w:rPr>
              <w:t xml:space="preserve">2.63 ; </w:t>
            </w:r>
            <w:r>
              <w:rPr>
                <w:sz w:val="20"/>
              </w:rPr>
              <w:t xml:space="preserve">p&lt;0.001</w:t>
            </w:r>
          </w:p>
        </w:tc>
        <w:tc>
          <w:tcPr>
            <w:tcW w:w="3404"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45"/>
        <w:gridCol w:w="2129"/>
        <w:gridCol w:w="3855"/>
        <w:gridCol w:w="3404"/>
      </w:tblGrid>
      <w:tr w:rsidR="00432386">
        <w:trPr>
          <w:trHeight w:val="2544"/>
        </w:trPr>
        <w:tc>
          <w:tcPr>
            <w:tcW w:w="2972" w:type="dxa"/>
          </w:tcPr>
          <w:p w:rsidR="00432386" w:rsidRDefault="00432386">
            <w:pPr>
              <w:pStyle w:val="TableParagraph"/>
              <w:rPr>
                <w:rFonts w:ascii="Times New Roman"/>
                <w:sz w:val="18"/>
              </w:rPr>
            </w:pPr>
          </w:p>
        </w:tc>
        <w:tc>
          <w:tcPr>
            <w:tcW w:w="3145" w:type="dxa"/>
          </w:tcPr>
          <w:p w:rsidR="00432386" w:rsidRDefault="00432386">
            <w:pPr>
              <w:pStyle w:val="TableParagraph"/>
              <w:rPr>
                <w:rFonts w:ascii="Times New Roman"/>
                <w:sz w:val="18"/>
              </w:rPr>
            </w:pPr>
          </w:p>
        </w:tc>
        <w:tc>
          <w:tcPr>
            <w:tcW w:w="2129" w:type="dxa"/>
          </w:tcPr>
          <w:p w:rsidR="00432386" w:rsidRDefault="00432386">
            <w:pPr>
              <w:pStyle w:val="TableParagraph"/>
              <w:rPr>
                <w:rFonts w:ascii="Times New Roman"/>
                <w:sz w:val="18"/>
              </w:rPr>
            </w:pPr>
          </w:p>
        </w:tc>
        <w:tc>
          <w:tcPr>
            <w:tcW w:w="3855" w:type="dxa"/>
          </w:tcPr>
          <w:p>
            <w:pPr>
              <w:pStyle w:val="TableParagraph"/>
              <w:numPr>
                <w:ilvl w:val="0"/>
                <w:numId w:val="36"/>
              </w:numPr>
              <w:tabs>
                <w:tab w:val="left" w:pos="466"/>
                <w:tab w:val="left" w:pos="467"/>
              </w:tabs>
              <w:ind w:end="121"/>
              <w:rPr>
                <w:sz w:val="20"/>
              </w:rPr>
            </w:pPr>
            <w:r>
              <w:rPr>
                <w:sz w:val="20"/>
              </w:rPr>
              <w:t xml:space="preserve">T2 (n=60) versus T3 (n=35), 64,70 </w:t>
            </w:r>
            <w:r>
              <w:rPr>
                <w:sz w:val="20"/>
              </w:rPr>
              <w:t xml:space="preserve">[±13,34] </w:t>
            </w:r>
            <w:r>
              <w:rPr>
                <w:sz w:val="20"/>
              </w:rPr>
              <w:t xml:space="preserve">versus </w:t>
            </w:r>
            <w:r>
              <w:rPr>
                <w:sz w:val="20"/>
              </w:rPr>
              <w:t xml:space="preserve">67,40 </w:t>
            </w:r>
            <w:r>
              <w:rPr>
                <w:sz w:val="20"/>
              </w:rPr>
              <w:t xml:space="preserve">[±13,93], </w:t>
            </w:r>
            <w:r>
              <w:rPr>
                <w:i/>
                <w:sz w:val="20"/>
              </w:rPr>
              <w:t xml:space="preserve">test t</w:t>
            </w:r>
          </w:p>
          <w:p>
            <w:pPr>
              <w:pStyle w:val="TableParagraph"/>
              <w:spacing w:line="228" w:lineRule="exact"/>
              <w:ind w:start="466"/>
              <w:rPr>
                <w:sz w:val="20"/>
              </w:rPr>
            </w:pPr>
            <w:r>
              <w:rPr>
                <w:sz w:val="20"/>
              </w:rPr>
              <w:t xml:space="preserve">0.94 ; </w:t>
            </w:r>
            <w:r>
              <w:rPr>
                <w:sz w:val="20"/>
              </w:rPr>
              <w:t xml:space="preserve">p=0</w:t>
            </w:r>
            <w:r>
              <w:rPr>
                <w:sz w:val="20"/>
              </w:rPr>
              <w:t xml:space="preserve">.35</w:t>
            </w:r>
          </w:p>
          <w:p>
            <w:pPr>
              <w:pStyle w:val="TableParagraph"/>
              <w:ind w:start="106" w:end="196"/>
              <w:rPr>
                <w:sz w:val="20"/>
              </w:rPr>
            </w:pPr>
            <w:r>
              <w:rPr>
                <w:sz w:val="20"/>
              </w:rPr>
              <w:t xml:space="preserve">Les </w:t>
            </w:r>
            <w:r>
              <w:rPr>
                <w:sz w:val="20"/>
              </w:rPr>
              <w:t xml:space="preserve">adolescents immédiatement éligibles </w:t>
            </w:r>
            <w:r>
              <w:rPr>
                <w:sz w:val="20"/>
              </w:rPr>
              <w:t xml:space="preserve">avaient un score CGAS qui n'était pas </w:t>
            </w:r>
            <w:r>
              <w:rPr>
                <w:sz w:val="20"/>
              </w:rPr>
              <w:t xml:space="preserve">statistiquement différent par rapport à l</w:t>
            </w:r>
            <w:r>
              <w:rPr>
                <w:sz w:val="20"/>
              </w:rPr>
              <w:t xml:space="preserve">'échantillon d'</w:t>
            </w:r>
            <w:r>
              <w:rPr>
                <w:sz w:val="20"/>
              </w:rPr>
              <w:t xml:space="preserve">enfants/adolescents sans </w:t>
            </w:r>
            <w:r>
              <w:rPr>
                <w:sz w:val="20"/>
              </w:rPr>
              <w:t xml:space="preserve">symptômes psychologiques/psychiatriques </w:t>
            </w:r>
            <w:r>
              <w:rPr>
                <w:sz w:val="20"/>
              </w:rPr>
              <w:t xml:space="preserve">observés </w:t>
            </w:r>
            <w:r>
              <w:rPr>
                <w:sz w:val="20"/>
              </w:rPr>
              <w:t xml:space="preserve">après </w:t>
            </w:r>
            <w:r>
              <w:rPr>
                <w:sz w:val="20"/>
              </w:rPr>
              <w:t xml:space="preserve">12 </w:t>
            </w:r>
            <w:r>
              <w:rPr>
                <w:sz w:val="20"/>
              </w:rPr>
              <w:t xml:space="preserve">mois </w:t>
            </w:r>
            <w:r>
              <w:rPr>
                <w:sz w:val="20"/>
              </w:rPr>
              <w:t xml:space="preserve">de </w:t>
            </w:r>
            <w:r>
              <w:rPr>
                <w:sz w:val="20"/>
              </w:rPr>
              <w:t xml:space="preserve">suppression de la </w:t>
            </w:r>
            <w:r>
              <w:rPr>
                <w:sz w:val="20"/>
              </w:rPr>
              <w:t xml:space="preserve">puberté.</w:t>
            </w:r>
          </w:p>
          <w:p>
            <w:pPr>
              <w:pStyle w:val="TableParagraph"/>
              <w:spacing w:line="220" w:lineRule="exact"/>
              <w:ind w:start="106"/>
              <w:rPr>
                <w:sz w:val="20"/>
              </w:rPr>
            </w:pPr>
            <w:r>
              <w:rPr>
                <w:sz w:val="20"/>
              </w:rPr>
              <w:t xml:space="preserve">(T3, </w:t>
            </w:r>
            <w:r>
              <w:rPr>
                <w:i/>
                <w:sz w:val="20"/>
              </w:rPr>
              <w:t xml:space="preserve">t=0</w:t>
            </w:r>
            <w:r>
              <w:rPr>
                <w:sz w:val="20"/>
              </w:rPr>
              <w:t xml:space="preserve">,01, </w:t>
            </w:r>
            <w:r>
              <w:rPr>
                <w:i/>
                <w:sz w:val="20"/>
              </w:rPr>
              <w:t xml:space="preserve">p=0</w:t>
            </w:r>
            <w:r>
              <w:rPr>
                <w:sz w:val="20"/>
              </w:rPr>
              <w:t xml:space="preserve">,99).</w:t>
            </w:r>
          </w:p>
        </w:tc>
        <w:tc>
          <w:tcPr>
            <w:tcW w:w="3404" w:type="dxa"/>
          </w:tcPr>
          <w:p w:rsidR="00432386" w:rsidRDefault="00432386">
            <w:pPr>
              <w:pStyle w:val="TableParagraph"/>
              <w:rPr>
                <w:rFonts w:ascii="Times New Roman"/>
                <w:sz w:val="18"/>
              </w:rPr>
            </w:pPr>
          </w:p>
        </w:tc>
      </w:tr>
    </w:tbl>
    <w:p w:rsidR="00432386" w:rsidRDefault="00432386">
      <w:pPr>
        <w:pStyle w:val="Corpsdetexte"/>
        <w:spacing w:before="0"/>
        <w:ind w:start="0"/>
        <w:rPr>
          <w:sz w:val="20"/>
        </w:rPr>
      </w:pPr>
    </w:p>
    <w:p w:rsidR="00432386" w:rsidRDefault="00432386">
      <w:pPr>
        <w:pStyle w:val="Corpsdetexte"/>
        <w:spacing w:before="7"/>
        <w:ind w:start="0"/>
        <w:rPr>
          <w:sz w:val="23"/>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282"/>
        </w:trPr>
        <w:tc>
          <w:tcPr>
            <w:tcW w:w="2972"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21" w:type="dxa"/>
            <w:shd w:val="clear" w:color="auto" w:fill="8DB3E1"/>
          </w:tcPr>
          <w:p>
            <w:pPr>
              <w:pStyle w:val="TableParagraph"/>
              <w:spacing w:line="229" w:lineRule="exact"/>
              <w:ind w:start="107"/>
              <w:rPr>
                <w:b/>
                <w:sz w:val="20"/>
              </w:rPr>
            </w:pPr>
            <w:r>
              <w:rPr>
                <w:b/>
                <w:sz w:val="20"/>
              </w:rPr>
              <w:t xml:space="preserve">Population</w:t>
            </w:r>
          </w:p>
        </w:tc>
        <w:tc>
          <w:tcPr>
            <w:tcW w:w="2127" w:type="dxa"/>
            <w:shd w:val="clear" w:color="auto" w:fill="8DB3E1"/>
          </w:tcPr>
          <w:p>
            <w:pPr>
              <w:pStyle w:val="TableParagraph"/>
              <w:spacing w:line="229" w:lineRule="exact"/>
              <w:ind w:start="107"/>
              <w:rPr>
                <w:b/>
                <w:sz w:val="20"/>
              </w:rPr>
            </w:pPr>
            <w:r>
              <w:rPr>
                <w:b/>
                <w:sz w:val="20"/>
              </w:rPr>
              <w:t xml:space="preserve">Interventions</w:t>
            </w:r>
          </w:p>
        </w:tc>
        <w:tc>
          <w:tcPr>
            <w:tcW w:w="3971"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9" w:lineRule="exact"/>
              <w:ind w:start="105"/>
              <w:rPr>
                <w:b/>
                <w:sz w:val="20"/>
              </w:rPr>
            </w:pPr>
            <w:r>
              <w:rPr>
                <w:b/>
                <w:sz w:val="20"/>
              </w:rPr>
              <w:t xml:space="preserve">Évaluation </w:t>
            </w:r>
            <w:r>
              <w:rPr>
                <w:b/>
                <w:sz w:val="20"/>
              </w:rPr>
              <w:t xml:space="preserve">et </w:t>
            </w:r>
            <w:r>
              <w:rPr>
                <w:b/>
                <w:sz w:val="20"/>
              </w:rPr>
              <w:t xml:space="preserve">financement</w:t>
            </w:r>
          </w:p>
        </w:tc>
      </w:tr>
      <w:tr w:rsidR="00432386">
        <w:trPr>
          <w:trHeight w:val="6020"/>
        </w:trPr>
        <w:tc>
          <w:tcPr>
            <w:tcW w:w="2972" w:type="dxa"/>
          </w:tcPr>
          <w:p>
            <w:pPr>
              <w:pStyle w:val="TableParagraph"/>
              <w:ind w:start="107" w:end="131"/>
              <w:rPr>
                <w:sz w:val="20"/>
              </w:rPr>
            </w:pPr>
            <w:r>
              <w:rPr>
                <w:sz w:val="20"/>
              </w:rPr>
              <w:t xml:space="preserve">de Vries A, Steensma T, </w:t>
            </w:r>
            <w:r>
              <w:rPr>
                <w:sz w:val="20"/>
              </w:rPr>
              <w:t xml:space="preserve">Doreleijers T, et al. (2011) </w:t>
            </w:r>
            <w:hyperlink r:id="rId267">
              <w:r>
                <w:rPr>
                  <w:color w:val="0000FF"/>
                  <w:sz w:val="20"/>
                  <w:u w:val="single" w:color="0000FF"/>
                </w:rPr>
                <w:t xml:space="preserve">Puberty suppression in </w:t>
              </w:r>
            </w:hyperlink>
            <w:hyperlink r:id="rId268">
              <w:r>
                <w:rPr>
                  <w:color w:val="0000FF"/>
                  <w:sz w:val="20"/>
                  <w:u w:val="single" w:color="0000FF"/>
                </w:rPr>
                <w:t xml:space="preserve">adolescents</w:t>
              </w:r>
              <w:r>
                <w:rPr>
                  <w:color w:val="0000FF"/>
                  <w:sz w:val="20"/>
                  <w:u w:val="single" w:color="0000FF"/>
                </w:rPr>
                <w:t xml:space="preserve">with</w:t>
              </w:r>
              <w:r>
                <w:rPr>
                  <w:color w:val="0000FF"/>
                  <w:sz w:val="20"/>
                  <w:u w:val="single" w:color="0000FF"/>
                </w:rPr>
                <w:t xml:space="preserve">gender </w:t>
              </w:r>
            </w:hyperlink>
            <w:hyperlink r:id="rId269">
              <w:r>
                <w:rPr>
                  <w:color w:val="0000FF"/>
                  <w:sz w:val="20"/>
                  <w:u w:val="single" w:color="0000FF"/>
                </w:rPr>
                <w:t xml:space="preserve">identity disorder : a prospective </w:t>
              </w:r>
            </w:hyperlink>
            <w:hyperlink r:id="rId270">
              <w:r>
                <w:rPr>
                  <w:color w:val="0000FF"/>
                  <w:sz w:val="20"/>
                  <w:u w:val="single" w:color="0000FF"/>
                </w:rPr>
                <w:t xml:space="preserve">follow-up</w:t>
              </w:r>
              <w:r>
                <w:rPr>
                  <w:color w:val="0000FF"/>
                  <w:sz w:val="20"/>
                  <w:u w:val="single" w:color="0000FF"/>
                </w:rPr>
                <w:t xml:space="preserve">study</w:t>
              </w:r>
              <w:r>
                <w:rPr>
                  <w:sz w:val="20"/>
                </w:rPr>
                <w:t xml:space="preserve">. </w:t>
              </w:r>
            </w:hyperlink>
            <w:r>
              <w:rPr>
                <w:sz w:val="20"/>
              </w:rPr>
              <w:t xml:space="preserve">The </w:t>
            </w:r>
            <w:r>
              <w:rPr>
                <w:sz w:val="20"/>
              </w:rPr>
              <w:t xml:space="preserve">Journal </w:t>
            </w:r>
            <w:r>
              <w:rPr>
                <w:sz w:val="20"/>
              </w:rPr>
              <w:t xml:space="preserve">of </w:t>
            </w:r>
            <w:r>
              <w:rPr>
                <w:sz w:val="20"/>
              </w:rPr>
              <w:t xml:space="preserve">Sexual </w:t>
            </w:r>
            <w:r>
              <w:rPr>
                <w:sz w:val="20"/>
              </w:rPr>
              <w:t xml:space="preserve">Medicine 8 </w:t>
            </w:r>
            <w:r>
              <w:rPr>
                <w:sz w:val="20"/>
              </w:rPr>
              <w:t xml:space="preserve">(8):2276-</w:t>
            </w:r>
          </w:p>
          <w:p>
            <w:pPr>
              <w:pStyle w:val="TableParagraph"/>
              <w:ind w:start="107"/>
              <w:rPr>
                <w:sz w:val="20"/>
              </w:rPr>
            </w:pPr>
            <w:r>
              <w:rPr>
                <w:sz w:val="20"/>
              </w:rPr>
              <w:t xml:space="preserve">83.</w:t>
            </w:r>
          </w:p>
          <w:p>
            <w:pPr>
              <w:pStyle w:val="TableParagraph"/>
              <w:spacing w:before="48" w:line="460" w:lineRule="exact"/>
              <w:ind w:start="107" w:end="736"/>
              <w:rPr>
                <w:sz w:val="20"/>
              </w:rPr>
            </w:pPr>
            <w:r>
              <w:rPr>
                <w:sz w:val="20"/>
              </w:rPr>
              <w:t xml:space="preserve">Pays-Bas </w:t>
            </w:r>
            <w:r>
              <w:rPr>
                <w:sz w:val="20"/>
              </w:rPr>
              <w:t xml:space="preserve">Prospective </w:t>
            </w:r>
            <w:r>
              <w:rPr>
                <w:sz w:val="20"/>
              </w:rPr>
              <w:t xml:space="preserve">longitudinale</w:t>
            </w:r>
          </w:p>
          <w:p>
            <w:pPr>
              <w:pStyle w:val="TableParagraph"/>
              <w:spacing w:line="182" w:lineRule="exact"/>
              <w:ind w:start="107"/>
              <w:rPr>
                <w:sz w:val="20"/>
              </w:rPr>
            </w:pPr>
            <w:r>
              <w:rPr>
                <w:sz w:val="20"/>
              </w:rPr>
              <w:t xml:space="preserve">Centre </w:t>
            </w:r>
            <w:r>
              <w:rPr>
                <w:sz w:val="20"/>
              </w:rPr>
              <w:t xml:space="preserve">unique </w:t>
            </w:r>
            <w:r>
              <w:rPr>
                <w:sz w:val="20"/>
              </w:rPr>
              <w:t xml:space="preserve">d'</w:t>
            </w:r>
            <w:r>
              <w:rPr>
                <w:sz w:val="20"/>
              </w:rPr>
              <w:t xml:space="preserve">observation</w:t>
            </w:r>
          </w:p>
          <w:p>
            <w:pPr>
              <w:pStyle w:val="TableParagraph"/>
              <w:ind w:start="107"/>
              <w:rPr>
                <w:sz w:val="20"/>
              </w:rPr>
            </w:pPr>
            <w:r>
              <w:rPr>
                <w:sz w:val="20"/>
              </w:rPr>
              <w:t xml:space="preserve">avant </w:t>
            </w:r>
            <w:r>
              <w:rPr>
                <w:sz w:val="20"/>
              </w:rPr>
              <w:t xml:space="preserve">et </w:t>
            </w:r>
            <w:r>
              <w:rPr>
                <w:sz w:val="20"/>
              </w:rPr>
              <w:t xml:space="preserve">après l'</w:t>
            </w:r>
            <w:r>
              <w:rPr>
                <w:sz w:val="20"/>
              </w:rPr>
              <w:t xml:space="preserve">étude.</w:t>
            </w:r>
          </w:p>
        </w:tc>
        <w:tc>
          <w:tcPr>
            <w:tcW w:w="3121" w:type="dxa"/>
          </w:tcPr>
          <w:p>
            <w:pPr>
              <w:pStyle w:val="TableParagraph"/>
              <w:ind w:start="107" w:end="243"/>
              <w:rPr>
                <w:sz w:val="20"/>
              </w:rPr>
            </w:pPr>
            <w:r>
              <w:rPr>
                <w:sz w:val="20"/>
              </w:rPr>
              <w:t xml:space="preserve">La </w:t>
            </w:r>
            <w:r>
              <w:rPr>
                <w:sz w:val="20"/>
              </w:rPr>
              <w:t xml:space="preserve">taille de l'échantillon était de 70 </w:t>
            </w:r>
            <w:r>
              <w:rPr>
                <w:sz w:val="20"/>
              </w:rPr>
              <w:t xml:space="preserve">adolescents recevant des </w:t>
            </w:r>
            <w:r>
              <w:rPr>
                <w:sz w:val="20"/>
              </w:rPr>
              <w:t xml:space="preserve">analogues de la </w:t>
            </w:r>
            <w:r>
              <w:rPr>
                <w:sz w:val="20"/>
              </w:rPr>
              <w:t xml:space="preserve">GnRH </w:t>
            </w:r>
            <w:r>
              <w:rPr>
                <w:sz w:val="20"/>
              </w:rPr>
              <w:t xml:space="preserve">(âge moyen [±SD] lors de l'</w:t>
            </w:r>
            <w:r>
              <w:rPr>
                <w:sz w:val="20"/>
              </w:rPr>
              <w:t xml:space="preserve">évaluation 13,6±1,8 ans) </w:t>
            </w:r>
            <w:r>
              <w:rPr>
                <w:sz w:val="20"/>
              </w:rPr>
              <w:t xml:space="preserve">à partir d'une base de sondage de 196 </w:t>
            </w:r>
            <w:r>
              <w:rPr>
                <w:sz w:val="20"/>
              </w:rPr>
              <w:t xml:space="preserve">adolescents consécutifs </w:t>
            </w:r>
            <w:r>
              <w:rPr>
                <w:sz w:val="20"/>
              </w:rPr>
              <w:t xml:space="preserve">adressés </w:t>
            </w:r>
            <w:r>
              <w:rPr>
                <w:sz w:val="20"/>
              </w:rPr>
              <w:t xml:space="preserve">au </w:t>
            </w:r>
            <w:r>
              <w:rPr>
                <w:sz w:val="20"/>
              </w:rPr>
              <w:t xml:space="preserve">service </w:t>
            </w:r>
            <w:r>
              <w:rPr>
                <w:sz w:val="20"/>
              </w:rPr>
              <w:t xml:space="preserve">entre </w:t>
            </w:r>
            <w:r>
              <w:rPr>
                <w:sz w:val="20"/>
              </w:rPr>
              <w:t xml:space="preserve">2000 et </w:t>
            </w:r>
            <w:r>
              <w:rPr>
                <w:sz w:val="20"/>
              </w:rPr>
              <w:t xml:space="preserve">2008.</w:t>
            </w:r>
          </w:p>
          <w:p>
            <w:pPr>
              <w:pStyle w:val="TableParagraph"/>
              <w:ind w:start="107" w:end="100"/>
              <w:rPr>
                <w:sz w:val="20"/>
              </w:rPr>
            </w:pPr>
            <w:r>
              <w:rPr>
                <w:sz w:val="20"/>
              </w:rPr>
              <w:t xml:space="preserve">Les critères d'inclusion étaient les suivants : avoir </w:t>
            </w:r>
            <w:r>
              <w:rPr>
                <w:sz w:val="20"/>
              </w:rPr>
              <w:t xml:space="preserve">commencé à prendre des </w:t>
            </w:r>
            <w:r>
              <w:rPr>
                <w:sz w:val="20"/>
              </w:rPr>
              <w:t xml:space="preserve">hormones d'affirmation du </w:t>
            </w:r>
            <w:r>
              <w:rPr>
                <w:sz w:val="20"/>
              </w:rPr>
              <w:t xml:space="preserve">genre </w:t>
            </w:r>
            <w:r>
              <w:rPr>
                <w:sz w:val="20"/>
              </w:rPr>
              <w:t xml:space="preserve">entre </w:t>
            </w:r>
            <w:r>
              <w:rPr>
                <w:sz w:val="20"/>
              </w:rPr>
              <w:t xml:space="preserve">2003 </w:t>
            </w:r>
            <w:r>
              <w:rPr>
                <w:sz w:val="20"/>
              </w:rPr>
              <w:t xml:space="preserve">et </w:t>
            </w:r>
            <w:r>
              <w:rPr>
                <w:sz w:val="20"/>
              </w:rPr>
              <w:t xml:space="preserve">2009 </w:t>
            </w:r>
            <w:r>
              <w:rPr>
                <w:sz w:val="20"/>
              </w:rPr>
              <w:t xml:space="preserve">(l</w:t>
            </w:r>
            <w:r>
              <w:rPr>
                <w:sz w:val="20"/>
              </w:rPr>
              <w:t xml:space="preserve">'</w:t>
            </w:r>
            <w:r>
              <w:rPr>
                <w:sz w:val="20"/>
              </w:rPr>
              <w:t xml:space="preserve">âge </w:t>
            </w:r>
            <w:r>
              <w:rPr>
                <w:sz w:val="20"/>
              </w:rPr>
              <w:t xml:space="preserve">moyen </w:t>
            </w:r>
            <w:r>
              <w:rPr>
                <w:sz w:val="20"/>
              </w:rPr>
              <w:t xml:space="preserve">[±SD] </w:t>
            </w:r>
            <w:r>
              <w:rPr>
                <w:sz w:val="20"/>
              </w:rPr>
              <w:t xml:space="preserve">au </w:t>
            </w:r>
            <w:r>
              <w:rPr>
                <w:sz w:val="20"/>
              </w:rPr>
              <w:t xml:space="preserve">début de la prise </w:t>
            </w:r>
            <w:r>
              <w:rPr>
                <w:sz w:val="20"/>
              </w:rPr>
              <w:t xml:space="preserve">d'</w:t>
            </w:r>
            <w:r>
              <w:rPr>
                <w:sz w:val="20"/>
              </w:rPr>
              <w:t xml:space="preserve">analogues de la </w:t>
            </w:r>
            <w:r>
              <w:rPr>
                <w:sz w:val="20"/>
              </w:rPr>
              <w:t xml:space="preserve">GnRH </w:t>
            </w:r>
            <w:r>
              <w:rPr>
                <w:sz w:val="20"/>
              </w:rPr>
              <w:t xml:space="preserve">était de</w:t>
            </w:r>
          </w:p>
          <w:p>
            <w:pPr>
              <w:pStyle w:val="TableParagraph"/>
              <w:ind w:start="107" w:end="302"/>
              <w:rPr>
                <w:sz w:val="20"/>
              </w:rPr>
            </w:pPr>
            <w:r>
              <w:rPr>
                <w:sz w:val="20"/>
              </w:rPr>
              <w:t xml:space="preserve">14,75 [±1,92] ans)</w:t>
            </w:r>
            <w:r>
              <w:rPr>
                <w:position w:val="6"/>
                <w:sz w:val="13"/>
              </w:rPr>
              <w:t xml:space="preserve">1</w:t>
            </w:r>
            <w:r>
              <w:rPr>
                <w:sz w:val="20"/>
              </w:rPr>
              <w:t xml:space="preserve">. Aucun </w:t>
            </w:r>
            <w:r>
              <w:rPr>
                <w:sz w:val="20"/>
              </w:rPr>
              <w:t xml:space="preserve">critère d'</w:t>
            </w:r>
            <w:r>
              <w:rPr>
                <w:sz w:val="20"/>
              </w:rPr>
              <w:t xml:space="preserve">exclusion </w:t>
            </w:r>
            <w:r>
              <w:rPr>
                <w:sz w:val="20"/>
              </w:rPr>
              <w:t xml:space="preserve">spécifique </w:t>
            </w:r>
            <w:r>
              <w:rPr>
                <w:sz w:val="20"/>
              </w:rPr>
              <w:t xml:space="preserve">n'a </w:t>
            </w:r>
            <w:r>
              <w:rPr>
                <w:sz w:val="20"/>
              </w:rPr>
              <w:t xml:space="preserve">été </w:t>
            </w:r>
            <w:r>
              <w:rPr>
                <w:sz w:val="20"/>
              </w:rPr>
              <w:t xml:space="preserve">décrit.</w:t>
            </w:r>
          </w:p>
          <w:p w:rsidR="00432386" w:rsidRDefault="00432386">
            <w:pPr>
              <w:pStyle w:val="TableParagraph"/>
              <w:rPr>
                <w:sz w:val="20"/>
              </w:rPr>
            </w:pPr>
          </w:p>
          <w:p>
            <w:pPr>
              <w:pStyle w:val="TableParagraph"/>
              <w:ind w:start="107" w:end="390"/>
              <w:rPr>
                <w:sz w:val="20"/>
              </w:rPr>
            </w:pPr>
            <w:r>
              <w:rPr>
                <w:sz w:val="20"/>
              </w:rPr>
              <w:t xml:space="preserve">Aucun critère de diagnostic ou </w:t>
            </w:r>
            <w:r>
              <w:rPr>
                <w:sz w:val="20"/>
              </w:rPr>
              <w:t xml:space="preserve">traitement concomitant </w:t>
            </w:r>
            <w:r>
              <w:rPr>
                <w:sz w:val="20"/>
              </w:rPr>
              <w:t xml:space="preserve">n'a été </w:t>
            </w:r>
            <w:r>
              <w:rPr>
                <w:sz w:val="20"/>
              </w:rPr>
              <w:t xml:space="preserve">signalé. Le stade de Tanner des </w:t>
            </w:r>
            <w:r>
              <w:rPr>
                <w:sz w:val="20"/>
              </w:rPr>
              <w:t xml:space="preserve">adolescents </w:t>
            </w:r>
            <w:r>
              <w:rPr>
                <w:sz w:val="20"/>
              </w:rPr>
              <w:t xml:space="preserve">inclus </w:t>
            </w:r>
            <w:r>
              <w:rPr>
                <w:sz w:val="20"/>
              </w:rPr>
              <w:t xml:space="preserve">n'a pas </w:t>
            </w:r>
            <w:r>
              <w:rPr>
                <w:sz w:val="20"/>
              </w:rPr>
              <w:t xml:space="preserve">été </w:t>
            </w:r>
            <w:r>
              <w:rPr>
                <w:sz w:val="20"/>
              </w:rPr>
              <w:t xml:space="preserve">signalé.</w:t>
            </w:r>
          </w:p>
        </w:tc>
        <w:tc>
          <w:tcPr>
            <w:tcW w:w="2127" w:type="dxa"/>
          </w:tcPr>
          <w:p>
            <w:pPr>
              <w:pStyle w:val="TableParagraph"/>
              <w:spacing w:line="229" w:lineRule="exact"/>
              <w:ind w:start="107"/>
              <w:rPr>
                <w:b/>
                <w:sz w:val="20"/>
              </w:rPr>
            </w:pPr>
            <w:r>
              <w:rPr>
                <w:b/>
                <w:sz w:val="20"/>
              </w:rPr>
              <w:t xml:space="preserve">Intervention</w:t>
            </w:r>
          </w:p>
          <w:p>
            <w:pPr>
              <w:pStyle w:val="TableParagraph"/>
              <w:ind w:start="107" w:end="137"/>
              <w:rPr>
                <w:sz w:val="20"/>
              </w:rPr>
            </w:pPr>
            <w:r>
              <w:rPr>
                <w:sz w:val="20"/>
              </w:rPr>
              <w:t xml:space="preserve">70 adolescents ont été </w:t>
            </w:r>
            <w:r>
              <w:rPr>
                <w:sz w:val="20"/>
              </w:rPr>
              <w:t xml:space="preserve">évalués </w:t>
            </w:r>
            <w:r>
              <w:rPr>
                <w:sz w:val="20"/>
              </w:rPr>
              <w:t xml:space="preserve">au </w:t>
            </w:r>
            <w:r>
              <w:rPr>
                <w:sz w:val="20"/>
              </w:rPr>
              <w:t xml:space="preserve">départ </w:t>
            </w:r>
            <w:r>
              <w:rPr>
                <w:sz w:val="20"/>
              </w:rPr>
              <w:t xml:space="preserve">(T0) avant le début de la </w:t>
            </w:r>
            <w:r>
              <w:rPr>
                <w:sz w:val="20"/>
              </w:rPr>
              <w:t xml:space="preserve">prise d'analogues de la GnRH </w:t>
            </w:r>
            <w:r>
              <w:rPr>
                <w:sz w:val="20"/>
              </w:rPr>
              <w:t xml:space="preserve">(aucun </w:t>
            </w:r>
            <w:r>
              <w:rPr>
                <w:sz w:val="20"/>
              </w:rPr>
              <w:t xml:space="preserve">traitement </w:t>
            </w:r>
            <w:r>
              <w:rPr>
                <w:sz w:val="20"/>
              </w:rPr>
              <w:t xml:space="preserve">spécifique</w:t>
            </w:r>
            <w:r>
              <w:rPr>
                <w:sz w:val="20"/>
              </w:rPr>
              <w:t xml:space="preserve">, dose ou </w:t>
            </w:r>
            <w:r>
              <w:rPr>
                <w:sz w:val="20"/>
              </w:rPr>
              <w:t xml:space="preserve">voie d'</w:t>
            </w:r>
            <w:r>
              <w:rPr>
                <w:sz w:val="20"/>
              </w:rPr>
              <w:t xml:space="preserve">administration </w:t>
            </w:r>
            <w:r>
              <w:rPr>
                <w:sz w:val="20"/>
              </w:rPr>
              <w:t xml:space="preserve">n'</w:t>
            </w:r>
            <w:r>
              <w:rPr>
                <w:sz w:val="20"/>
              </w:rPr>
              <w:t xml:space="preserve">a été signalé).</w:t>
            </w:r>
          </w:p>
          <w:p w:rsidR="00432386" w:rsidRDefault="00432386">
            <w:pPr>
              <w:pStyle w:val="TableParagraph"/>
              <w:rPr>
                <w:sz w:val="20"/>
              </w:rPr>
            </w:pPr>
          </w:p>
          <w:p>
            <w:pPr>
              <w:pStyle w:val="TableParagraph"/>
              <w:ind w:start="107" w:end="452"/>
              <w:rPr>
                <w:sz w:val="20"/>
              </w:rPr>
            </w:pPr>
            <w:r>
              <w:rPr>
                <w:b/>
                <w:sz w:val="20"/>
              </w:rPr>
              <w:t xml:space="preserve">Comparaison </w:t>
            </w:r>
            <w:r>
              <w:rPr>
                <w:sz w:val="20"/>
              </w:rPr>
              <w:t xml:space="preserve">Les mêmes 70 </w:t>
            </w:r>
            <w:r>
              <w:rPr>
                <w:sz w:val="20"/>
              </w:rPr>
              <w:t xml:space="preserve">adolescents </w:t>
            </w:r>
            <w:r>
              <w:rPr>
                <w:sz w:val="20"/>
              </w:rPr>
              <w:t xml:space="preserve">ont été</w:t>
            </w:r>
          </w:p>
          <w:p>
            <w:pPr>
              <w:pStyle w:val="TableParagraph"/>
              <w:ind w:start="107" w:end="241"/>
              <w:rPr>
                <w:sz w:val="20"/>
              </w:rPr>
            </w:pPr>
            <w:r>
              <w:rPr>
                <w:sz w:val="20"/>
              </w:rPr>
              <w:t xml:space="preserve">Les adolescents ont été évalués une nouvelle fois lors du </w:t>
            </w:r>
            <w:r>
              <w:rPr>
                <w:sz w:val="20"/>
              </w:rPr>
              <w:t xml:space="preserve">suivi (T1), </w:t>
            </w:r>
            <w:r>
              <w:rPr>
                <w:sz w:val="20"/>
              </w:rPr>
              <w:t xml:space="preserve">peu avant de </w:t>
            </w:r>
            <w:r>
              <w:rPr>
                <w:sz w:val="20"/>
              </w:rPr>
              <w:t xml:space="preserve">commencer à prendre des </w:t>
            </w:r>
            <w:r>
              <w:rPr>
                <w:sz w:val="20"/>
              </w:rPr>
              <w:t xml:space="preserve">hormones </w:t>
            </w:r>
            <w:r>
              <w:rPr>
                <w:sz w:val="20"/>
              </w:rPr>
              <w:t xml:space="preserve">d'affirmation du </w:t>
            </w:r>
            <w:r>
              <w:rPr>
                <w:sz w:val="20"/>
              </w:rPr>
              <w:t xml:space="preserve">genre</w:t>
            </w:r>
            <w:r>
              <w:rPr>
                <w:sz w:val="20"/>
              </w:rPr>
              <w:t xml:space="preserve">. </w:t>
            </w:r>
            <w:r>
              <w:rPr>
                <w:sz w:val="20"/>
              </w:rPr>
              <w:t xml:space="preserve">Les adolescents n'ont pas tous </w:t>
            </w:r>
            <w:r>
              <w:rPr>
                <w:sz w:val="20"/>
              </w:rPr>
              <w:t xml:space="preserve">effectué toutes les </w:t>
            </w:r>
            <w:r>
              <w:rPr>
                <w:sz w:val="20"/>
              </w:rPr>
              <w:t xml:space="preserve">évaluations pour tous les </w:t>
            </w:r>
            <w:r>
              <w:rPr>
                <w:sz w:val="20"/>
              </w:rPr>
              <w:t xml:space="preserve">items2</w:t>
            </w:r>
            <w:r>
              <w:rPr>
                <w:sz w:val="20"/>
              </w:rPr>
              <w:t xml:space="preserve">.</w:t>
            </w:r>
          </w:p>
        </w:tc>
        <w:tc>
          <w:tcPr>
            <w:tcW w:w="3971" w:type="dxa"/>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ind w:start="106" w:end="718"/>
              <w:rPr>
                <w:sz w:val="20"/>
              </w:rPr>
            </w:pPr>
            <w:r>
              <w:rPr>
                <w:b/>
                <w:i/>
                <w:sz w:val="20"/>
              </w:rPr>
              <w:t xml:space="preserve">Impact sur la dysphorie de genre </w:t>
            </w:r>
            <w:r>
              <w:rPr>
                <w:sz w:val="20"/>
              </w:rPr>
              <w:t xml:space="preserve">L'impact sur la dysphorie de genre a été </w:t>
            </w:r>
            <w:r>
              <w:rPr>
                <w:sz w:val="20"/>
              </w:rPr>
              <w:t xml:space="preserve">évalué à l'</w:t>
            </w:r>
            <w:r>
              <w:rPr>
                <w:sz w:val="20"/>
              </w:rPr>
              <w:t xml:space="preserve">aide de </w:t>
            </w:r>
            <w:r>
              <w:rPr>
                <w:sz w:val="20"/>
              </w:rPr>
              <w:t xml:space="preserve">l'</w:t>
            </w:r>
            <w:r>
              <w:rPr>
                <w:sz w:val="20"/>
              </w:rPr>
              <w:t xml:space="preserve">échelle de </w:t>
            </w:r>
            <w:r>
              <w:rPr>
                <w:sz w:val="20"/>
              </w:rPr>
              <w:t xml:space="preserve">dysphorie de </w:t>
            </w:r>
            <w:r>
              <w:rPr>
                <w:sz w:val="20"/>
              </w:rPr>
              <w:t xml:space="preserve">genre d'</w:t>
            </w:r>
            <w:r>
              <w:rPr>
                <w:sz w:val="20"/>
              </w:rPr>
              <w:t xml:space="preserve">Utrecht </w:t>
            </w:r>
            <w:r>
              <w:rPr>
                <w:sz w:val="20"/>
              </w:rPr>
              <w:t xml:space="preserve">(UGDS).</w:t>
            </w:r>
          </w:p>
          <w:p>
            <w:pPr>
              <w:pStyle w:val="TableParagraph"/>
              <w:numPr>
                <w:ilvl w:val="0"/>
                <w:numId w:val="35"/>
              </w:numPr>
              <w:tabs>
                <w:tab w:val="left" w:pos="466"/>
                <w:tab w:val="left" w:pos="467"/>
              </w:tabs>
              <w:ind w:end="260"/>
              <w:rPr>
                <w:sz w:val="20"/>
              </w:rPr>
            </w:pPr>
            <w:r>
              <w:rPr>
                <w:sz w:val="20"/>
              </w:rPr>
              <w:t xml:space="preserve">Il n'y a pas de </w:t>
            </w:r>
            <w:r>
              <w:rPr>
                <w:sz w:val="20"/>
              </w:rPr>
              <w:t xml:space="preserve">différence </w:t>
            </w:r>
            <w:r>
              <w:rPr>
                <w:sz w:val="20"/>
              </w:rPr>
              <w:t xml:space="preserve">statistiquement significative </w:t>
            </w:r>
            <w:r>
              <w:rPr>
                <w:sz w:val="20"/>
              </w:rPr>
              <w:t xml:space="preserve">dans les scores UGDS entre </w:t>
            </w:r>
            <w:r>
              <w:rPr>
                <w:sz w:val="20"/>
              </w:rPr>
              <w:t xml:space="preserve">T0 et T1 (n=41). Il existe une </w:t>
            </w:r>
            <w:r>
              <w:rPr>
                <w:sz w:val="20"/>
              </w:rPr>
              <w:t xml:space="preserve">différence statistiquement significative </w:t>
            </w:r>
            <w:r>
              <w:rPr>
                <w:sz w:val="20"/>
              </w:rPr>
              <w:t xml:space="preserve">entre les </w:t>
            </w:r>
            <w:r>
              <w:rPr>
                <w:sz w:val="20"/>
              </w:rPr>
              <w:t xml:space="preserve">hommes </w:t>
            </w:r>
            <w:r>
              <w:rPr>
                <w:sz w:val="20"/>
              </w:rPr>
              <w:t xml:space="preserve">et les femmes </w:t>
            </w:r>
            <w:r>
              <w:rPr>
                <w:sz w:val="20"/>
              </w:rPr>
              <w:t xml:space="preserve">assignés à </w:t>
            </w:r>
            <w:r>
              <w:rPr>
                <w:sz w:val="20"/>
              </w:rPr>
              <w:t xml:space="preserve">la </w:t>
            </w:r>
            <w:r>
              <w:rPr>
                <w:sz w:val="20"/>
              </w:rPr>
              <w:t xml:space="preserve">naissance, les </w:t>
            </w:r>
            <w:r>
              <w:rPr>
                <w:sz w:val="20"/>
              </w:rPr>
              <w:t xml:space="preserve">femmes assignées à la naissance </w:t>
            </w:r>
            <w:r>
              <w:rPr>
                <w:sz w:val="20"/>
              </w:rPr>
              <w:t xml:space="preserve">rapportant plus de dysphorie de genre,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15.98 </w:t>
            </w:r>
            <w:r>
              <w:rPr>
                <w:sz w:val="20"/>
              </w:rPr>
              <w:t xml:space="preserve">(1,39), </w:t>
            </w:r>
            <w:r>
              <w:rPr>
                <w:sz w:val="20"/>
              </w:rPr>
              <w:t xml:space="preserve">p&lt;0.001.</w:t>
            </w:r>
          </w:p>
          <w:p w:rsidR="00432386" w:rsidRDefault="00432386">
            <w:pPr>
              <w:pStyle w:val="TableParagraph"/>
              <w:spacing w:before="10"/>
              <w:rPr>
                <w:sz w:val="19"/>
              </w:rPr>
            </w:pPr>
          </w:p>
          <w:p>
            <w:pPr>
              <w:pStyle w:val="TableParagraph"/>
              <w:ind w:start="106"/>
              <w:rPr>
                <w:b/>
                <w:i/>
                <w:sz w:val="20"/>
              </w:rPr>
            </w:pPr>
            <w:r>
              <w:rPr>
                <w:b/>
                <w:i/>
                <w:sz w:val="20"/>
              </w:rPr>
              <w:t xml:space="preserve">Impact </w:t>
            </w:r>
            <w:r>
              <w:rPr>
                <w:b/>
                <w:i/>
                <w:sz w:val="20"/>
              </w:rPr>
              <w:t xml:space="preserve">sur la </w:t>
            </w:r>
            <w:r>
              <w:rPr>
                <w:b/>
                <w:i/>
                <w:sz w:val="20"/>
              </w:rPr>
              <w:t xml:space="preserve">santé </w:t>
            </w:r>
            <w:r>
              <w:rPr>
                <w:b/>
                <w:i/>
                <w:sz w:val="20"/>
              </w:rPr>
              <w:t xml:space="preserve">mentale</w:t>
            </w:r>
          </w:p>
          <w:p>
            <w:pPr>
              <w:pStyle w:val="TableParagraph"/>
              <w:spacing w:before="1"/>
              <w:ind w:start="106" w:end="497"/>
              <w:rPr>
                <w:sz w:val="20"/>
              </w:rPr>
            </w:pPr>
            <w:r>
              <w:rPr>
                <w:sz w:val="20"/>
              </w:rPr>
              <w:t xml:space="preserve">Les </w:t>
            </w:r>
            <w:r>
              <w:rPr>
                <w:sz w:val="20"/>
              </w:rPr>
              <w:t xml:space="preserve">symptômes </w:t>
            </w:r>
            <w:r>
              <w:rPr>
                <w:sz w:val="20"/>
              </w:rPr>
              <w:t xml:space="preserve">dépressifs </w:t>
            </w:r>
            <w:r>
              <w:rPr>
                <w:sz w:val="20"/>
              </w:rPr>
              <w:t xml:space="preserve">ont été </w:t>
            </w:r>
            <w:r>
              <w:rPr>
                <w:sz w:val="20"/>
              </w:rPr>
              <w:t xml:space="preserve">évalués </w:t>
            </w:r>
            <w:r>
              <w:rPr>
                <w:sz w:val="20"/>
              </w:rPr>
              <w:t xml:space="preserve">à l'aide de l'inventaire de dépression de Beck </w:t>
            </w:r>
            <w:r>
              <w:rPr>
                <w:sz w:val="20"/>
              </w:rPr>
              <w:t xml:space="preserve">(BDI-II).</w:t>
            </w:r>
          </w:p>
          <w:p>
            <w:pPr>
              <w:pStyle w:val="TableParagraph"/>
              <w:numPr>
                <w:ilvl w:val="0"/>
                <w:numId w:val="35"/>
              </w:numPr>
              <w:tabs>
                <w:tab w:val="left" w:pos="466"/>
                <w:tab w:val="left" w:pos="467"/>
              </w:tabs>
              <w:ind w:end="430"/>
              <w:rPr>
                <w:sz w:val="20"/>
              </w:rPr>
            </w:pPr>
            <w:r>
              <w:rPr>
                <w:sz w:val="20"/>
              </w:rPr>
              <w:t xml:space="preserve">On </w:t>
            </w:r>
            <w:r>
              <w:rPr>
                <w:sz w:val="20"/>
              </w:rPr>
              <w:t xml:space="preserve">a constaté </w:t>
            </w:r>
            <w:r>
              <w:rPr>
                <w:sz w:val="20"/>
              </w:rPr>
              <w:t xml:space="preserve">une </w:t>
            </w:r>
            <w:r>
              <w:rPr>
                <w:sz w:val="20"/>
              </w:rPr>
              <w:t xml:space="preserve">réduction </w:t>
            </w:r>
            <w:r>
              <w:rPr>
                <w:sz w:val="20"/>
              </w:rPr>
              <w:t xml:space="preserve">statistiquement </w:t>
            </w:r>
            <w:r>
              <w:rPr>
                <w:sz w:val="20"/>
              </w:rPr>
              <w:t xml:space="preserve">significative </w:t>
            </w:r>
            <w:r>
              <w:rPr>
                <w:sz w:val="20"/>
              </w:rPr>
              <w:t xml:space="preserve">du </w:t>
            </w:r>
            <w:r>
              <w:rPr>
                <w:sz w:val="20"/>
              </w:rPr>
              <w:t xml:space="preserve">score </w:t>
            </w:r>
            <w:r>
              <w:rPr>
                <w:sz w:val="20"/>
              </w:rPr>
              <w:t xml:space="preserve">BDI </w:t>
            </w:r>
            <w:r>
              <w:rPr>
                <w:sz w:val="20"/>
              </w:rPr>
              <w:t xml:space="preserve">entre </w:t>
            </w:r>
            <w:r>
              <w:rPr>
                <w:sz w:val="20"/>
              </w:rPr>
              <w:t xml:space="preserve">T0 </w:t>
            </w:r>
            <w:r>
              <w:rPr>
                <w:sz w:val="20"/>
              </w:rPr>
              <w:t xml:space="preserve">et T1, n=41, 8,31 [±7,12] contre </w:t>
            </w:r>
            <w:r>
              <w:rPr>
                <w:sz w:val="20"/>
              </w:rPr>
              <w:t xml:space="preserve">4,95 [±6,72],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9,28 </w:t>
            </w:r>
            <w:r>
              <w:rPr>
                <w:sz w:val="20"/>
              </w:rPr>
              <w:t xml:space="preserve">(1,39), </w:t>
            </w:r>
            <w:r>
              <w:rPr>
                <w:sz w:val="20"/>
              </w:rPr>
              <w:t xml:space="preserve">p=0,004.</w:t>
            </w:r>
          </w:p>
          <w:p>
            <w:pPr>
              <w:pStyle w:val="TableParagraph"/>
              <w:numPr>
                <w:ilvl w:val="0"/>
                <w:numId w:val="35"/>
              </w:numPr>
              <w:tabs>
                <w:tab w:val="left" w:pos="466"/>
                <w:tab w:val="left" w:pos="467"/>
              </w:tabs>
              <w:spacing w:line="228" w:lineRule="exact"/>
              <w:ind w:end="320"/>
              <w:rPr>
                <w:sz w:val="20"/>
              </w:rPr>
            </w:pPr>
            <w:r>
              <w:rPr>
                <w:sz w:val="20"/>
              </w:rPr>
              <w:t xml:space="preserve">Il </w:t>
            </w:r>
            <w:r>
              <w:rPr>
                <w:sz w:val="20"/>
              </w:rPr>
              <w:t xml:space="preserve">n'y avait pas de </w:t>
            </w:r>
            <w:r>
              <w:rPr>
                <w:sz w:val="20"/>
              </w:rPr>
              <w:t xml:space="preserve">différence </w:t>
            </w:r>
            <w:r>
              <w:rPr>
                <w:sz w:val="20"/>
              </w:rPr>
              <w:t xml:space="preserve">statistiquement </w:t>
            </w:r>
            <w:r>
              <w:rPr>
                <w:sz w:val="20"/>
              </w:rPr>
              <w:t xml:space="preserve">significative </w:t>
            </w:r>
            <w:r>
              <w:rPr>
                <w:sz w:val="20"/>
              </w:rPr>
              <w:t xml:space="preserve">entre le </w:t>
            </w:r>
            <w:r>
              <w:rPr>
                <w:sz w:val="20"/>
              </w:rPr>
              <w:t xml:space="preserve">sexe </w:t>
            </w:r>
            <w:r>
              <w:rPr>
                <w:sz w:val="20"/>
              </w:rPr>
              <w:t xml:space="preserve">assigné à </w:t>
            </w:r>
            <w:r>
              <w:rPr>
                <w:sz w:val="20"/>
              </w:rPr>
              <w:t xml:space="preserve">l'âge de la retraite et le sexe </w:t>
            </w:r>
            <w:r>
              <w:rPr>
                <w:sz w:val="20"/>
              </w:rPr>
              <w:t xml:space="preserve">assigné à l'âge de la retraite.</w:t>
            </w:r>
          </w:p>
        </w:tc>
        <w:tc>
          <w:tcPr>
            <w:tcW w:w="3203" w:type="dxa"/>
          </w:tcPr>
          <w:p>
            <w:pPr>
              <w:pStyle w:val="TableParagraph"/>
              <w:ind w:start="105" w:end="294"/>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l'outil Newcastle-Ottawa pour les </w:t>
            </w:r>
            <w:r>
              <w:rPr>
                <w:sz w:val="20"/>
              </w:rPr>
              <w:t xml:space="preserve">études de </w:t>
            </w:r>
            <w:r>
              <w:rPr>
                <w:sz w:val="20"/>
              </w:rPr>
              <w:t xml:space="preserve">cohorte</w:t>
            </w:r>
            <w:r>
              <w:rPr>
                <w:sz w:val="20"/>
              </w:rPr>
              <w:t xml:space="preserve">.</w:t>
            </w:r>
          </w:p>
          <w:p w:rsidR="00432386" w:rsidRDefault="00432386">
            <w:pPr>
              <w:pStyle w:val="TableParagraph"/>
              <w:spacing w:before="10"/>
              <w:rPr>
                <w:sz w:val="19"/>
              </w:rPr>
            </w:pPr>
          </w:p>
          <w:p>
            <w:pPr>
              <w:pStyle w:val="TableParagraph"/>
              <w:ind w:start="105"/>
              <w:rPr>
                <w:b/>
                <w:sz w:val="20"/>
              </w:rPr>
            </w:pPr>
            <w:r>
              <w:rPr>
                <w:b/>
                <w:sz w:val="20"/>
              </w:rPr>
              <w:t xml:space="preserve">Domaine </w:t>
            </w:r>
            <w:r>
              <w:rPr>
                <w:b/>
                <w:sz w:val="20"/>
              </w:rPr>
              <w:t xml:space="preserve">1 : </w:t>
            </w:r>
            <w:r>
              <w:rPr>
                <w:b/>
                <w:sz w:val="20"/>
              </w:rPr>
              <w:t xml:space="preserve">Sélection</w:t>
            </w:r>
          </w:p>
          <w:p>
            <w:pPr>
              <w:pStyle w:val="TableParagraph"/>
              <w:numPr>
                <w:ilvl w:val="0"/>
                <w:numId w:val="34"/>
              </w:numPr>
              <w:tabs>
                <w:tab w:val="left" w:pos="466"/>
              </w:tabs>
              <w:ind w:end="269"/>
              <w:rPr>
                <w:sz w:val="20"/>
              </w:rPr>
            </w:pPr>
            <w:r>
              <w:rPr>
                <w:sz w:val="20"/>
              </w:rPr>
              <w:t xml:space="preserve">quelque peu </w:t>
            </w:r>
            <w:r>
              <w:rPr>
                <w:sz w:val="20"/>
              </w:rPr>
              <w:t xml:space="preserve">représentatifs </w:t>
            </w:r>
            <w:r>
              <w:rPr>
                <w:sz w:val="20"/>
              </w:rPr>
              <w:t xml:space="preserve">des </w:t>
            </w:r>
            <w:r>
              <w:rPr>
                <w:sz w:val="20"/>
              </w:rPr>
              <w:t xml:space="preserve">enfants et des adolescents </w:t>
            </w:r>
            <w:r>
              <w:rPr>
                <w:sz w:val="20"/>
              </w:rPr>
              <w:t xml:space="preserve">qui </w:t>
            </w:r>
            <w:r>
              <w:rPr>
                <w:sz w:val="20"/>
              </w:rPr>
              <w:t xml:space="preserve">souffrent de </w:t>
            </w:r>
            <w:r>
              <w:rPr>
                <w:sz w:val="20"/>
              </w:rPr>
              <w:t xml:space="preserve">dysphorie de </w:t>
            </w:r>
            <w:r>
              <w:rPr>
                <w:sz w:val="20"/>
              </w:rPr>
              <w:t xml:space="preserve">genre</w:t>
            </w:r>
          </w:p>
          <w:p>
            <w:pPr>
              <w:pStyle w:val="TableParagraph"/>
              <w:numPr>
                <w:ilvl w:val="0"/>
                <w:numId w:val="34"/>
              </w:numPr>
              <w:tabs>
                <w:tab w:val="left" w:pos="466"/>
              </w:tabs>
              <w:spacing w:line="229" w:lineRule="exact"/>
              <w:rPr>
                <w:sz w:val="20"/>
              </w:rPr>
            </w:pPr>
            <w:r>
              <w:rPr>
                <w:sz w:val="20"/>
              </w:rPr>
              <w:t xml:space="preserve">pas de </w:t>
            </w:r>
            <w:r>
              <w:rPr>
                <w:sz w:val="20"/>
              </w:rPr>
              <w:t xml:space="preserve">cohorte </w:t>
            </w:r>
            <w:r>
              <w:rPr>
                <w:sz w:val="20"/>
              </w:rPr>
              <w:t xml:space="preserve">non exposée</w:t>
            </w:r>
          </w:p>
          <w:p>
            <w:pPr>
              <w:pStyle w:val="TableParagraph"/>
              <w:numPr>
                <w:ilvl w:val="0"/>
                <w:numId w:val="34"/>
              </w:numPr>
              <w:tabs>
                <w:tab w:val="left" w:pos="466"/>
              </w:tabs>
              <w:spacing w:before="1"/>
              <w:rPr>
                <w:sz w:val="20"/>
              </w:rPr>
            </w:pPr>
            <w:r>
              <w:rPr>
                <w:sz w:val="20"/>
              </w:rPr>
              <w:t xml:space="preserve">aucune </w:t>
            </w:r>
            <w:r>
              <w:rPr>
                <w:sz w:val="20"/>
              </w:rPr>
              <w:t xml:space="preserve">description</w:t>
            </w:r>
          </w:p>
          <w:p>
            <w:pPr>
              <w:pStyle w:val="TableParagraph"/>
              <w:numPr>
                <w:ilvl w:val="0"/>
                <w:numId w:val="34"/>
              </w:numPr>
              <w:tabs>
                <w:tab w:val="left" w:pos="466"/>
              </w:tabs>
              <w:rPr>
                <w:sz w:val="20"/>
              </w:rPr>
            </w:pPr>
            <w:r>
              <w:rPr>
                <w:sz w:val="20"/>
              </w:rPr>
              <w:t xml:space="preserve">pas de</w:t>
            </w:r>
          </w:p>
          <w:p>
            <w:pPr>
              <w:pStyle w:val="TableParagraph"/>
              <w:spacing w:before="1"/>
              <w:ind w:start="105"/>
              <w:rPr>
                <w:b/>
                <w:sz w:val="20"/>
              </w:rPr>
            </w:pPr>
            <w:r>
              <w:rPr>
                <w:b/>
                <w:sz w:val="20"/>
              </w:rPr>
              <w:t xml:space="preserve">Domaine </w:t>
            </w:r>
            <w:r>
              <w:rPr>
                <w:b/>
                <w:sz w:val="20"/>
              </w:rPr>
              <w:t xml:space="preserve">2 : </w:t>
            </w:r>
            <w:r>
              <w:rPr>
                <w:b/>
                <w:sz w:val="20"/>
              </w:rPr>
              <w:t xml:space="preserve">Comparabilité</w:t>
            </w:r>
          </w:p>
          <w:p>
            <w:pPr>
              <w:pStyle w:val="TableParagraph"/>
              <w:ind w:start="466" w:hanging="361"/>
              <w:rPr>
                <w:sz w:val="20"/>
              </w:rPr>
            </w:pPr>
            <w:r>
              <w:rPr>
                <w:sz w:val="20"/>
              </w:rPr>
              <w:t xml:space="preserve">1. L'</w:t>
            </w:r>
            <w:r>
              <w:rPr>
                <w:sz w:val="20"/>
              </w:rPr>
              <w:t xml:space="preserve">étude </w:t>
            </w:r>
            <w:r>
              <w:rPr>
                <w:sz w:val="20"/>
              </w:rPr>
              <w:t xml:space="preserve">contrôle </w:t>
            </w:r>
            <w:r>
              <w:rPr>
                <w:sz w:val="20"/>
              </w:rPr>
              <w:t xml:space="preserve">l'</w:t>
            </w:r>
            <w:r>
              <w:rPr>
                <w:sz w:val="20"/>
              </w:rPr>
              <w:t xml:space="preserve">âge, l'</w:t>
            </w:r>
            <w:r>
              <w:rPr>
                <w:sz w:val="20"/>
              </w:rPr>
              <w:t xml:space="preserve">âge </w:t>
            </w:r>
            <w:r>
              <w:rPr>
                <w:sz w:val="20"/>
              </w:rPr>
              <w:t xml:space="preserve">au </w:t>
            </w:r>
            <w:r>
              <w:rPr>
                <w:sz w:val="20"/>
              </w:rPr>
              <w:t xml:space="preserve">début du traitement, le QI et les </w:t>
            </w:r>
            <w:r>
              <w:rPr>
                <w:sz w:val="20"/>
              </w:rPr>
              <w:t xml:space="preserve">facteurs </w:t>
            </w:r>
            <w:r>
              <w:rPr>
                <w:sz w:val="20"/>
              </w:rPr>
              <w:t xml:space="preserve">parentaux.</w:t>
            </w:r>
          </w:p>
          <w:p>
            <w:pPr>
              <w:pStyle w:val="TableParagraph"/>
              <w:spacing w:line="229" w:lineRule="exact"/>
              <w:ind w:start="105"/>
              <w:rPr>
                <w:b/>
                <w:sz w:val="20"/>
              </w:rPr>
            </w:pPr>
            <w:r>
              <w:rPr>
                <w:b/>
                <w:sz w:val="20"/>
              </w:rPr>
              <w:t xml:space="preserve">Domaine </w:t>
            </w:r>
            <w:r>
              <w:rPr>
                <w:b/>
                <w:sz w:val="20"/>
              </w:rPr>
              <w:t xml:space="preserve">3 : </w:t>
            </w:r>
            <w:r>
              <w:rPr>
                <w:b/>
                <w:sz w:val="20"/>
              </w:rPr>
              <w:t xml:space="preserve">Résultat</w:t>
            </w:r>
          </w:p>
          <w:p>
            <w:pPr>
              <w:pStyle w:val="TableParagraph"/>
              <w:numPr>
                <w:ilvl w:val="0"/>
                <w:numId w:val="33"/>
              </w:numPr>
              <w:tabs>
                <w:tab w:val="left" w:pos="466"/>
              </w:tabs>
              <w:spacing w:before="1"/>
              <w:rPr>
                <w:sz w:val="20"/>
              </w:rPr>
            </w:pPr>
            <w:r>
              <w:rPr>
                <w:sz w:val="20"/>
              </w:rPr>
              <w:t xml:space="preserve">aucune </w:t>
            </w:r>
            <w:r>
              <w:rPr>
                <w:sz w:val="20"/>
              </w:rPr>
              <w:t xml:space="preserve">description</w:t>
            </w:r>
          </w:p>
          <w:p>
            <w:pPr>
              <w:pStyle w:val="TableParagraph"/>
              <w:numPr>
                <w:ilvl w:val="0"/>
                <w:numId w:val="33"/>
              </w:numPr>
              <w:tabs>
                <w:tab w:val="left" w:pos="466"/>
              </w:tabs>
              <w:rPr>
                <w:sz w:val="20"/>
              </w:rPr>
            </w:pPr>
            <w:r>
              <w:rPr>
                <w:sz w:val="20"/>
              </w:rPr>
              <w:t xml:space="preserve">non/non clair</w:t>
            </w:r>
          </w:p>
          <w:p>
            <w:pPr>
              <w:pStyle w:val="TableParagraph"/>
              <w:numPr>
                <w:ilvl w:val="0"/>
                <w:numId w:val="33"/>
              </w:numPr>
              <w:tabs>
                <w:tab w:val="left" w:pos="466"/>
              </w:tabs>
              <w:spacing w:before="1"/>
              <w:rPr>
                <w:sz w:val="20"/>
              </w:rPr>
            </w:pPr>
            <w:r>
              <w:rPr>
                <w:sz w:val="20"/>
              </w:rPr>
              <w:t xml:space="preserve">complet</w:t>
            </w:r>
          </w:p>
          <w:p w:rsidR="00432386" w:rsidRDefault="00432386">
            <w:pPr>
              <w:pStyle w:val="TableParagraph"/>
              <w:spacing w:before="10"/>
              <w:rPr>
                <w:sz w:val="19"/>
              </w:rPr>
            </w:pPr>
          </w:p>
          <w:p>
            <w:pPr>
              <w:pStyle w:val="TableParagraph"/>
              <w:ind w:start="105" w:end="249"/>
              <w:rPr>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r>
              <w:rPr>
                <w:sz w:val="20"/>
              </w:rPr>
              <w:t xml:space="preserve">.</w:t>
            </w:r>
          </w:p>
          <w:p w:rsidR="00432386" w:rsidRDefault="00432386">
            <w:pPr>
              <w:pStyle w:val="TableParagraph"/>
              <w:spacing w:before="1"/>
              <w:rPr>
                <w:sz w:val="20"/>
              </w:rPr>
            </w:pPr>
          </w:p>
          <w:p>
            <w:pPr>
              <w:pStyle w:val="TableParagraph"/>
              <w:ind w:start="105" w:end="215"/>
              <w:rPr>
                <w:sz w:val="20"/>
              </w:rPr>
            </w:pPr>
            <w:r>
              <w:rPr>
                <w:sz w:val="20"/>
              </w:rPr>
              <w:t xml:space="preserve">Autres commentaires : La </w:t>
            </w:r>
            <w:r>
              <w:rPr>
                <w:sz w:val="20"/>
              </w:rPr>
              <w:t xml:space="preserve">comorbidité </w:t>
            </w:r>
            <w:r>
              <w:rPr>
                <w:sz w:val="20"/>
              </w:rPr>
              <w:t xml:space="preserve">physique et </w:t>
            </w:r>
            <w:r>
              <w:rPr>
                <w:sz w:val="20"/>
              </w:rPr>
              <w:t xml:space="preserve">psychologique </w:t>
            </w:r>
            <w:r>
              <w:rPr>
                <w:sz w:val="20"/>
              </w:rPr>
              <w:t xml:space="preserve">n'a pas </w:t>
            </w:r>
            <w:r>
              <w:rPr>
                <w:sz w:val="20"/>
              </w:rPr>
              <w:t xml:space="preserve">été </w:t>
            </w:r>
            <w:r>
              <w:rPr>
                <w:sz w:val="20"/>
              </w:rPr>
              <w:t xml:space="preserve">rapportée, l'</w:t>
            </w:r>
            <w:r>
              <w:rPr>
                <w:sz w:val="20"/>
              </w:rPr>
              <w:t xml:space="preserve">utilisation </w:t>
            </w:r>
            <w:r>
              <w:rPr>
                <w:sz w:val="20"/>
              </w:rPr>
              <w:t xml:space="preserve">concomitante </w:t>
            </w:r>
            <w:r>
              <w:rPr>
                <w:sz w:val="20"/>
              </w:rPr>
              <w:t xml:space="preserve">de</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8999"/>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ind w:start="466"/>
              <w:rPr>
                <w:sz w:val="20"/>
              </w:rPr>
            </w:pPr>
            <w:r>
              <w:rPr>
                <w:sz w:val="20"/>
              </w:rPr>
              <w:t xml:space="preserve">(</w:t>
            </w:r>
            <w:r>
              <w:rPr>
                <w:i/>
                <w:sz w:val="20"/>
              </w:rPr>
              <w:t xml:space="preserve">df, errdf</w:t>
            </w:r>
            <w:r>
              <w:rPr>
                <w:sz w:val="20"/>
              </w:rPr>
              <w:t xml:space="preserve">), </w:t>
            </w:r>
            <w:r>
              <w:rPr>
                <w:i/>
                <w:sz w:val="20"/>
              </w:rPr>
              <w:t xml:space="preserve">P </w:t>
            </w:r>
            <w:r>
              <w:rPr>
                <w:sz w:val="20"/>
              </w:rPr>
              <w:t xml:space="preserve">: 3,85 (1,39), </w:t>
            </w:r>
            <w:r>
              <w:rPr>
                <w:sz w:val="20"/>
              </w:rPr>
              <w:t xml:space="preserve">p=0,057.</w:t>
            </w:r>
          </w:p>
          <w:p w:rsidR="00432386" w:rsidRDefault="00432386">
            <w:pPr>
              <w:pStyle w:val="TableParagraph"/>
              <w:spacing w:before="3"/>
              <w:rPr>
                <w:sz w:val="19"/>
              </w:rPr>
            </w:pPr>
          </w:p>
          <w:p>
            <w:pPr>
              <w:pStyle w:val="TableParagraph"/>
              <w:ind w:start="106"/>
              <w:rPr>
                <w:sz w:val="20"/>
              </w:rPr>
            </w:pPr>
            <w:r>
              <w:rPr>
                <w:sz w:val="20"/>
              </w:rPr>
              <w:t xml:space="preserve">La </w:t>
            </w:r>
            <w:r>
              <w:rPr>
                <w:sz w:val="20"/>
              </w:rPr>
              <w:t xml:space="preserve">colère </w:t>
            </w:r>
            <w:r>
              <w:rPr>
                <w:sz w:val="20"/>
              </w:rPr>
              <w:t xml:space="preserve">et l'</w:t>
            </w:r>
            <w:r>
              <w:rPr>
                <w:sz w:val="20"/>
              </w:rPr>
              <w:t xml:space="preserve">anxiété </w:t>
            </w:r>
            <w:r>
              <w:rPr>
                <w:sz w:val="20"/>
              </w:rPr>
              <w:t xml:space="preserve">ont été </w:t>
            </w:r>
            <w:r>
              <w:rPr>
                <w:sz w:val="20"/>
              </w:rPr>
              <w:t xml:space="preserve">évaluées </w:t>
            </w:r>
            <w:r>
              <w:rPr>
                <w:sz w:val="20"/>
              </w:rPr>
              <w:t xml:space="preserve">à l'aide des </w:t>
            </w:r>
            <w:r>
              <w:rPr>
                <w:sz w:val="20"/>
              </w:rPr>
              <w:t xml:space="preserve">échelles </w:t>
            </w:r>
            <w:r>
              <w:rPr>
                <w:sz w:val="20"/>
              </w:rPr>
              <w:t xml:space="preserve">Trait Anger et Anxiety (TPI et STAI, </w:t>
            </w:r>
            <w:r>
              <w:rPr>
                <w:sz w:val="20"/>
              </w:rPr>
              <w:t xml:space="preserve">respectivement) du State-Trait </w:t>
            </w:r>
            <w:r>
              <w:rPr>
                <w:sz w:val="20"/>
              </w:rPr>
              <w:t xml:space="preserve">Personality </w:t>
            </w:r>
            <w:r>
              <w:rPr>
                <w:sz w:val="20"/>
              </w:rPr>
              <w:t xml:space="preserve">Inventory.</w:t>
            </w:r>
          </w:p>
          <w:p>
            <w:pPr>
              <w:pStyle w:val="TableParagraph"/>
              <w:numPr>
                <w:ilvl w:val="0"/>
                <w:numId w:val="32"/>
              </w:numPr>
              <w:tabs>
                <w:tab w:val="left" w:pos="466"/>
                <w:tab w:val="left" w:pos="467"/>
              </w:tabs>
              <w:ind w:end="171"/>
              <w:rPr>
                <w:sz w:val="20"/>
              </w:rPr>
            </w:pPr>
            <w:r>
              <w:rPr>
                <w:sz w:val="20"/>
              </w:rPr>
              <w:t xml:space="preserve">Il n'y avait pas de </w:t>
            </w:r>
            <w:r>
              <w:rPr>
                <w:sz w:val="20"/>
              </w:rPr>
              <w:t xml:space="preserve">différence </w:t>
            </w:r>
            <w:r>
              <w:rPr>
                <w:sz w:val="20"/>
              </w:rPr>
              <w:t xml:space="preserve">statistiquement significative </w:t>
            </w:r>
            <w:r>
              <w:rPr>
                <w:sz w:val="20"/>
              </w:rPr>
              <w:t xml:space="preserve">dans les </w:t>
            </w:r>
            <w:r>
              <w:rPr>
                <w:sz w:val="20"/>
              </w:rPr>
              <w:t xml:space="preserve">scores de </w:t>
            </w:r>
            <w:r>
              <w:rPr>
                <w:sz w:val="20"/>
              </w:rPr>
              <w:t xml:space="preserve">l'échelle de </w:t>
            </w:r>
            <w:r>
              <w:rPr>
                <w:sz w:val="20"/>
              </w:rPr>
              <w:t xml:space="preserve">colère </w:t>
            </w:r>
            <w:r>
              <w:rPr>
                <w:sz w:val="20"/>
              </w:rPr>
              <w:t xml:space="preserve">(TPI) </w:t>
            </w:r>
            <w:r>
              <w:rPr>
                <w:sz w:val="20"/>
              </w:rPr>
              <w:t xml:space="preserve">entre T0 et T1 (n=41). Une </w:t>
            </w:r>
            <w:r>
              <w:rPr>
                <w:sz w:val="20"/>
              </w:rPr>
              <w:t xml:space="preserve">différence </w:t>
            </w:r>
            <w:r>
              <w:rPr>
                <w:sz w:val="20"/>
              </w:rPr>
              <w:t xml:space="preserve">statistiquement significative a été </w:t>
            </w:r>
            <w:r>
              <w:rPr>
                <w:sz w:val="20"/>
              </w:rPr>
              <w:t xml:space="preserve">observée </w:t>
            </w:r>
            <w:r>
              <w:rPr>
                <w:sz w:val="20"/>
              </w:rPr>
              <w:t xml:space="preserve">entre les </w:t>
            </w:r>
            <w:r>
              <w:rPr>
                <w:sz w:val="20"/>
              </w:rPr>
              <w:t xml:space="preserve">hommes et les </w:t>
            </w:r>
            <w:r>
              <w:rPr>
                <w:sz w:val="20"/>
              </w:rPr>
              <w:t xml:space="preserve">femmes </w:t>
            </w:r>
            <w:r>
              <w:rPr>
                <w:sz w:val="20"/>
              </w:rPr>
              <w:t xml:space="preserve">assignés à la </w:t>
            </w:r>
            <w:r>
              <w:rPr>
                <w:sz w:val="20"/>
              </w:rPr>
              <w:t xml:space="preserve">naissance, les </w:t>
            </w:r>
            <w:r>
              <w:rPr>
                <w:sz w:val="20"/>
              </w:rPr>
              <w:t xml:space="preserve">femmes </w:t>
            </w:r>
            <w:r>
              <w:rPr>
                <w:sz w:val="20"/>
              </w:rPr>
              <w:t xml:space="preserve">assignées à la naissance </w:t>
            </w:r>
            <w:r>
              <w:rPr>
                <w:sz w:val="20"/>
              </w:rPr>
              <w:t xml:space="preserve">signalant une plus grande colère </w:t>
            </w:r>
            <w:r>
              <w:rPr>
                <w:sz w:val="20"/>
              </w:rPr>
              <w:t xml:space="preserve">que les </w:t>
            </w:r>
            <w:r>
              <w:rPr>
                <w:sz w:val="20"/>
              </w:rPr>
              <w:t xml:space="preserve">hommes </w:t>
            </w:r>
            <w:r>
              <w:rPr>
                <w:sz w:val="20"/>
              </w:rPr>
              <w:t xml:space="preserve">assignés à la naissance</w:t>
            </w:r>
            <w:r>
              <w:rPr>
                <w:sz w:val="20"/>
              </w:rPr>
              <w:t xml:space="preserve">,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5,70 (1,39), </w:t>
            </w:r>
            <w:r>
              <w:rPr>
                <w:sz w:val="20"/>
              </w:rPr>
              <w:t xml:space="preserve">p=0,022.</w:t>
            </w:r>
          </w:p>
          <w:p>
            <w:pPr>
              <w:pStyle w:val="TableParagraph"/>
              <w:numPr>
                <w:ilvl w:val="0"/>
                <w:numId w:val="32"/>
              </w:numPr>
              <w:tabs>
                <w:tab w:val="left" w:pos="466"/>
                <w:tab w:val="left" w:pos="467"/>
              </w:tabs>
              <w:ind w:end="141"/>
              <w:rPr>
                <w:sz w:val="20"/>
              </w:rPr>
            </w:pPr>
            <w:r>
              <w:rPr>
                <w:sz w:val="20"/>
              </w:rPr>
              <w:t xml:space="preserve">De même, il n'y avait pas de </w:t>
            </w:r>
            <w:r>
              <w:rPr>
                <w:sz w:val="20"/>
              </w:rPr>
              <w:t xml:space="preserve">différence </w:t>
            </w:r>
            <w:r>
              <w:rPr>
                <w:sz w:val="20"/>
              </w:rPr>
              <w:t xml:space="preserve">statistiquement </w:t>
            </w:r>
            <w:r>
              <w:rPr>
                <w:sz w:val="20"/>
              </w:rPr>
              <w:t xml:space="preserve">significative </w:t>
            </w:r>
            <w:r>
              <w:rPr>
                <w:sz w:val="20"/>
              </w:rPr>
              <w:t xml:space="preserve">dans les </w:t>
            </w:r>
            <w:r>
              <w:rPr>
                <w:sz w:val="20"/>
              </w:rPr>
              <w:t xml:space="preserve">scores à l'échelle d'</w:t>
            </w:r>
            <w:r>
              <w:rPr>
                <w:sz w:val="20"/>
              </w:rPr>
              <w:t xml:space="preserve">anxiété </w:t>
            </w:r>
            <w:r>
              <w:rPr>
                <w:sz w:val="20"/>
              </w:rPr>
              <w:t xml:space="preserve">(STAI) </w:t>
            </w:r>
            <w:r>
              <w:rPr>
                <w:sz w:val="20"/>
              </w:rPr>
              <w:t xml:space="preserve">entre T0 et T1 </w:t>
            </w:r>
            <w:r>
              <w:rPr>
                <w:sz w:val="20"/>
              </w:rPr>
              <w:t xml:space="preserve">(n=41). Une </w:t>
            </w:r>
            <w:r>
              <w:rPr>
                <w:sz w:val="20"/>
              </w:rPr>
              <w:t xml:space="preserve">différence </w:t>
            </w:r>
            <w:r>
              <w:rPr>
                <w:sz w:val="20"/>
              </w:rPr>
              <w:t xml:space="preserve">statistiquement </w:t>
            </w:r>
            <w:r>
              <w:rPr>
                <w:sz w:val="20"/>
              </w:rPr>
              <w:t xml:space="preserve">significative a été observée entre les </w:t>
            </w:r>
            <w:r>
              <w:rPr>
                <w:sz w:val="20"/>
              </w:rPr>
              <w:t xml:space="preserve">hommes et les </w:t>
            </w:r>
            <w:r>
              <w:rPr>
                <w:sz w:val="20"/>
              </w:rPr>
              <w:t xml:space="preserve">femmes </w:t>
            </w:r>
            <w:r>
              <w:rPr>
                <w:sz w:val="20"/>
              </w:rPr>
              <w:t xml:space="preserve">assignés</w:t>
            </w:r>
            <w:r>
              <w:rPr>
                <w:sz w:val="20"/>
              </w:rPr>
              <w:t xml:space="preserve"> à la naissance, les </w:t>
            </w:r>
            <w:r>
              <w:rPr>
                <w:sz w:val="20"/>
              </w:rPr>
              <w:t xml:space="preserve">femmes assignées à la naissance ayant signalé une </w:t>
            </w:r>
            <w:r>
              <w:rPr>
                <w:sz w:val="20"/>
              </w:rPr>
              <w:t xml:space="preserve">anxiété plus importante que les </w:t>
            </w:r>
            <w:r>
              <w:rPr>
                <w:sz w:val="20"/>
              </w:rPr>
              <w:t xml:space="preserve">hommes assignés à la naissance,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w:t>
            </w:r>
            <w:r>
              <w:rPr>
                <w:sz w:val="20"/>
              </w:rPr>
              <w:t xml:space="preserve">16,07 (1,39), </w:t>
            </w:r>
            <w:r>
              <w:rPr>
                <w:sz w:val="20"/>
              </w:rPr>
              <w:t xml:space="preserve">p&lt;0,001.</w:t>
            </w:r>
          </w:p>
          <w:p w:rsidR="00432386" w:rsidRDefault="00432386">
            <w:pPr>
              <w:pStyle w:val="TableParagraph"/>
              <w:spacing w:before="9"/>
              <w:rPr>
                <w:sz w:val="19"/>
              </w:rPr>
            </w:pPr>
          </w:p>
          <w:p>
            <w:pPr>
              <w:pStyle w:val="TableParagraph"/>
              <w:ind w:start="106"/>
              <w:rPr>
                <w:b/>
                <w:i/>
                <w:sz w:val="20"/>
              </w:rPr>
            </w:pPr>
            <w:r>
              <w:rPr>
                <w:b/>
                <w:i/>
                <w:sz w:val="20"/>
              </w:rPr>
              <w:t xml:space="preserve">Impact </w:t>
            </w:r>
            <w:r>
              <w:rPr>
                <w:b/>
                <w:i/>
                <w:sz w:val="20"/>
              </w:rPr>
              <w:t xml:space="preserve">sur la </w:t>
            </w:r>
            <w:r>
              <w:rPr>
                <w:b/>
                <w:i/>
                <w:sz w:val="20"/>
              </w:rPr>
              <w:t xml:space="preserve">qualité </w:t>
            </w:r>
            <w:r>
              <w:rPr>
                <w:b/>
                <w:i/>
                <w:sz w:val="20"/>
              </w:rPr>
              <w:t xml:space="preserve">de </w:t>
            </w:r>
            <w:r>
              <w:rPr>
                <w:b/>
                <w:i/>
                <w:sz w:val="20"/>
              </w:rPr>
              <w:t xml:space="preserve">vie</w:t>
            </w:r>
          </w:p>
          <w:p>
            <w:pPr>
              <w:pStyle w:val="TableParagraph"/>
              <w:ind w:start="106"/>
              <w:rPr>
                <w:sz w:val="20"/>
              </w:rPr>
            </w:pPr>
            <w:r>
              <w:rPr>
                <w:sz w:val="20"/>
              </w:rPr>
              <w:t xml:space="preserve">Non </w:t>
            </w:r>
            <w:r>
              <w:rPr>
                <w:sz w:val="20"/>
              </w:rPr>
              <w:t xml:space="preserve">évalué.</w:t>
            </w:r>
          </w:p>
          <w:p w:rsidR="00432386" w:rsidRDefault="00432386">
            <w:pPr>
              <w:pStyle w:val="TableParagraph"/>
              <w:spacing w:before="1"/>
              <w:rPr>
                <w:sz w:val="20"/>
              </w:rPr>
            </w:pPr>
          </w:p>
          <w:p>
            <w:pPr>
              <w:pStyle w:val="TableParagraph"/>
              <w:spacing w:line="229" w:lineRule="exact"/>
              <w:ind w:start="106"/>
              <w:rPr>
                <w:b/>
                <w:sz w:val="20"/>
              </w:rPr>
            </w:pPr>
            <w:r>
              <w:rPr>
                <w:b/>
                <w:sz w:val="20"/>
              </w:rPr>
              <w:t xml:space="preserve">Résultats </w:t>
            </w:r>
            <w:r>
              <w:rPr>
                <w:b/>
                <w:sz w:val="20"/>
              </w:rPr>
              <w:t xml:space="preserve">importants</w:t>
            </w:r>
          </w:p>
          <w:p>
            <w:pPr>
              <w:pStyle w:val="TableParagraph"/>
              <w:spacing w:line="229" w:lineRule="exact"/>
              <w:ind w:start="106"/>
              <w:rPr>
                <w:b/>
                <w:i/>
                <w:sz w:val="20"/>
              </w:rPr>
            </w:pPr>
            <w:r>
              <w:rPr>
                <w:b/>
                <w:i/>
                <w:sz w:val="20"/>
              </w:rPr>
              <w:t xml:space="preserve">Impact </w:t>
            </w:r>
            <w:r>
              <w:rPr>
                <w:b/>
                <w:i/>
                <w:sz w:val="20"/>
              </w:rPr>
              <w:t xml:space="preserve">sur l'</w:t>
            </w:r>
            <w:r>
              <w:rPr>
                <w:b/>
                <w:i/>
                <w:sz w:val="20"/>
              </w:rPr>
              <w:t xml:space="preserve">image </w:t>
            </w:r>
            <w:r>
              <w:rPr>
                <w:b/>
                <w:i/>
                <w:sz w:val="20"/>
              </w:rPr>
              <w:t xml:space="preserve">corporelle</w:t>
            </w:r>
          </w:p>
          <w:p>
            <w:pPr>
              <w:pStyle w:val="TableParagraph"/>
              <w:spacing w:line="230" w:lineRule="atLeast"/>
              <w:ind w:start="106" w:end="118"/>
              <w:rPr>
                <w:sz w:val="20"/>
              </w:rPr>
            </w:pPr>
            <w:r>
              <w:rPr>
                <w:sz w:val="20"/>
              </w:rPr>
              <w:t xml:space="preserve">L'impact sur l'image corporelle a été évalué </w:t>
            </w:r>
            <w:r>
              <w:rPr>
                <w:sz w:val="20"/>
              </w:rPr>
              <w:t xml:space="preserve">à l'aide de </w:t>
            </w:r>
            <w:r>
              <w:rPr>
                <w:sz w:val="20"/>
              </w:rPr>
              <w:t xml:space="preserve">l'</w:t>
            </w:r>
            <w:r>
              <w:rPr>
                <w:sz w:val="20"/>
              </w:rPr>
              <w:t xml:space="preserve">échelle d'</w:t>
            </w:r>
            <w:r>
              <w:rPr>
                <w:sz w:val="20"/>
              </w:rPr>
              <w:t xml:space="preserve">image </w:t>
            </w:r>
            <w:r>
              <w:rPr>
                <w:sz w:val="20"/>
              </w:rPr>
              <w:t xml:space="preserve">corporelle </w:t>
            </w:r>
            <w:r>
              <w:rPr>
                <w:sz w:val="20"/>
              </w:rPr>
              <w:t xml:space="preserve">pour </w:t>
            </w:r>
            <w:r>
              <w:rPr>
                <w:sz w:val="20"/>
              </w:rPr>
              <w:t xml:space="preserve">mesurer la </w:t>
            </w:r>
            <w:r>
              <w:rPr>
                <w:sz w:val="20"/>
              </w:rPr>
              <w:t xml:space="preserve">satisfaction </w:t>
            </w:r>
            <w:r>
              <w:rPr>
                <w:sz w:val="20"/>
              </w:rPr>
              <w:t xml:space="preserve">corporelle </w:t>
            </w:r>
            <w:r>
              <w:rPr>
                <w:sz w:val="20"/>
              </w:rPr>
              <w:t xml:space="preserve">(BIS).</w:t>
            </w:r>
          </w:p>
        </w:tc>
        <w:tc>
          <w:tcPr>
            <w:tcW w:w="3203" w:type="dxa"/>
          </w:tcPr>
          <w:p>
            <w:pPr>
              <w:pStyle w:val="TableParagraph"/>
              <w:ind w:start="105" w:end="926"/>
              <w:rPr>
                <w:sz w:val="20"/>
              </w:rPr>
            </w:pPr>
            <w:r>
              <w:rPr>
                <w:sz w:val="20"/>
              </w:rPr>
              <w:t xml:space="preserve">d'</w:t>
            </w:r>
            <w:r>
              <w:rPr>
                <w:sz w:val="20"/>
              </w:rPr>
              <w:t xml:space="preserve">autres </w:t>
            </w:r>
            <w:r>
              <w:rPr>
                <w:sz w:val="20"/>
              </w:rPr>
              <w:t xml:space="preserve">médicaments </w:t>
            </w:r>
            <w:r>
              <w:rPr>
                <w:sz w:val="20"/>
              </w:rPr>
              <w:t xml:space="preserve">n'</w:t>
            </w:r>
            <w:r>
              <w:rPr>
                <w:sz w:val="20"/>
              </w:rPr>
              <w:t xml:space="preserve">a </w:t>
            </w:r>
            <w:r>
              <w:rPr>
                <w:sz w:val="20"/>
              </w:rPr>
              <w:t xml:space="preserve">pas </w:t>
            </w:r>
            <w:r>
              <w:rPr>
                <w:sz w:val="20"/>
              </w:rPr>
              <w:t xml:space="preserve">été </w:t>
            </w:r>
            <w:r>
              <w:rPr>
                <w:sz w:val="20"/>
              </w:rPr>
              <w:t xml:space="preserve">rapportée.</w:t>
            </w:r>
          </w:p>
          <w:p w:rsidR="00432386" w:rsidRDefault="00432386">
            <w:pPr>
              <w:pStyle w:val="TableParagraph"/>
              <w:spacing w:before="2"/>
              <w:rPr>
                <w:sz w:val="19"/>
              </w:rPr>
            </w:pPr>
          </w:p>
          <w:p>
            <w:pPr>
              <w:pStyle w:val="TableParagraph"/>
              <w:spacing w:before="1"/>
              <w:ind w:start="105" w:end="218"/>
              <w:rPr>
                <w:sz w:val="20"/>
              </w:rPr>
            </w:pPr>
            <w:r>
              <w:rPr>
                <w:sz w:val="20"/>
              </w:rPr>
              <w:t xml:space="preserve">Source de financement : Cette étude </w:t>
            </w:r>
            <w:r>
              <w:rPr>
                <w:sz w:val="20"/>
              </w:rPr>
              <w:t xml:space="preserve">a été soutenue par une </w:t>
            </w:r>
            <w:r>
              <w:rPr>
                <w:sz w:val="20"/>
              </w:rPr>
              <w:t xml:space="preserve">subvention </w:t>
            </w:r>
            <w:r>
              <w:rPr>
                <w:sz w:val="20"/>
              </w:rPr>
              <w:t xml:space="preserve">personnelle </w:t>
            </w:r>
            <w:r>
              <w:rPr>
                <w:sz w:val="20"/>
              </w:rPr>
              <w:t xml:space="preserve">accordée au premier auteur </w:t>
            </w:r>
            <w:r>
              <w:rPr>
                <w:sz w:val="20"/>
              </w:rPr>
              <w:t xml:space="preserve">par </w:t>
            </w:r>
            <w:r>
              <w:rPr>
                <w:sz w:val="20"/>
              </w:rPr>
              <w:t xml:space="preserve">l'</w:t>
            </w:r>
            <w:r>
              <w:rPr>
                <w:sz w:val="20"/>
              </w:rPr>
              <w:t xml:space="preserve">Organisation </w:t>
            </w:r>
            <w:r>
              <w:rPr>
                <w:sz w:val="20"/>
              </w:rPr>
              <w:t xml:space="preserve">néerlandaise </w:t>
            </w:r>
            <w:r>
              <w:rPr>
                <w:sz w:val="20"/>
              </w:rPr>
              <w:t xml:space="preserve">pour la recherche et le </w:t>
            </w:r>
            <w:r>
              <w:rPr>
                <w:sz w:val="20"/>
              </w:rPr>
              <w:t xml:space="preserve">développement en matière </w:t>
            </w:r>
            <w:r>
              <w:rPr>
                <w:sz w:val="20"/>
              </w:rPr>
              <w:t xml:space="preserve">de santé</w:t>
            </w:r>
            <w:r>
              <w:rPr>
                <w:sz w:val="20"/>
              </w:rPr>
              <w:t xml:space="preserve">.</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8999"/>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ind w:start="106" w:end="118"/>
              <w:rPr>
                <w:sz w:val="20"/>
              </w:rPr>
            </w:pPr>
            <w:r>
              <w:rPr>
                <w:sz w:val="20"/>
              </w:rPr>
              <w:t xml:space="preserve">Il n'y avait pas de </w:t>
            </w:r>
            <w:r>
              <w:rPr>
                <w:sz w:val="20"/>
              </w:rPr>
              <w:t xml:space="preserve">différence </w:t>
            </w:r>
            <w:r>
              <w:rPr>
                <w:sz w:val="20"/>
              </w:rPr>
              <w:t xml:space="preserve">statistiquement significative </w:t>
            </w:r>
            <w:r>
              <w:rPr>
                <w:sz w:val="20"/>
              </w:rPr>
              <w:t xml:space="preserve">entre T0 et T1 pour l'un des </w:t>
            </w:r>
            <w:r>
              <w:rPr>
                <w:sz w:val="20"/>
              </w:rPr>
              <w:t xml:space="preserve">3 scores BIS (</w:t>
            </w:r>
            <w:r>
              <w:rPr>
                <w:sz w:val="20"/>
              </w:rPr>
              <w:t xml:space="preserve">caractéristiques du </w:t>
            </w:r>
            <w:r>
              <w:rPr>
                <w:sz w:val="20"/>
              </w:rPr>
              <w:t xml:space="preserve">sexe primaire</w:t>
            </w:r>
            <w:r>
              <w:rPr>
                <w:sz w:val="20"/>
              </w:rPr>
              <w:t xml:space="preserve">, </w:t>
            </w:r>
            <w:r>
              <w:rPr>
                <w:sz w:val="20"/>
              </w:rPr>
              <w:t xml:space="preserve">caractéristiques du </w:t>
            </w:r>
            <w:r>
              <w:rPr>
                <w:sz w:val="20"/>
              </w:rPr>
              <w:t xml:space="preserve">sexe secondaire </w:t>
            </w:r>
            <w:r>
              <w:rPr>
                <w:sz w:val="20"/>
              </w:rPr>
              <w:t xml:space="preserve">ou caractéristiques neutres, </w:t>
            </w:r>
            <w:r>
              <w:rPr>
                <w:sz w:val="20"/>
              </w:rPr>
              <w:t xml:space="preserve">n=57). </w:t>
            </w:r>
            <w:r>
              <w:rPr>
                <w:sz w:val="20"/>
              </w:rPr>
              <w:t xml:space="preserve">Des </w:t>
            </w:r>
            <w:r>
              <w:rPr>
                <w:sz w:val="20"/>
              </w:rPr>
              <w:t xml:space="preserve">différences </w:t>
            </w:r>
            <w:r>
              <w:rPr>
                <w:sz w:val="20"/>
              </w:rPr>
              <w:t xml:space="preserve">statistiquement significatives ont été observ</w:t>
            </w:r>
            <w:r>
              <w:rPr>
                <w:sz w:val="20"/>
              </w:rPr>
              <w:t xml:space="preserve">ées </w:t>
            </w:r>
            <w:r>
              <w:rPr>
                <w:sz w:val="20"/>
              </w:rPr>
              <w:t xml:space="preserve">entre les </w:t>
            </w:r>
            <w:r>
              <w:rPr>
                <w:sz w:val="20"/>
              </w:rPr>
              <w:t xml:space="preserve">hommes et les femmes </w:t>
            </w:r>
            <w:r>
              <w:rPr>
                <w:sz w:val="20"/>
              </w:rPr>
              <w:t xml:space="preserve">assignés à </w:t>
            </w:r>
            <w:r>
              <w:rPr>
                <w:sz w:val="20"/>
              </w:rPr>
              <w:t xml:space="preserve">la </w:t>
            </w:r>
            <w:r>
              <w:rPr>
                <w:sz w:val="20"/>
              </w:rPr>
              <w:t xml:space="preserve">naissance, </w:t>
            </w:r>
            <w:r>
              <w:rPr>
                <w:sz w:val="20"/>
              </w:rPr>
              <w:t xml:space="preserve">les femmes assignées à la naissance </w:t>
            </w:r>
            <w:r>
              <w:rPr>
                <w:sz w:val="20"/>
              </w:rPr>
              <w:t xml:space="preserve">se déclarant </w:t>
            </w:r>
            <w:r>
              <w:rPr>
                <w:sz w:val="20"/>
              </w:rPr>
              <w:t xml:space="preserve">plus </w:t>
            </w:r>
            <w:r>
              <w:rPr>
                <w:sz w:val="20"/>
              </w:rPr>
              <w:t xml:space="preserve">insatisfaites </w:t>
            </w:r>
            <w:r>
              <w:rPr>
                <w:sz w:val="20"/>
              </w:rPr>
              <w:t xml:space="preserve">:</w:t>
            </w:r>
          </w:p>
          <w:p>
            <w:pPr>
              <w:pStyle w:val="TableParagraph"/>
              <w:numPr>
                <w:ilvl w:val="0"/>
                <w:numId w:val="31"/>
              </w:numPr>
              <w:tabs>
                <w:tab w:val="left" w:pos="466"/>
                <w:tab w:val="left" w:pos="467"/>
              </w:tabs>
              <w:spacing w:line="235" w:lineRule="auto"/>
              <w:ind w:end="281"/>
              <w:rPr>
                <w:sz w:val="20"/>
              </w:rPr>
            </w:pPr>
            <w:r>
              <w:rPr>
                <w:sz w:val="20"/>
              </w:rPr>
              <w:t xml:space="preserve">caractéristiques sexuelles primaires,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4,11 </w:t>
            </w:r>
            <w:r>
              <w:rPr>
                <w:sz w:val="20"/>
              </w:rPr>
              <w:t xml:space="preserve">(1,55), </w:t>
            </w:r>
            <w:r>
              <w:rPr>
                <w:sz w:val="20"/>
              </w:rPr>
              <w:t xml:space="preserve">p=0,047.</w:t>
            </w:r>
          </w:p>
          <w:p>
            <w:pPr>
              <w:pStyle w:val="TableParagraph"/>
              <w:numPr>
                <w:ilvl w:val="0"/>
                <w:numId w:val="31"/>
              </w:numPr>
              <w:tabs>
                <w:tab w:val="left" w:pos="466"/>
                <w:tab w:val="left" w:pos="467"/>
              </w:tabs>
              <w:spacing w:before="1" w:line="243" w:lineRule="exact"/>
              <w:ind w:hanging="361"/>
              <w:rPr>
                <w:i/>
                <w:sz w:val="20"/>
              </w:rPr>
            </w:pPr>
            <w:r>
              <w:rPr>
                <w:sz w:val="20"/>
              </w:rPr>
              <w:t xml:space="preserve">caractéristiques </w:t>
            </w:r>
            <w:r>
              <w:rPr>
                <w:sz w:val="20"/>
              </w:rPr>
              <w:t xml:space="preserve">sexuelles </w:t>
            </w:r>
            <w:r>
              <w:rPr>
                <w:sz w:val="20"/>
              </w:rPr>
              <w:t xml:space="preserve">secondaires</w:t>
            </w:r>
            <w:r>
              <w:rPr>
                <w:sz w:val="20"/>
              </w:rPr>
              <w:t xml:space="preserve">, </w:t>
            </w:r>
            <w:r>
              <w:rPr>
                <w:i/>
                <w:sz w:val="20"/>
              </w:rPr>
              <w:t xml:space="preserve">F</w:t>
            </w:r>
          </w:p>
          <w:p>
            <w:pPr>
              <w:pStyle w:val="TableParagraph"/>
              <w:spacing w:line="228" w:lineRule="exact"/>
              <w:ind w:start="466"/>
              <w:rPr>
                <w:sz w:val="20"/>
              </w:rPr>
            </w:pP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11,57 </w:t>
            </w:r>
            <w:r>
              <w:rPr>
                <w:sz w:val="20"/>
              </w:rPr>
              <w:t xml:space="preserve">(1,55), </w:t>
            </w:r>
            <w:r>
              <w:rPr>
                <w:sz w:val="20"/>
              </w:rPr>
              <w:t xml:space="preserve">p=0,001.</w:t>
            </w:r>
          </w:p>
          <w:p>
            <w:pPr>
              <w:pStyle w:val="TableParagraph"/>
              <w:ind w:start="106" w:end="118"/>
              <w:rPr>
                <w:sz w:val="20"/>
              </w:rPr>
            </w:pPr>
            <w:r>
              <w:rPr>
                <w:sz w:val="20"/>
              </w:rPr>
              <w:t xml:space="preserve">Mais aucune différence statistiquement significative </w:t>
            </w:r>
            <w:r>
              <w:rPr>
                <w:sz w:val="20"/>
              </w:rPr>
              <w:t xml:space="preserve">entre les hommes et les </w:t>
            </w:r>
            <w:r>
              <w:rPr>
                <w:sz w:val="20"/>
              </w:rPr>
              <w:t xml:space="preserve">femmes </w:t>
            </w:r>
            <w:r>
              <w:rPr>
                <w:sz w:val="20"/>
              </w:rPr>
              <w:t xml:space="preserve">assignés à la naissance n</w:t>
            </w:r>
            <w:r>
              <w:rPr>
                <w:sz w:val="20"/>
              </w:rPr>
              <w:t xml:space="preserve">'</w:t>
            </w:r>
            <w:r>
              <w:rPr>
                <w:sz w:val="20"/>
              </w:rPr>
              <w:t xml:space="preserve">a été trouvée </w:t>
            </w:r>
            <w:r>
              <w:rPr>
                <w:sz w:val="20"/>
              </w:rPr>
              <w:t xml:space="preserve">pour les caractéristiques neutres. Cependant, il existe </w:t>
            </w:r>
            <w:r>
              <w:rPr>
                <w:sz w:val="20"/>
              </w:rPr>
              <w:t xml:space="preserve">un effet d'interaction significatif </w:t>
            </w:r>
            <w:r>
              <w:rPr>
                <w:sz w:val="20"/>
              </w:rPr>
              <w:t xml:space="preserve">entre le </w:t>
            </w:r>
            <w:r>
              <w:rPr>
                <w:sz w:val="20"/>
              </w:rPr>
              <w:t xml:space="preserve">sexe </w:t>
            </w:r>
            <w:r>
              <w:rPr>
                <w:sz w:val="20"/>
              </w:rPr>
              <w:t xml:space="preserve">assigné à </w:t>
            </w:r>
            <w:r>
              <w:rPr>
                <w:sz w:val="20"/>
              </w:rPr>
              <w:t xml:space="preserve">la </w:t>
            </w:r>
            <w:r>
              <w:rPr>
                <w:sz w:val="20"/>
              </w:rPr>
              <w:t xml:space="preserve">naissance </w:t>
            </w:r>
            <w:r>
              <w:rPr>
                <w:sz w:val="20"/>
              </w:rPr>
              <w:t xml:space="preserve">et </w:t>
            </w:r>
            <w:r>
              <w:rPr>
                <w:sz w:val="20"/>
              </w:rPr>
              <w:t xml:space="preserve">les </w:t>
            </w:r>
            <w:r>
              <w:rPr>
                <w:sz w:val="20"/>
              </w:rPr>
              <w:t xml:space="preserve">changements de la dysphorie de genre entre T0 </w:t>
            </w:r>
            <w:r>
              <w:rPr>
                <w:sz w:val="20"/>
              </w:rPr>
              <w:t xml:space="preserve">et T1 ; les femmes assignées à la naissance </w:t>
            </w:r>
            <w:r>
              <w:rPr>
                <w:sz w:val="20"/>
              </w:rPr>
              <w:t xml:space="preserve">sont devenues plus insatisfaites de leurs </w:t>
            </w:r>
            <w:r>
              <w:rPr>
                <w:sz w:val="20"/>
              </w:rPr>
              <w:t xml:space="preserve">caractéristiques sexuelles secondaires par rapport </w:t>
            </w:r>
            <w:r>
              <w:rPr>
                <w:sz w:val="20"/>
              </w:rPr>
              <w:t xml:space="preserve">aux </w:t>
            </w:r>
            <w:r>
              <w:rPr>
                <w:sz w:val="20"/>
              </w:rPr>
              <w:t xml:space="preserve">hommes </w:t>
            </w:r>
            <w:r>
              <w:rPr>
                <w:sz w:val="20"/>
              </w:rPr>
              <w:t xml:space="preserve">assignés à la </w:t>
            </w:r>
            <w:r>
              <w:rPr>
                <w:sz w:val="20"/>
              </w:rPr>
              <w:t xml:space="preserve">naissance,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14.59 </w:t>
            </w:r>
            <w:r>
              <w:rPr>
                <w:sz w:val="20"/>
              </w:rPr>
              <w:t xml:space="preserve">(1,55), </w:t>
            </w:r>
            <w:r>
              <w:rPr>
                <w:sz w:val="20"/>
              </w:rPr>
              <w:t xml:space="preserve">p&lt;0.001) </w:t>
            </w:r>
            <w:r>
              <w:rPr>
                <w:spacing w:val="-2"/>
                <w:sz w:val="20"/>
              </w:rPr>
              <w:t xml:space="preserve">et</w:t>
            </w:r>
          </w:p>
          <w:p>
            <w:pPr>
              <w:pStyle w:val="TableParagraph"/>
              <w:spacing w:before="1"/>
              <w:ind w:start="106" w:end="478"/>
              <w:rPr>
                <w:sz w:val="20"/>
              </w:rPr>
            </w:pPr>
            <w:r>
              <w:rPr>
                <w:sz w:val="20"/>
              </w:rPr>
              <w:t xml:space="preserve">caractéristiques neutres,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w:t>
            </w:r>
            <w:r>
              <w:rPr>
                <w:sz w:val="20"/>
              </w:rPr>
              <w:t xml:space="preserve">15,26 </w:t>
            </w:r>
            <w:r>
              <w:rPr>
                <w:sz w:val="20"/>
              </w:rPr>
              <w:t xml:space="preserve">(1,55), p&lt;0,001).</w:t>
            </w:r>
          </w:p>
          <w:p w:rsidR="00432386" w:rsidRDefault="00432386">
            <w:pPr>
              <w:pStyle w:val="TableParagraph"/>
              <w:spacing w:before="10"/>
              <w:rPr>
                <w:sz w:val="19"/>
              </w:rPr>
            </w:pPr>
          </w:p>
          <w:p>
            <w:pPr>
              <w:pStyle w:val="TableParagraph"/>
              <w:ind w:start="106"/>
              <w:rPr>
                <w:b/>
                <w:i/>
                <w:sz w:val="20"/>
              </w:rPr>
            </w:pPr>
            <w:r>
              <w:rPr>
                <w:b/>
                <w:i/>
                <w:sz w:val="20"/>
              </w:rPr>
              <w:t xml:space="preserve">Impact </w:t>
            </w:r>
            <w:r>
              <w:rPr>
                <w:b/>
                <w:i/>
                <w:sz w:val="20"/>
              </w:rPr>
              <w:t xml:space="preserve">psychosocial</w:t>
            </w:r>
          </w:p>
          <w:p>
            <w:pPr>
              <w:pStyle w:val="TableParagraph"/>
              <w:spacing w:before="1"/>
              <w:ind w:start="106" w:end="151"/>
              <w:rPr>
                <w:sz w:val="20"/>
              </w:rPr>
            </w:pPr>
            <w:r>
              <w:rPr>
                <w:sz w:val="20"/>
              </w:rPr>
              <w:t xml:space="preserve">L'</w:t>
            </w:r>
            <w:r>
              <w:rPr>
                <w:sz w:val="20"/>
              </w:rPr>
              <w:t xml:space="preserve">impact </w:t>
            </w:r>
            <w:r>
              <w:rPr>
                <w:sz w:val="20"/>
              </w:rPr>
              <w:t xml:space="preserve">psychosocial </w:t>
            </w:r>
            <w:r>
              <w:rPr>
                <w:sz w:val="20"/>
              </w:rPr>
              <w:t xml:space="preserve">a été </w:t>
            </w:r>
            <w:r>
              <w:rPr>
                <w:sz w:val="20"/>
              </w:rPr>
              <w:t xml:space="preserve">évalué </w:t>
            </w:r>
            <w:r>
              <w:rPr>
                <w:sz w:val="20"/>
              </w:rPr>
              <w:t xml:space="preserve">à l'aide de </w:t>
            </w:r>
            <w:r>
              <w:rPr>
                <w:sz w:val="20"/>
              </w:rPr>
              <w:t xml:space="preserve">la Child Behaviour Checklist </w:t>
            </w:r>
            <w:r>
              <w:rPr>
                <w:sz w:val="20"/>
              </w:rPr>
              <w:t xml:space="preserve">(CBCL) et du Youth Self-Report (YSR) </w:t>
            </w:r>
            <w:r>
              <w:rPr>
                <w:sz w:val="20"/>
              </w:rPr>
              <w:t xml:space="preserve">auprès des parents et des adolescents, respectivement. L'</w:t>
            </w:r>
            <w:r>
              <w:rPr>
                <w:sz w:val="20"/>
              </w:rPr>
              <w:t xml:space="preserve">échelle d'évaluation globale des enfants </w:t>
            </w:r>
            <w:r>
              <w:rPr>
                <w:sz w:val="20"/>
              </w:rPr>
              <w:t xml:space="preserve">a </w:t>
            </w:r>
            <w:r>
              <w:rPr>
                <w:sz w:val="20"/>
              </w:rPr>
              <w:t xml:space="preserve">également été </w:t>
            </w:r>
            <w:r>
              <w:rPr>
                <w:sz w:val="20"/>
              </w:rPr>
              <w:t xml:space="preserve">rapportée.</w:t>
            </w:r>
          </w:p>
          <w:p>
            <w:pPr>
              <w:pStyle w:val="TableParagraph"/>
              <w:spacing w:line="230" w:lineRule="exact"/>
              <w:ind w:start="106" w:end="118"/>
              <w:rPr>
                <w:sz w:val="20"/>
              </w:rPr>
            </w:pPr>
            <w:r>
              <w:rPr>
                <w:sz w:val="20"/>
              </w:rPr>
              <w:t xml:space="preserve">On a constaté une diminution </w:t>
            </w:r>
            <w:r>
              <w:rPr>
                <w:sz w:val="20"/>
              </w:rPr>
              <w:t xml:space="preserve">statistiquement significative </w:t>
            </w:r>
            <w:r>
              <w:rPr>
                <w:sz w:val="20"/>
              </w:rPr>
              <w:t xml:space="preserve">de la moyenne (±SD) du score total, </w:t>
            </w:r>
            <w:r>
              <w:rPr>
                <w:sz w:val="20"/>
              </w:rPr>
              <w:t xml:space="preserve">internalisant </w:t>
            </w:r>
            <w:r>
              <w:rPr>
                <w:sz w:val="20"/>
              </w:rPr>
              <w:t xml:space="preserve">et </w:t>
            </w:r>
            <w:r>
              <w:rPr>
                <w:sz w:val="20"/>
              </w:rPr>
              <w:t xml:space="preserve">externalisant3 </w:t>
            </w:r>
            <w:r>
              <w:rPr>
                <w:sz w:val="20"/>
              </w:rPr>
              <w:t xml:space="preserve">des parents.</w:t>
            </w:r>
          </w:p>
        </w:tc>
        <w:tc>
          <w:tcPr>
            <w:tcW w:w="3203"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9066"/>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ind w:start="106"/>
              <w:rPr>
                <w:sz w:val="20"/>
              </w:rPr>
            </w:pPr>
            <w:r>
              <w:rPr>
                <w:sz w:val="20"/>
              </w:rPr>
              <w:t xml:space="preserve">Scores CBCL entre T0 et T14 </w:t>
            </w:r>
            <w:r>
              <w:rPr>
                <w:sz w:val="20"/>
              </w:rPr>
              <w:t xml:space="preserve">pour tous les </w:t>
            </w:r>
            <w:r>
              <w:rPr>
                <w:sz w:val="20"/>
              </w:rPr>
              <w:t xml:space="preserve">adolescents (n=54) :</w:t>
            </w:r>
          </w:p>
          <w:p>
            <w:pPr>
              <w:pStyle w:val="TableParagraph"/>
              <w:numPr>
                <w:ilvl w:val="0"/>
                <w:numId w:val="30"/>
              </w:numPr>
              <w:tabs>
                <w:tab w:val="left" w:pos="466"/>
                <w:tab w:val="left" w:pos="467"/>
              </w:tabs>
              <w:spacing w:line="237" w:lineRule="auto"/>
              <w:ind w:end="160"/>
              <w:rPr>
                <w:sz w:val="20"/>
              </w:rPr>
            </w:pPr>
            <w:r>
              <w:rPr>
                <w:sz w:val="20"/>
              </w:rPr>
              <w:t xml:space="preserve">Score total (T0 - T1) 60,70 [±12,76] </w:t>
            </w:r>
            <w:r>
              <w:rPr>
                <w:sz w:val="20"/>
              </w:rPr>
              <w:t xml:space="preserve">contre </w:t>
            </w:r>
            <w:r>
              <w:rPr>
                <w:sz w:val="20"/>
              </w:rPr>
              <w:t xml:space="preserve">54,46 </w:t>
            </w:r>
            <w:r>
              <w:rPr>
                <w:sz w:val="20"/>
              </w:rPr>
              <w:t xml:space="preserve">[±11,23],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26,17 </w:t>
            </w:r>
            <w:r>
              <w:rPr>
                <w:sz w:val="20"/>
              </w:rPr>
              <w:t xml:space="preserve">(1,52), </w:t>
            </w:r>
            <w:r>
              <w:rPr>
                <w:sz w:val="20"/>
              </w:rPr>
              <w:t xml:space="preserve">p&lt;0,001.</w:t>
            </w:r>
          </w:p>
          <w:p>
            <w:pPr>
              <w:pStyle w:val="TableParagraph"/>
              <w:numPr>
                <w:ilvl w:val="0"/>
                <w:numId w:val="30"/>
              </w:numPr>
              <w:tabs>
                <w:tab w:val="left" w:pos="466"/>
                <w:tab w:val="left" w:pos="467"/>
              </w:tabs>
              <w:spacing w:line="237" w:lineRule="auto"/>
              <w:ind w:end="216"/>
              <w:rPr>
                <w:sz w:val="20"/>
              </w:rPr>
            </w:pPr>
            <w:r>
              <w:rPr>
                <w:sz w:val="20"/>
              </w:rPr>
              <w:t xml:space="preserve">Score d'internalisation (T0 - T1) 61,00 </w:t>
            </w:r>
            <w:r>
              <w:rPr>
                <w:sz w:val="20"/>
              </w:rPr>
              <w:t xml:space="preserve">[±12,21] contre 54,56 [±10,22],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22,93 </w:t>
            </w:r>
            <w:r>
              <w:rPr>
                <w:sz w:val="20"/>
              </w:rPr>
              <w:t xml:space="preserve">(1,52), </w:t>
            </w:r>
            <w:r>
              <w:rPr>
                <w:sz w:val="20"/>
              </w:rPr>
              <w:t xml:space="preserve">p&lt;0,001.</w:t>
            </w:r>
          </w:p>
          <w:p>
            <w:pPr>
              <w:pStyle w:val="TableParagraph"/>
              <w:numPr>
                <w:ilvl w:val="0"/>
                <w:numId w:val="30"/>
              </w:numPr>
              <w:tabs>
                <w:tab w:val="left" w:pos="466"/>
                <w:tab w:val="left" w:pos="467"/>
              </w:tabs>
              <w:spacing w:before="2"/>
              <w:ind w:end="216"/>
              <w:rPr>
                <w:sz w:val="20"/>
              </w:rPr>
            </w:pPr>
            <w:r>
              <w:rPr>
                <w:sz w:val="20"/>
              </w:rPr>
              <w:t xml:space="preserve">Score d'extériorisation (T0 - T1) 58,04 </w:t>
            </w:r>
            <w:r>
              <w:rPr>
                <w:sz w:val="20"/>
              </w:rPr>
              <w:t xml:space="preserve">[±12,99] contre 53,81 [±11,86],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12,04 </w:t>
            </w:r>
            <w:r>
              <w:rPr>
                <w:sz w:val="20"/>
              </w:rPr>
              <w:t xml:space="preserve">(1,52), </w:t>
            </w:r>
            <w:r>
              <w:rPr>
                <w:sz w:val="20"/>
              </w:rPr>
              <w:t xml:space="preserve">p=0</w:t>
            </w:r>
            <w:r>
              <w:rPr>
                <w:sz w:val="20"/>
              </w:rPr>
              <w:t xml:space="preserve">,001.</w:t>
            </w:r>
          </w:p>
          <w:p>
            <w:pPr>
              <w:pStyle w:val="TableParagraph"/>
              <w:ind w:start="106" w:end="118"/>
              <w:rPr>
                <w:sz w:val="20"/>
              </w:rPr>
            </w:pPr>
            <w:r>
              <w:rPr>
                <w:sz w:val="20"/>
              </w:rPr>
              <w:t xml:space="preserve">Il n'y avait pas de </w:t>
            </w:r>
            <w:r>
              <w:rPr>
                <w:sz w:val="20"/>
              </w:rPr>
              <w:t xml:space="preserve">différence </w:t>
            </w:r>
            <w:r>
              <w:rPr>
                <w:sz w:val="20"/>
              </w:rPr>
              <w:t xml:space="preserve">statistiquement significative </w:t>
            </w:r>
            <w:r>
              <w:rPr>
                <w:sz w:val="20"/>
              </w:rPr>
              <w:t xml:space="preserve">entre les </w:t>
            </w:r>
            <w:r>
              <w:rPr>
                <w:sz w:val="20"/>
              </w:rPr>
              <w:t xml:space="preserve">garçons et les filles du </w:t>
            </w:r>
            <w:r>
              <w:rPr>
                <w:sz w:val="20"/>
              </w:rPr>
              <w:t xml:space="preserve">sexe assigné à la naissance </w:t>
            </w:r>
            <w:r>
              <w:rPr>
                <w:sz w:val="20"/>
              </w:rPr>
              <w:t xml:space="preserve">pour le </w:t>
            </w:r>
            <w:r>
              <w:rPr>
                <w:sz w:val="20"/>
              </w:rPr>
              <w:t xml:space="preserve">score </w:t>
            </w:r>
            <w:r>
              <w:rPr>
                <w:sz w:val="20"/>
              </w:rPr>
              <w:t xml:space="preserve">total </w:t>
            </w:r>
            <w:r>
              <w:rPr>
                <w:sz w:val="20"/>
              </w:rPr>
              <w:t xml:space="preserve">et le score d'</w:t>
            </w:r>
            <w:r>
              <w:rPr>
                <w:sz w:val="20"/>
              </w:rPr>
              <w:t xml:space="preserve">internalisation de la </w:t>
            </w:r>
            <w:r>
              <w:rPr>
                <w:sz w:val="20"/>
              </w:rPr>
              <w:t xml:space="preserve">CBCL</w:t>
            </w:r>
            <w:r>
              <w:rPr>
                <w:sz w:val="20"/>
              </w:rPr>
              <w:t xml:space="preserve">, mais il </w:t>
            </w:r>
            <w:r>
              <w:rPr>
                <w:sz w:val="20"/>
              </w:rPr>
              <w:t xml:space="preserve">y avait une différence significative pour le </w:t>
            </w:r>
            <w:r>
              <w:rPr>
                <w:sz w:val="20"/>
              </w:rPr>
              <w:t xml:space="preserve">score d'</w:t>
            </w:r>
            <w:r>
              <w:rPr>
                <w:sz w:val="20"/>
              </w:rPr>
              <w:t xml:space="preserve">externalisation </w:t>
            </w:r>
            <w:r>
              <w:rPr>
                <w:sz w:val="20"/>
              </w:rPr>
              <w:t xml:space="preserve">:</w:t>
            </w:r>
          </w:p>
          <w:p>
            <w:pPr>
              <w:pStyle w:val="TableParagraph"/>
              <w:numPr>
                <w:ilvl w:val="0"/>
                <w:numId w:val="30"/>
              </w:numPr>
              <w:tabs>
                <w:tab w:val="left" w:pos="466"/>
                <w:tab w:val="left" w:pos="467"/>
              </w:tabs>
              <w:ind w:end="393"/>
              <w:rPr>
                <w:sz w:val="20"/>
              </w:rPr>
            </w:pPr>
            <w:r>
              <w:rPr>
                <w:sz w:val="20"/>
              </w:rPr>
              <w:t xml:space="preserve">Score d'</w:t>
            </w:r>
            <w:r>
              <w:rPr>
                <w:sz w:val="20"/>
              </w:rPr>
              <w:t xml:space="preserve">extériorisation</w:t>
            </w:r>
            <w:r>
              <w:rPr>
                <w:sz w:val="20"/>
              </w:rPr>
              <w:t xml:space="preserve">,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6,29 </w:t>
            </w:r>
            <w:r>
              <w:rPr>
                <w:sz w:val="20"/>
              </w:rPr>
              <w:t xml:space="preserve">(1,52), </w:t>
            </w:r>
            <w:r>
              <w:rPr>
                <w:sz w:val="20"/>
              </w:rPr>
              <w:t xml:space="preserve">p=0</w:t>
            </w:r>
            <w:r>
              <w:rPr>
                <w:sz w:val="20"/>
              </w:rPr>
              <w:t xml:space="preserve">,015.</w:t>
            </w:r>
          </w:p>
          <w:p>
            <w:pPr>
              <w:pStyle w:val="TableParagraph"/>
              <w:ind w:start="106" w:end="497"/>
              <w:rPr>
                <w:sz w:val="20"/>
              </w:rPr>
            </w:pPr>
            <w:r>
              <w:rPr>
                <w:sz w:val="20"/>
              </w:rPr>
              <w:t xml:space="preserve">Une </w:t>
            </w:r>
            <w:r>
              <w:rPr>
                <w:sz w:val="20"/>
              </w:rPr>
              <w:t xml:space="preserve">diminution </w:t>
            </w:r>
            <w:r>
              <w:rPr>
                <w:sz w:val="20"/>
              </w:rPr>
              <w:t xml:space="preserve">statistiquement significative </w:t>
            </w:r>
            <w:r>
              <w:rPr>
                <w:sz w:val="20"/>
              </w:rPr>
              <w:t xml:space="preserve">de la moyenne (±SD) des </w:t>
            </w:r>
            <w:r>
              <w:rPr>
                <w:sz w:val="20"/>
              </w:rPr>
              <w:t xml:space="preserve">scores </w:t>
            </w:r>
            <w:r>
              <w:rPr>
                <w:sz w:val="20"/>
              </w:rPr>
              <w:t xml:space="preserve">totaux, </w:t>
            </w:r>
            <w:r>
              <w:rPr>
                <w:sz w:val="20"/>
              </w:rPr>
              <w:t xml:space="preserve">internalisants et externalisants3 </w:t>
            </w:r>
            <w:r>
              <w:rPr>
                <w:sz w:val="20"/>
              </w:rPr>
              <w:t xml:space="preserve">YSR </w:t>
            </w:r>
            <w:r>
              <w:rPr>
                <w:sz w:val="20"/>
              </w:rPr>
              <w:t xml:space="preserve">entre T0 et T1 a été observée pour tous les </w:t>
            </w:r>
            <w:r>
              <w:rPr>
                <w:sz w:val="20"/>
              </w:rPr>
              <w:t xml:space="preserve">adolescents (n=54) :</w:t>
            </w:r>
          </w:p>
          <w:p>
            <w:pPr>
              <w:pStyle w:val="TableParagraph"/>
              <w:numPr>
                <w:ilvl w:val="0"/>
                <w:numId w:val="30"/>
              </w:numPr>
              <w:tabs>
                <w:tab w:val="left" w:pos="466"/>
                <w:tab w:val="left" w:pos="467"/>
              </w:tabs>
              <w:spacing w:before="1" w:line="237" w:lineRule="auto"/>
              <w:ind w:end="160"/>
              <w:rPr>
                <w:sz w:val="20"/>
              </w:rPr>
            </w:pPr>
            <w:r>
              <w:rPr>
                <w:sz w:val="20"/>
              </w:rPr>
              <w:t xml:space="preserve">Score total (T0 - T1) 55,46 [±11,56] </w:t>
            </w:r>
            <w:r>
              <w:rPr>
                <w:sz w:val="20"/>
              </w:rPr>
              <w:t xml:space="preserve">contre </w:t>
            </w:r>
            <w:r>
              <w:rPr>
                <w:sz w:val="20"/>
              </w:rPr>
              <w:t xml:space="preserve">50,00 </w:t>
            </w:r>
            <w:r>
              <w:rPr>
                <w:sz w:val="20"/>
              </w:rPr>
              <w:t xml:space="preserve">[±10,56],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16,24 </w:t>
            </w:r>
            <w:r>
              <w:rPr>
                <w:sz w:val="20"/>
              </w:rPr>
              <w:t xml:space="preserve">(1,52), </w:t>
            </w:r>
            <w:r>
              <w:rPr>
                <w:sz w:val="20"/>
              </w:rPr>
              <w:t xml:space="preserve">p&lt;0,001.</w:t>
            </w:r>
          </w:p>
          <w:p>
            <w:pPr>
              <w:pStyle w:val="TableParagraph"/>
              <w:numPr>
                <w:ilvl w:val="0"/>
                <w:numId w:val="30"/>
              </w:numPr>
              <w:tabs>
                <w:tab w:val="left" w:pos="466"/>
                <w:tab w:val="left" w:pos="467"/>
              </w:tabs>
              <w:spacing w:before="6" w:line="237" w:lineRule="auto"/>
              <w:ind w:end="216"/>
              <w:rPr>
                <w:sz w:val="20"/>
              </w:rPr>
            </w:pPr>
            <w:r>
              <w:rPr>
                <w:sz w:val="20"/>
              </w:rPr>
              <w:t xml:space="preserve">Score d'internalisation (T0 - T1) 56,04 </w:t>
            </w:r>
            <w:r>
              <w:rPr>
                <w:sz w:val="20"/>
              </w:rPr>
              <w:t xml:space="preserve">[±12,49] contre 49,78 [±11,</w:t>
            </w:r>
            <w:r>
              <w:rPr>
                <w:sz w:val="20"/>
              </w:rPr>
              <w:t xml:space="preserve">63],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15,05 </w:t>
            </w:r>
            <w:r>
              <w:rPr>
                <w:sz w:val="20"/>
              </w:rPr>
              <w:t xml:space="preserve">(1,52), </w:t>
            </w:r>
            <w:r>
              <w:rPr>
                <w:sz w:val="20"/>
              </w:rPr>
              <w:t xml:space="preserve">p&lt;0,001.</w:t>
            </w:r>
          </w:p>
          <w:p>
            <w:pPr>
              <w:pStyle w:val="TableParagraph"/>
              <w:numPr>
                <w:ilvl w:val="0"/>
                <w:numId w:val="30"/>
              </w:numPr>
              <w:tabs>
                <w:tab w:val="left" w:pos="467"/>
              </w:tabs>
              <w:spacing w:before="6" w:line="237" w:lineRule="auto"/>
              <w:ind w:end="329"/>
              <w:jc w:val="both"/>
              <w:rPr>
                <w:sz w:val="20"/>
              </w:rPr>
            </w:pPr>
            <w:r>
              <w:rPr>
                <w:sz w:val="20"/>
              </w:rPr>
              <w:t xml:space="preserve">Score d'extériorisation (T0 - T1) 53,30 </w:t>
            </w:r>
            <w:r>
              <w:rPr>
                <w:sz w:val="20"/>
              </w:rPr>
              <w:t xml:space="preserve">[±11,87] contre 49,98 [±9,35],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7,26 </w:t>
            </w:r>
            <w:r>
              <w:rPr>
                <w:sz w:val="20"/>
              </w:rPr>
              <w:t xml:space="preserve">(1,52), </w:t>
            </w:r>
            <w:r>
              <w:rPr>
                <w:sz w:val="20"/>
              </w:rPr>
              <w:t xml:space="preserve">p=0</w:t>
            </w:r>
            <w:r>
              <w:rPr>
                <w:sz w:val="20"/>
              </w:rPr>
              <w:t xml:space="preserve">,009.</w:t>
            </w:r>
          </w:p>
          <w:p>
            <w:pPr>
              <w:pStyle w:val="TableParagraph"/>
              <w:spacing w:before="2"/>
              <w:ind w:start="106" w:end="266"/>
              <w:rPr>
                <w:sz w:val="20"/>
              </w:rPr>
            </w:pPr>
            <w:r>
              <w:rPr>
                <w:sz w:val="20"/>
              </w:rPr>
              <w:t xml:space="preserve">Il n'y avait pas de </w:t>
            </w:r>
            <w:r>
              <w:rPr>
                <w:sz w:val="20"/>
              </w:rPr>
              <w:t xml:space="preserve">différence </w:t>
            </w:r>
            <w:r>
              <w:rPr>
                <w:sz w:val="20"/>
              </w:rPr>
              <w:t xml:space="preserve">statistiquement significative </w:t>
            </w:r>
            <w:r>
              <w:rPr>
                <w:sz w:val="20"/>
              </w:rPr>
              <w:t xml:space="preserve">entre les </w:t>
            </w:r>
            <w:r>
              <w:rPr>
                <w:sz w:val="20"/>
              </w:rPr>
              <w:t xml:space="preserve">garçons et les filles du </w:t>
            </w:r>
            <w:r>
              <w:rPr>
                <w:sz w:val="20"/>
              </w:rPr>
              <w:t xml:space="preserve">sexe </w:t>
            </w:r>
            <w:r>
              <w:rPr>
                <w:sz w:val="20"/>
              </w:rPr>
              <w:t xml:space="preserve">assigné à </w:t>
            </w:r>
            <w:r>
              <w:rPr>
                <w:sz w:val="20"/>
              </w:rPr>
              <w:t xml:space="preserve">la </w:t>
            </w:r>
            <w:r>
              <w:rPr>
                <w:sz w:val="20"/>
              </w:rPr>
              <w:t xml:space="preserve">naissance </w:t>
            </w:r>
            <w:r>
              <w:rPr>
                <w:sz w:val="20"/>
              </w:rPr>
              <w:t xml:space="preserve">pour le </w:t>
            </w:r>
            <w:r>
              <w:rPr>
                <w:sz w:val="20"/>
              </w:rPr>
              <w:t xml:space="preserve">score </w:t>
            </w:r>
            <w:r>
              <w:rPr>
                <w:sz w:val="20"/>
              </w:rPr>
              <w:t xml:space="preserve">total </w:t>
            </w:r>
            <w:r>
              <w:rPr>
                <w:sz w:val="20"/>
              </w:rPr>
              <w:t xml:space="preserve">et le </w:t>
            </w:r>
            <w:r>
              <w:rPr>
                <w:sz w:val="20"/>
              </w:rPr>
              <w:t xml:space="preserve">score d'</w:t>
            </w:r>
            <w:r>
              <w:rPr>
                <w:sz w:val="20"/>
              </w:rPr>
              <w:t xml:space="preserve">internalisation du YSR</w:t>
            </w:r>
            <w:r>
              <w:rPr>
                <w:sz w:val="20"/>
              </w:rPr>
              <w:t xml:space="preserve">, mais...</w:t>
            </w:r>
          </w:p>
          <w:p>
            <w:pPr>
              <w:pStyle w:val="TableParagraph"/>
              <w:spacing w:line="230" w:lineRule="exact"/>
              <w:ind w:start="106" w:end="321"/>
              <w:rPr>
                <w:sz w:val="20"/>
              </w:rPr>
            </w:pPr>
            <w:r>
              <w:rPr>
                <w:sz w:val="20"/>
              </w:rPr>
              <w:t xml:space="preserve">il </w:t>
            </w:r>
            <w:r>
              <w:rPr>
                <w:sz w:val="20"/>
              </w:rPr>
              <w:t xml:space="preserve">y a </w:t>
            </w:r>
            <w:r>
              <w:rPr>
                <w:sz w:val="20"/>
              </w:rPr>
              <w:t xml:space="preserve">une </w:t>
            </w:r>
            <w:r>
              <w:rPr>
                <w:sz w:val="20"/>
              </w:rPr>
              <w:t xml:space="preserve">différence </w:t>
            </w:r>
            <w:r>
              <w:rPr>
                <w:sz w:val="20"/>
              </w:rPr>
              <w:t xml:space="preserve">significative </w:t>
            </w:r>
            <w:r>
              <w:rPr>
                <w:sz w:val="20"/>
              </w:rPr>
              <w:t xml:space="preserve">pour </w:t>
            </w:r>
            <w:r>
              <w:rPr>
                <w:sz w:val="20"/>
              </w:rPr>
              <w:t xml:space="preserve">le </w:t>
            </w:r>
            <w:r>
              <w:rPr>
                <w:sz w:val="20"/>
              </w:rPr>
              <w:t xml:space="preserve">score d'</w:t>
            </w:r>
            <w:r>
              <w:rPr>
                <w:sz w:val="20"/>
              </w:rPr>
              <w:t xml:space="preserve">externalisation </w:t>
            </w:r>
            <w:r>
              <w:rPr>
                <w:sz w:val="20"/>
              </w:rPr>
              <w:t xml:space="preserve">:</w:t>
            </w:r>
          </w:p>
        </w:tc>
        <w:tc>
          <w:tcPr>
            <w:tcW w:w="3203"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4846"/>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numPr>
                <w:ilvl w:val="0"/>
                <w:numId w:val="29"/>
              </w:numPr>
              <w:tabs>
                <w:tab w:val="left" w:pos="466"/>
                <w:tab w:val="left" w:pos="467"/>
              </w:tabs>
              <w:ind w:end="393"/>
              <w:rPr>
                <w:sz w:val="20"/>
              </w:rPr>
            </w:pPr>
            <w:r>
              <w:rPr>
                <w:sz w:val="20"/>
              </w:rPr>
              <w:t xml:space="preserve">Score d'</w:t>
            </w:r>
            <w:r>
              <w:rPr>
                <w:sz w:val="20"/>
              </w:rPr>
              <w:t xml:space="preserve">extériorisation</w:t>
            </w:r>
            <w:r>
              <w:rPr>
                <w:sz w:val="20"/>
              </w:rPr>
              <w:t xml:space="preserve">, </w:t>
            </w:r>
            <w:r>
              <w:rPr>
                <w:i/>
                <w:sz w:val="20"/>
              </w:rPr>
              <w:t xml:space="preserve">F </w:t>
            </w:r>
            <w:r>
              <w:rPr>
                <w:sz w:val="20"/>
              </w:rPr>
              <w:t xml:space="preserve">(</w:t>
            </w:r>
            <w:r>
              <w:rPr>
                <w:i/>
                <w:sz w:val="20"/>
              </w:rPr>
              <w:t xml:space="preserve">df, </w:t>
            </w:r>
            <w:r>
              <w:rPr>
                <w:i/>
                <w:sz w:val="20"/>
              </w:rPr>
              <w:t xml:space="preserve">errdf</w:t>
            </w:r>
            <w:r>
              <w:rPr>
                <w:sz w:val="20"/>
              </w:rPr>
              <w:t xml:space="preserve">), </w:t>
            </w:r>
            <w:r>
              <w:rPr>
                <w:i/>
                <w:sz w:val="20"/>
              </w:rPr>
              <w:t xml:space="preserve">P </w:t>
            </w:r>
            <w:r>
              <w:rPr>
                <w:sz w:val="20"/>
              </w:rPr>
              <w:t xml:space="preserve">: </w:t>
            </w:r>
            <w:r>
              <w:rPr>
                <w:sz w:val="20"/>
              </w:rPr>
              <w:t xml:space="preserve">9,14 </w:t>
            </w:r>
            <w:r>
              <w:rPr>
                <w:sz w:val="20"/>
              </w:rPr>
              <w:t xml:space="preserve">(1,52), </w:t>
            </w:r>
            <w:r>
              <w:rPr>
                <w:sz w:val="20"/>
              </w:rPr>
              <w:t xml:space="preserve">p=0</w:t>
            </w:r>
            <w:r>
              <w:rPr>
                <w:sz w:val="20"/>
              </w:rPr>
              <w:t xml:space="preserve">,004.</w:t>
            </w:r>
          </w:p>
          <w:p>
            <w:pPr>
              <w:pStyle w:val="TableParagraph"/>
              <w:ind w:start="106" w:end="100"/>
              <w:rPr>
                <w:sz w:val="20"/>
              </w:rPr>
            </w:pPr>
            <w:r>
              <w:rPr>
                <w:sz w:val="20"/>
              </w:rPr>
              <w:t xml:space="preserve">On a constaté une augmentation </w:t>
            </w:r>
            <w:r>
              <w:rPr>
                <w:sz w:val="20"/>
              </w:rPr>
              <w:t xml:space="preserve">statistiquement significative </w:t>
            </w:r>
            <w:r>
              <w:rPr>
                <w:sz w:val="20"/>
              </w:rPr>
              <w:t xml:space="preserve">du score moyen (±SD) de l'échelle CGAS </w:t>
            </w:r>
            <w:r>
              <w:rPr>
                <w:sz w:val="20"/>
              </w:rPr>
              <w:t xml:space="preserve">entre </w:t>
            </w:r>
            <w:r>
              <w:rPr>
                <w:sz w:val="20"/>
              </w:rPr>
              <w:t xml:space="preserve">T0 </w:t>
            </w:r>
            <w:r>
              <w:rPr>
                <w:sz w:val="20"/>
              </w:rPr>
              <w:t xml:space="preserve">et </w:t>
            </w:r>
            <w:r>
              <w:rPr>
                <w:sz w:val="20"/>
              </w:rPr>
              <w:t xml:space="preserve">T1 </w:t>
            </w:r>
            <w:r>
              <w:rPr>
                <w:sz w:val="20"/>
              </w:rPr>
              <w:t xml:space="preserve">(n=41), </w:t>
            </w:r>
            <w:r>
              <w:rPr>
                <w:sz w:val="20"/>
              </w:rPr>
              <w:t xml:space="preserve">70,24 </w:t>
            </w:r>
            <w:r>
              <w:rPr>
                <w:sz w:val="20"/>
              </w:rPr>
              <w:t xml:space="preserve">[±10,12] </w:t>
            </w:r>
            <w:r>
              <w:rPr>
                <w:sz w:val="20"/>
              </w:rPr>
              <w:t xml:space="preserve">contre 73,90 [±9,63],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8,76 </w:t>
            </w:r>
            <w:r>
              <w:rPr>
                <w:sz w:val="20"/>
              </w:rPr>
              <w:t xml:space="preserve">(1,39), p=0</w:t>
            </w:r>
            <w:r>
              <w:rPr>
                <w:sz w:val="20"/>
              </w:rPr>
              <w:t xml:space="preserve">,005. Il existe une </w:t>
            </w:r>
            <w:r>
              <w:rPr>
                <w:sz w:val="20"/>
              </w:rPr>
              <w:t xml:space="preserve">différence </w:t>
            </w:r>
            <w:r>
              <w:rPr>
                <w:sz w:val="20"/>
              </w:rPr>
              <w:t xml:space="preserve">statistiquement </w:t>
            </w:r>
            <w:r>
              <w:rPr>
                <w:sz w:val="20"/>
              </w:rPr>
              <w:t xml:space="preserve">significative entre les </w:t>
            </w:r>
            <w:r>
              <w:rPr>
                <w:sz w:val="20"/>
              </w:rPr>
              <w:t xml:space="preserve">hommes </w:t>
            </w:r>
            <w:r>
              <w:rPr>
                <w:sz w:val="20"/>
              </w:rPr>
              <w:t xml:space="preserve">et les </w:t>
            </w:r>
            <w:r>
              <w:rPr>
                <w:sz w:val="20"/>
              </w:rPr>
              <w:t xml:space="preserve">femmes </w:t>
            </w:r>
            <w:r>
              <w:rPr>
                <w:sz w:val="20"/>
              </w:rPr>
              <w:t xml:space="preserve">assignés à la naissance, les </w:t>
            </w:r>
            <w:r>
              <w:rPr>
                <w:sz w:val="20"/>
              </w:rPr>
              <w:t xml:space="preserve">femmes </w:t>
            </w:r>
            <w:r>
              <w:rPr>
                <w:sz w:val="20"/>
              </w:rPr>
              <w:t xml:space="preserve">assignées à la naissance </w:t>
            </w:r>
            <w:r>
              <w:rPr>
                <w:sz w:val="20"/>
              </w:rPr>
              <w:t xml:space="preserve">rapportant un score plus faible pour le </w:t>
            </w:r>
            <w:r>
              <w:rPr>
                <w:sz w:val="20"/>
              </w:rPr>
              <w:t xml:space="preserve">fonctionnement </w:t>
            </w:r>
            <w:r>
              <w:rPr>
                <w:sz w:val="20"/>
              </w:rPr>
              <w:t xml:space="preserve">global </w:t>
            </w:r>
            <w:r>
              <w:rPr>
                <w:sz w:val="20"/>
              </w:rPr>
              <w:t xml:space="preserve">par rapport aux </w:t>
            </w:r>
            <w:r>
              <w:rPr>
                <w:sz w:val="20"/>
              </w:rPr>
              <w:t xml:space="preserve">hommes </w:t>
            </w:r>
            <w:r>
              <w:rPr>
                <w:sz w:val="20"/>
              </w:rPr>
              <w:t xml:space="preserve">assignés à </w:t>
            </w:r>
            <w:r>
              <w:rPr>
                <w:sz w:val="20"/>
              </w:rPr>
              <w:t xml:space="preserve">la naissance, </w:t>
            </w:r>
            <w:r>
              <w:rPr>
                <w:i/>
                <w:sz w:val="20"/>
              </w:rPr>
              <w:t xml:space="preserve">F </w:t>
            </w:r>
            <w:r>
              <w:rPr>
                <w:sz w:val="20"/>
              </w:rPr>
              <w:t xml:space="preserve">(</w:t>
            </w:r>
            <w:r>
              <w:rPr>
                <w:i/>
                <w:sz w:val="20"/>
              </w:rPr>
              <w:t xml:space="preserve">df, errdf</w:t>
            </w:r>
            <w:r>
              <w:rPr>
                <w:sz w:val="20"/>
              </w:rPr>
              <w:t xml:space="preserve">), </w:t>
            </w:r>
            <w:r>
              <w:rPr>
                <w:i/>
                <w:sz w:val="20"/>
              </w:rPr>
              <w:t xml:space="preserve">P </w:t>
            </w:r>
            <w:r>
              <w:rPr>
                <w:sz w:val="20"/>
              </w:rPr>
              <w:t xml:space="preserve">: 5,77 (1,52), </w:t>
            </w:r>
            <w:r>
              <w:rPr>
                <w:sz w:val="20"/>
              </w:rPr>
              <w:t xml:space="preserve">p=0</w:t>
            </w:r>
            <w:r>
              <w:rPr>
                <w:sz w:val="20"/>
              </w:rPr>
              <w:t xml:space="preserve">,021.</w:t>
            </w:r>
          </w:p>
          <w:p>
            <w:pPr>
              <w:pStyle w:val="TableParagraph"/>
              <w:ind w:start="106" w:end="100"/>
              <w:rPr>
                <w:sz w:val="20"/>
              </w:rPr>
            </w:pPr>
            <w:r>
              <w:rPr>
                <w:sz w:val="20"/>
              </w:rPr>
              <w:t xml:space="preserve">La proportion d'adolescents obtenant un score dans la </w:t>
            </w:r>
            <w:r>
              <w:rPr>
                <w:sz w:val="20"/>
              </w:rPr>
              <w:t xml:space="preserve">fourchette clinique a diminué de manière significative </w:t>
            </w:r>
            <w:r>
              <w:rPr>
                <w:sz w:val="20"/>
              </w:rPr>
              <w:t xml:space="preserve">entre T0 et T1, sur l'</w:t>
            </w:r>
            <w:r>
              <w:rPr>
                <w:sz w:val="20"/>
              </w:rPr>
              <w:t xml:space="preserve">échelle de </w:t>
            </w:r>
            <w:r>
              <w:rPr>
                <w:sz w:val="20"/>
              </w:rPr>
              <w:t xml:space="preserve">problèmes </w:t>
            </w:r>
            <w:r>
              <w:rPr>
                <w:sz w:val="20"/>
              </w:rPr>
              <w:t xml:space="preserve">totaux </w:t>
            </w:r>
            <w:r>
              <w:rPr>
                <w:sz w:val="20"/>
              </w:rPr>
              <w:t xml:space="preserve">de la </w:t>
            </w:r>
            <w:r>
              <w:rPr>
                <w:sz w:val="20"/>
              </w:rPr>
              <w:t xml:space="preserve">CBCL </w:t>
            </w:r>
            <w:r>
              <w:rPr>
                <w:sz w:val="20"/>
              </w:rPr>
              <w:t xml:space="preserve">(44,4 % </w:t>
            </w:r>
            <w:r>
              <w:rPr>
                <w:sz w:val="20"/>
              </w:rPr>
              <w:t xml:space="preserve">contre </w:t>
            </w:r>
            <w:r>
              <w:rPr>
                <w:sz w:val="20"/>
              </w:rPr>
              <w:t xml:space="preserve">22,2 %, </w:t>
            </w:r>
            <w:r>
              <w:rPr>
                <w:i/>
                <w:sz w:val="20"/>
              </w:rPr>
              <w:t xml:space="preserve">X2</w:t>
            </w:r>
            <w:r>
              <w:rPr>
                <w:sz w:val="20"/>
              </w:rPr>
              <w:t xml:space="preserve">[1]).</w:t>
            </w:r>
          </w:p>
          <w:p>
            <w:pPr>
              <w:pStyle w:val="TableParagraph"/>
              <w:ind w:start="106"/>
              <w:rPr>
                <w:sz w:val="20"/>
              </w:rPr>
            </w:pPr>
            <w:r>
              <w:rPr>
                <w:sz w:val="20"/>
              </w:rPr>
              <w:t xml:space="preserve">= </w:t>
            </w:r>
            <w:r>
              <w:rPr>
                <w:sz w:val="20"/>
              </w:rPr>
              <w:t xml:space="preserve">6,00, </w:t>
            </w:r>
            <w:r>
              <w:rPr>
                <w:sz w:val="20"/>
              </w:rPr>
              <w:t xml:space="preserve">p=0,001), </w:t>
            </w:r>
            <w:r>
              <w:rPr>
                <w:sz w:val="20"/>
              </w:rPr>
              <w:t xml:space="preserve">et l'</w:t>
            </w:r>
            <w:r>
              <w:rPr>
                <w:sz w:val="20"/>
              </w:rPr>
              <w:t xml:space="preserve">aspect </w:t>
            </w:r>
            <w:r>
              <w:rPr>
                <w:sz w:val="20"/>
              </w:rPr>
              <w:t xml:space="preserve">internalisateur</w:t>
            </w:r>
          </w:p>
          <w:p>
            <w:pPr>
              <w:pStyle w:val="TableParagraph"/>
              <w:spacing w:line="228" w:lineRule="exact"/>
              <w:ind w:start="106"/>
              <w:rPr>
                <w:sz w:val="20"/>
              </w:rPr>
            </w:pPr>
            <w:r>
              <w:rPr>
                <w:sz w:val="20"/>
              </w:rPr>
              <w:t xml:space="preserve">(29,6% </w:t>
            </w:r>
            <w:r>
              <w:rPr>
                <w:sz w:val="20"/>
              </w:rPr>
              <w:t xml:space="preserve">contre </w:t>
            </w:r>
            <w:r>
              <w:rPr>
                <w:sz w:val="20"/>
              </w:rPr>
              <w:t xml:space="preserve">11,1%, </w:t>
            </w:r>
            <w:r>
              <w:rPr>
                <w:i/>
                <w:sz w:val="20"/>
              </w:rPr>
              <w:t xml:space="preserve">X2</w:t>
            </w:r>
            <w:r>
              <w:rPr>
                <w:sz w:val="20"/>
              </w:rPr>
              <w:t xml:space="preserve">[1] </w:t>
            </w:r>
            <w:r>
              <w:rPr>
                <w:sz w:val="20"/>
              </w:rPr>
              <w:t xml:space="preserve">= </w:t>
            </w:r>
            <w:r>
              <w:rPr>
                <w:sz w:val="20"/>
              </w:rPr>
              <w:t xml:space="preserve">5,71, </w:t>
            </w:r>
            <w:r>
              <w:rPr>
                <w:sz w:val="20"/>
              </w:rPr>
              <w:t xml:space="preserve">p=0,017) </w:t>
            </w:r>
            <w:r>
              <w:rPr>
                <w:sz w:val="20"/>
              </w:rPr>
              <w:t xml:space="preserve">de </w:t>
            </w:r>
            <w:r>
              <w:rPr>
                <w:sz w:val="20"/>
              </w:rPr>
              <w:t xml:space="preserve">l'</w:t>
            </w:r>
            <w:r>
              <w:rPr>
                <w:sz w:val="20"/>
              </w:rPr>
              <w:t xml:space="preserve">YSR.</w:t>
            </w:r>
          </w:p>
        </w:tc>
        <w:tc>
          <w:tcPr>
            <w:tcW w:w="3203" w:type="dxa"/>
          </w:tcPr>
          <w:p w:rsidR="00432386" w:rsidRDefault="00432386">
            <w:pPr>
              <w:pStyle w:val="TableParagraph"/>
              <w:rPr>
                <w:rFonts w:ascii="Times New Roman"/>
                <w:sz w:val="18"/>
              </w:rPr>
            </w:pPr>
          </w:p>
        </w:tc>
      </w:tr>
    </w:tbl>
    <w:p>
      <w:pPr>
        <w:spacing w:line="196" w:lineRule="exact"/>
        <w:ind w:start="100"/>
        <w:rPr>
          <w:sz w:val="18"/>
        </w:rPr>
      </w:pPr>
      <w:r>
        <w:rPr>
          <w:position w:val="6"/>
          <w:sz w:val="12"/>
        </w:rPr>
        <w:t xml:space="preserve">1 </w:t>
      </w:r>
      <w:r>
        <w:rPr>
          <w:sz w:val="18"/>
        </w:rPr>
        <w:t xml:space="preserve">Il y </w:t>
      </w:r>
      <w:r>
        <w:rPr>
          <w:sz w:val="18"/>
        </w:rPr>
        <w:t xml:space="preserve">avait des </w:t>
      </w:r>
      <w:r>
        <w:rPr>
          <w:sz w:val="18"/>
        </w:rPr>
        <w:t xml:space="preserve">différences d'</w:t>
      </w:r>
      <w:r>
        <w:rPr>
          <w:sz w:val="18"/>
        </w:rPr>
        <w:t xml:space="preserve">âge </w:t>
      </w:r>
      <w:r>
        <w:rPr>
          <w:sz w:val="18"/>
        </w:rPr>
        <w:t xml:space="preserve">moyen </w:t>
      </w:r>
      <w:r>
        <w:rPr>
          <w:sz w:val="18"/>
        </w:rPr>
        <w:t xml:space="preserve">statistiquement </w:t>
      </w:r>
      <w:r>
        <w:rPr>
          <w:sz w:val="18"/>
        </w:rPr>
        <w:t xml:space="preserve">significatives </w:t>
      </w:r>
      <w:r>
        <w:rPr>
          <w:sz w:val="18"/>
        </w:rPr>
        <w:t xml:space="preserve">[±SD] </w:t>
      </w:r>
      <w:r>
        <w:rPr>
          <w:sz w:val="18"/>
        </w:rPr>
        <w:t xml:space="preserve">entre les </w:t>
      </w:r>
      <w:r>
        <w:rPr>
          <w:sz w:val="18"/>
        </w:rPr>
        <w:t xml:space="preserve">hommes </w:t>
      </w:r>
      <w:r>
        <w:rPr>
          <w:sz w:val="18"/>
        </w:rPr>
        <w:t xml:space="preserve">et les </w:t>
      </w:r>
      <w:r>
        <w:rPr>
          <w:sz w:val="18"/>
        </w:rPr>
        <w:t xml:space="preserve">femmes </w:t>
      </w:r>
      <w:r>
        <w:rPr>
          <w:sz w:val="18"/>
        </w:rPr>
        <w:t xml:space="preserve">assignés</w:t>
      </w:r>
      <w:r>
        <w:rPr>
          <w:sz w:val="18"/>
        </w:rPr>
        <w:t xml:space="preserve"> à </w:t>
      </w:r>
      <w:r>
        <w:rPr>
          <w:sz w:val="18"/>
        </w:rPr>
        <w:t xml:space="preserve">la </w:t>
      </w:r>
      <w:r>
        <w:rPr>
          <w:sz w:val="18"/>
        </w:rPr>
        <w:t xml:space="preserve">naissance </w:t>
      </w:r>
      <w:r>
        <w:rPr>
          <w:sz w:val="18"/>
        </w:rPr>
        <w:t xml:space="preserve">pour l'</w:t>
      </w:r>
      <w:r>
        <w:rPr>
          <w:sz w:val="18"/>
        </w:rPr>
        <w:t xml:space="preserve">âge </w:t>
      </w:r>
      <w:r>
        <w:rPr>
          <w:sz w:val="18"/>
        </w:rPr>
        <w:t xml:space="preserve">au moment de l'</w:t>
      </w:r>
      <w:r>
        <w:rPr>
          <w:sz w:val="18"/>
        </w:rPr>
        <w:t xml:space="preserve">évaluation </w:t>
      </w:r>
      <w:r>
        <w:rPr>
          <w:sz w:val="18"/>
        </w:rPr>
        <w:t xml:space="preserve">(13,14 </w:t>
      </w:r>
      <w:r>
        <w:rPr>
          <w:sz w:val="18"/>
        </w:rPr>
        <w:t xml:space="preserve">[±1,55] </w:t>
      </w:r>
      <w:r>
        <w:rPr>
          <w:sz w:val="18"/>
        </w:rPr>
        <w:t xml:space="preserve">contre </w:t>
      </w:r>
      <w:r>
        <w:rPr>
          <w:sz w:val="18"/>
        </w:rPr>
        <w:t xml:space="preserve">14,10 [±1</w:t>
      </w:r>
      <w:r>
        <w:rPr>
          <w:sz w:val="18"/>
        </w:rPr>
        <w:t xml:space="preserve">,55]).</w:t>
      </w:r>
    </w:p>
    <w:p>
      <w:pPr>
        <w:ind w:start="100" w:end="328"/>
        <w:rPr>
          <w:sz w:val="18"/>
        </w:rPr>
      </w:pPr>
      <w:r>
        <w:rPr>
          <w:sz w:val="18"/>
        </w:rPr>
        <w:t xml:space="preserve">(±1,99) ans, p=0,028), l'âge au début du traitement aux analogues de la GnRH (14,25 [±1,79] contre 15,21 [±1,95] ans, p=0,036) et l'âge au début du traitement aux hormones d'affirmation du genre (16,24 [±1,21] contre 16,99 </w:t>
      </w:r>
      <w:r>
        <w:rPr>
          <w:sz w:val="18"/>
        </w:rPr>
        <w:t xml:space="preserve">[±1,09] ans, p=0,008). Aucune différence statistiquement significative n'a été </w:t>
      </w:r>
      <w:r>
        <w:rPr>
          <w:sz w:val="18"/>
        </w:rPr>
        <w:t xml:space="preserve">observée pour les autres caractéristiques de base, le temps écoulé entre l'administration de l'analogue de la GnRH et celle des hormones d'affirmation du genre, le QI complet, l'</w:t>
      </w:r>
      <w:r>
        <w:rPr>
          <w:sz w:val="18"/>
        </w:rPr>
        <w:t xml:space="preserve">état </w:t>
      </w:r>
      <w:r>
        <w:rPr>
          <w:sz w:val="18"/>
        </w:rPr>
        <w:t xml:space="preserve">civil des </w:t>
      </w:r>
      <w:r>
        <w:rPr>
          <w:sz w:val="18"/>
        </w:rPr>
        <w:t xml:space="preserve">parents</w:t>
      </w:r>
      <w:r>
        <w:rPr>
          <w:sz w:val="18"/>
        </w:rPr>
        <w:t xml:space="preserve">, l'</w:t>
      </w:r>
      <w:r>
        <w:rPr>
          <w:sz w:val="18"/>
        </w:rPr>
        <w:t xml:space="preserve">éducation </w:t>
      </w:r>
      <w:r>
        <w:rPr>
          <w:sz w:val="18"/>
        </w:rPr>
        <w:t xml:space="preserve">et l'</w:t>
      </w:r>
      <w:r>
        <w:rPr>
          <w:sz w:val="18"/>
        </w:rPr>
        <w:t xml:space="preserve">attirance </w:t>
      </w:r>
      <w:r>
        <w:rPr>
          <w:sz w:val="18"/>
        </w:rPr>
        <w:t xml:space="preserve">sexuelle </w:t>
      </w:r>
      <w:r>
        <w:rPr>
          <w:sz w:val="18"/>
        </w:rPr>
        <w:t xml:space="preserve">pour </w:t>
      </w:r>
      <w:r>
        <w:rPr>
          <w:sz w:val="18"/>
        </w:rPr>
        <w:t xml:space="preserve">son propre </w:t>
      </w:r>
      <w:r>
        <w:rPr>
          <w:sz w:val="18"/>
        </w:rPr>
        <w:t xml:space="preserve">sexe</w:t>
      </w:r>
      <w:r>
        <w:rPr>
          <w:sz w:val="18"/>
        </w:rPr>
        <w:t xml:space="preserve">, l'</w:t>
      </w:r>
      <w:r>
        <w:rPr>
          <w:sz w:val="18"/>
        </w:rPr>
        <w:t xml:space="preserve">autre sexe </w:t>
      </w:r>
      <w:r>
        <w:rPr>
          <w:sz w:val="18"/>
        </w:rPr>
        <w:t xml:space="preserve">ou les deux</w:t>
      </w:r>
      <w:r>
        <w:rPr>
          <w:sz w:val="18"/>
        </w:rPr>
        <w:t xml:space="preserve">.</w:t>
      </w:r>
    </w:p>
    <w:p>
      <w:pPr>
        <w:ind w:start="100" w:end="482"/>
        <w:rPr>
          <w:sz w:val="18"/>
        </w:rPr>
      </w:pPr>
      <w:r>
        <w:rPr>
          <w:position w:val="6"/>
          <w:sz w:val="12"/>
        </w:rPr>
        <w:t xml:space="preserve">2 Des </w:t>
      </w:r>
      <w:r>
        <w:rPr>
          <w:sz w:val="18"/>
        </w:rPr>
        <w:t xml:space="preserve">tests t indépendants entre les scores moyens sur la CBCL, l'YSR, le BDI, le TPI, le STAI, le CGAS, l'UGS et le BIS des adolescents ayant effectué les deux évaluations et les scores moyens des adolescents </w:t>
      </w:r>
      <w:r>
        <w:rPr>
          <w:sz w:val="18"/>
        </w:rPr>
        <w:t xml:space="preserve">n'ayant </w:t>
      </w:r>
      <w:r>
        <w:rPr>
          <w:sz w:val="18"/>
        </w:rPr>
        <w:t xml:space="preserve">effectué </w:t>
      </w:r>
      <w:r>
        <w:rPr>
          <w:sz w:val="18"/>
        </w:rPr>
        <w:t xml:space="preserve">qu'une seule </w:t>
      </w:r>
      <w:r>
        <w:rPr>
          <w:sz w:val="18"/>
        </w:rPr>
        <w:t xml:space="preserve">des </w:t>
      </w:r>
      <w:r>
        <w:rPr>
          <w:sz w:val="18"/>
        </w:rPr>
        <w:t xml:space="preserve">évaluations </w:t>
      </w:r>
      <w:r>
        <w:rPr>
          <w:sz w:val="18"/>
        </w:rPr>
        <w:t xml:space="preserve">n'</w:t>
      </w:r>
      <w:r>
        <w:rPr>
          <w:sz w:val="18"/>
        </w:rPr>
        <w:t xml:space="preserve">ont révélé </w:t>
      </w:r>
      <w:r>
        <w:rPr>
          <w:sz w:val="18"/>
        </w:rPr>
        <w:t xml:space="preserve">aucune </w:t>
      </w:r>
      <w:r>
        <w:rPr>
          <w:sz w:val="18"/>
        </w:rPr>
        <w:t xml:space="preserve">différence </w:t>
      </w:r>
      <w:r>
        <w:rPr>
          <w:sz w:val="18"/>
        </w:rPr>
        <w:t xml:space="preserve">significative </w:t>
      </w:r>
      <w:r>
        <w:rPr>
          <w:sz w:val="18"/>
        </w:rPr>
        <w:t xml:space="preserve">sur </w:t>
      </w:r>
      <w:r>
        <w:rPr>
          <w:sz w:val="18"/>
        </w:rPr>
        <w:t xml:space="preserve">toutes les </w:t>
      </w:r>
      <w:r>
        <w:rPr>
          <w:sz w:val="18"/>
        </w:rPr>
        <w:t xml:space="preserve">mesures </w:t>
      </w:r>
      <w:r>
        <w:rPr>
          <w:sz w:val="18"/>
        </w:rPr>
        <w:t xml:space="preserve">utilisées</w:t>
      </w:r>
      <w:r>
        <w:rPr>
          <w:sz w:val="18"/>
        </w:rPr>
        <w:t xml:space="preserve">, </w:t>
      </w:r>
      <w:r>
        <w:rPr>
          <w:sz w:val="18"/>
        </w:rPr>
        <w:t xml:space="preserve">ni </w:t>
      </w:r>
      <w:r>
        <w:rPr>
          <w:sz w:val="18"/>
        </w:rPr>
        <w:t xml:space="preserve">à </w:t>
      </w:r>
      <w:r>
        <w:rPr>
          <w:sz w:val="18"/>
        </w:rPr>
        <w:t xml:space="preserve">T0 </w:t>
      </w:r>
      <w:r>
        <w:rPr>
          <w:sz w:val="18"/>
        </w:rPr>
        <w:t xml:space="preserve">ni à </w:t>
      </w:r>
      <w:r>
        <w:rPr>
          <w:sz w:val="18"/>
        </w:rPr>
        <w:t xml:space="preserve">T1.</w:t>
      </w:r>
    </w:p>
    <w:p>
      <w:pPr>
        <w:ind w:start="100"/>
        <w:rPr>
          <w:sz w:val="18"/>
        </w:rPr>
      </w:pPr>
      <w:r>
        <w:rPr>
          <w:position w:val="6"/>
          <w:sz w:val="12"/>
        </w:rPr>
        <w:t xml:space="preserve">3 </w:t>
      </w:r>
      <w:r>
        <w:rPr>
          <w:sz w:val="18"/>
        </w:rPr>
        <w:t xml:space="preserve">La CBCL/YSR comporte deux composantes : Le score d'internalisation qui additionne les scores d'anxiété/dépression, de repli sur soi/dépression et de plaintes somatiques ; le score d'externalisation qui additionne le non-respect des règles </w:t>
      </w:r>
      <w:r>
        <w:rPr>
          <w:sz w:val="18"/>
        </w:rPr>
        <w:t xml:space="preserve">et le </w:t>
      </w:r>
      <w:r>
        <w:rPr>
          <w:sz w:val="18"/>
        </w:rPr>
        <w:t xml:space="preserve">comportement </w:t>
      </w:r>
      <w:r>
        <w:rPr>
          <w:sz w:val="18"/>
        </w:rPr>
        <w:t xml:space="preserve">agressif</w:t>
      </w:r>
      <w:r>
        <w:rPr>
          <w:sz w:val="18"/>
        </w:rPr>
        <w:t xml:space="preserve">. </w:t>
      </w:r>
      <w:r>
        <w:rPr>
          <w:sz w:val="18"/>
        </w:rPr>
        <w:t xml:space="preserve">Le </w:t>
      </w:r>
      <w:r>
        <w:rPr>
          <w:sz w:val="18"/>
        </w:rPr>
        <w:t xml:space="preserve">score </w:t>
      </w:r>
      <w:r>
        <w:rPr>
          <w:sz w:val="18"/>
        </w:rPr>
        <w:t xml:space="preserve">total </w:t>
      </w:r>
      <w:r>
        <w:rPr>
          <w:sz w:val="18"/>
        </w:rPr>
        <w:t xml:space="preserve">de </w:t>
      </w:r>
      <w:r>
        <w:rPr>
          <w:sz w:val="18"/>
        </w:rPr>
        <w:t xml:space="preserve">problèmes </w:t>
      </w:r>
      <w:r>
        <w:rPr>
          <w:sz w:val="18"/>
        </w:rPr>
        <w:t xml:space="preserve">est la </w:t>
      </w:r>
      <w:r>
        <w:rPr>
          <w:sz w:val="18"/>
        </w:rPr>
        <w:t xml:space="preserve">somme </w:t>
      </w:r>
      <w:r>
        <w:rPr>
          <w:sz w:val="18"/>
        </w:rPr>
        <w:t xml:space="preserve">des </w:t>
      </w:r>
      <w:r>
        <w:rPr>
          <w:sz w:val="18"/>
        </w:rPr>
        <w:t xml:space="preserve">scores </w:t>
      </w:r>
      <w:r>
        <w:rPr>
          <w:sz w:val="18"/>
        </w:rPr>
        <w:t xml:space="preserve">de </w:t>
      </w:r>
      <w:r>
        <w:rPr>
          <w:sz w:val="18"/>
        </w:rPr>
        <w:t xml:space="preserve">tous les </w:t>
      </w:r>
      <w:r>
        <w:rPr>
          <w:sz w:val="18"/>
        </w:rPr>
        <w:t xml:space="preserve">éléments de </w:t>
      </w:r>
      <w:r>
        <w:rPr>
          <w:sz w:val="18"/>
        </w:rPr>
        <w:t xml:space="preserve">problèmes</w:t>
      </w:r>
      <w:r>
        <w:rPr>
          <w:sz w:val="18"/>
        </w:rPr>
        <w:t xml:space="preserve">. </w:t>
      </w:r>
      <w:r>
        <w:rPr>
          <w:sz w:val="18"/>
        </w:rPr>
        <w:t xml:space="preserve">Le </w:t>
      </w:r>
      <w:r>
        <w:rPr>
          <w:sz w:val="18"/>
        </w:rPr>
        <w:t xml:space="preserve">YSR </w:t>
      </w:r>
      <w:r>
        <w:rPr>
          <w:sz w:val="18"/>
        </w:rPr>
        <w:t xml:space="preserve">est une </w:t>
      </w:r>
      <w:r>
        <w:rPr>
          <w:sz w:val="18"/>
        </w:rPr>
        <w:t xml:space="preserve">version de </w:t>
      </w:r>
      <w:r>
        <w:rPr>
          <w:sz w:val="18"/>
        </w:rPr>
        <w:t xml:space="preserve">la </w:t>
      </w:r>
      <w:r>
        <w:rPr>
          <w:sz w:val="18"/>
        </w:rPr>
        <w:t xml:space="preserve">CBCL </w:t>
      </w:r>
      <w:r>
        <w:rPr>
          <w:sz w:val="18"/>
        </w:rPr>
        <w:t xml:space="preserve">adaptée aux </w:t>
      </w:r>
      <w:r>
        <w:rPr>
          <w:sz w:val="18"/>
        </w:rPr>
        <w:t xml:space="preserve">enfants</w:t>
      </w:r>
      <w:r>
        <w:rPr>
          <w:sz w:val="18"/>
        </w:rPr>
        <w:t xml:space="preserve">.</w:t>
      </w:r>
    </w:p>
    <w:p>
      <w:pPr>
        <w:spacing w:line="208" w:lineRule="exact"/>
        <w:ind w:start="100"/>
        <w:rPr>
          <w:sz w:val="18"/>
        </w:rPr>
      </w:pPr>
      <w:r>
        <w:rPr>
          <w:position w:val="6"/>
          <w:sz w:val="12"/>
        </w:rPr>
        <w:t xml:space="preserve">4 </w:t>
      </w:r>
      <w:r>
        <w:rPr>
          <w:sz w:val="18"/>
        </w:rPr>
        <w:t xml:space="preserve">Une </w:t>
      </w:r>
      <w:r>
        <w:rPr>
          <w:sz w:val="18"/>
        </w:rPr>
        <w:t xml:space="preserve">ANOVA </w:t>
      </w:r>
      <w:r>
        <w:rPr>
          <w:sz w:val="18"/>
        </w:rPr>
        <w:t xml:space="preserve">(analyse de </w:t>
      </w:r>
      <w:r>
        <w:rPr>
          <w:sz w:val="18"/>
        </w:rPr>
        <w:t xml:space="preserve">la </w:t>
      </w:r>
      <w:r>
        <w:rPr>
          <w:sz w:val="18"/>
        </w:rPr>
        <w:t xml:space="preserve">variance</w:t>
      </w:r>
      <w:r>
        <w:rPr>
          <w:sz w:val="18"/>
        </w:rPr>
        <w:t xml:space="preserve">) à mesures </w:t>
      </w:r>
      <w:r>
        <w:rPr>
          <w:sz w:val="18"/>
        </w:rPr>
        <w:t xml:space="preserve">répétées </w:t>
      </w:r>
      <w:r>
        <w:rPr>
          <w:sz w:val="18"/>
        </w:rPr>
        <w:t xml:space="preserve">a été </w:t>
      </w:r>
      <w:r>
        <w:rPr>
          <w:sz w:val="18"/>
        </w:rPr>
        <w:t xml:space="preserve">utilisée.</w:t>
      </w:r>
    </w:p>
    <w:p w:rsidR="00432386" w:rsidRDefault="00432386">
      <w:pPr>
        <w:pStyle w:val="Corpsdetexte"/>
        <w:spacing w:before="0"/>
        <w:ind w:start="0"/>
        <w:rPr>
          <w:sz w:val="20"/>
        </w:rPr>
      </w:pPr>
    </w:p>
    <w:p w:rsidR="00432386" w:rsidRDefault="00432386">
      <w:pPr>
        <w:pStyle w:val="Corpsdetexte"/>
        <w:spacing w:before="6" w:after="1"/>
        <w:ind w:start="0"/>
        <w:rPr>
          <w:sz w:val="23"/>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7"/>
        <w:gridCol w:w="3118"/>
        <w:gridCol w:w="1985"/>
        <w:gridCol w:w="3970"/>
        <w:gridCol w:w="3061"/>
      </w:tblGrid>
      <w:tr w:rsidR="00432386">
        <w:trPr>
          <w:trHeight w:val="282"/>
        </w:trPr>
        <w:tc>
          <w:tcPr>
            <w:tcW w:w="3257"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18" w:type="dxa"/>
            <w:shd w:val="clear" w:color="auto" w:fill="8DB3E1"/>
          </w:tcPr>
          <w:p>
            <w:pPr>
              <w:pStyle w:val="TableParagraph"/>
              <w:spacing w:line="229" w:lineRule="exact"/>
              <w:ind w:start="108"/>
              <w:rPr>
                <w:b/>
                <w:sz w:val="20"/>
              </w:rPr>
            </w:pPr>
            <w:r>
              <w:rPr>
                <w:b/>
                <w:sz w:val="20"/>
              </w:rPr>
              <w:t xml:space="preserve">Population</w:t>
            </w:r>
          </w:p>
        </w:tc>
        <w:tc>
          <w:tcPr>
            <w:tcW w:w="1985" w:type="dxa"/>
            <w:shd w:val="clear" w:color="auto" w:fill="8DB3E1"/>
          </w:tcPr>
          <w:p>
            <w:pPr>
              <w:pStyle w:val="TableParagraph"/>
              <w:spacing w:line="229" w:lineRule="exact"/>
              <w:ind w:start="108"/>
              <w:rPr>
                <w:b/>
                <w:sz w:val="20"/>
              </w:rPr>
            </w:pPr>
            <w:r>
              <w:rPr>
                <w:b/>
                <w:sz w:val="20"/>
              </w:rPr>
              <w:t xml:space="preserve">Interventions</w:t>
            </w:r>
          </w:p>
        </w:tc>
        <w:tc>
          <w:tcPr>
            <w:tcW w:w="3970" w:type="dxa"/>
            <w:shd w:val="clear" w:color="auto" w:fill="8DB3E1"/>
          </w:tcPr>
          <w:p>
            <w:pPr>
              <w:pStyle w:val="TableParagraph"/>
              <w:spacing w:line="229" w:lineRule="exact"/>
              <w:ind w:start="107"/>
              <w:rPr>
                <w:b/>
                <w:sz w:val="20"/>
              </w:rPr>
            </w:pPr>
            <w:r>
              <w:rPr>
                <w:b/>
                <w:sz w:val="20"/>
              </w:rPr>
              <w:t xml:space="preserve">Résultats de l'</w:t>
            </w:r>
            <w:r>
              <w:rPr>
                <w:b/>
                <w:sz w:val="20"/>
              </w:rPr>
              <w:t xml:space="preserve">étude</w:t>
            </w:r>
          </w:p>
        </w:tc>
        <w:tc>
          <w:tcPr>
            <w:tcW w:w="3061" w:type="dxa"/>
            <w:shd w:val="clear" w:color="auto" w:fill="8DB3E1"/>
          </w:tcPr>
          <w:p>
            <w:pPr>
              <w:pStyle w:val="TableParagraph"/>
              <w:spacing w:line="229"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1900"/>
        </w:trPr>
        <w:tc>
          <w:tcPr>
            <w:tcW w:w="3257" w:type="dxa"/>
          </w:tcPr>
          <w:p>
            <w:pPr>
              <w:pStyle w:val="TableParagraph"/>
              <w:ind w:start="107" w:end="107"/>
              <w:rPr>
                <w:sz w:val="20"/>
              </w:rPr>
            </w:pPr>
            <w:r>
              <w:rPr>
                <w:sz w:val="20"/>
              </w:rPr>
              <w:t xml:space="preserve">Joseph T, Ting J, Butler G. (2019) </w:t>
            </w:r>
            <w:hyperlink r:id="rId271">
              <w:r>
                <w:rPr>
                  <w:color w:val="0000FF"/>
                  <w:sz w:val="20"/>
                  <w:u w:val="single" w:color="0000FF"/>
                </w:rPr>
                <w:t xml:space="preserve">L'effet du </w:t>
              </w:r>
            </w:hyperlink>
            <w:hyperlink r:id="rId272">
              <w:r>
                <w:rPr>
                  <w:color w:val="0000FF"/>
                  <w:sz w:val="20"/>
                  <w:u w:val="single" w:color="0000FF"/>
                </w:rPr>
                <w:t xml:space="preserve">traitement par </w:t>
              </w:r>
            </w:hyperlink>
            <w:hyperlink r:id="rId271">
              <w:r>
                <w:rPr>
                  <w:color w:val="0000FF"/>
                  <w:sz w:val="20"/>
                  <w:u w:val="single" w:color="0000FF"/>
                </w:rPr>
                <w:t xml:space="preserve">analogue de la GnRH </w:t>
              </w:r>
            </w:hyperlink>
            <w:hyperlink r:id="rId272">
              <w:r>
                <w:rPr>
                  <w:color w:val="0000FF"/>
                  <w:sz w:val="20"/>
                  <w:u w:val="single" w:color="0000FF"/>
                </w:rPr>
                <w:t xml:space="preserve">sur la</w:t>
              </w:r>
              <w:r>
                <w:rPr>
                  <w:color w:val="0000FF"/>
                  <w:sz w:val="20"/>
                  <w:u w:val="single" w:color="0000FF"/>
                </w:rPr>
                <w:t xml:space="preserve">densité</w:t>
              </w:r>
              <w:r>
                <w:rPr>
                  <w:color w:val="0000FF"/>
                  <w:sz w:val="20"/>
                  <w:u w:val="single" w:color="0000FF"/>
                </w:rPr>
                <w:t xml:space="preserve">minérale</w:t>
              </w:r>
              <w:r>
                <w:rPr>
                  <w:color w:val="0000FF"/>
                  <w:sz w:val="20"/>
                  <w:u w:val="single" w:color="0000FF"/>
                </w:rPr>
                <w:t xml:space="preserve">osseuse </w:t>
              </w:r>
            </w:hyperlink>
            <w:hyperlink r:id="rId273">
              <w:r>
                <w:rPr>
                  <w:color w:val="0000FF"/>
                  <w:sz w:val="20"/>
                  <w:u w:val="single" w:color="0000FF"/>
                </w:rPr>
                <w:t xml:space="preserve">chez les jeunes adolescents atteints de </w:t>
              </w:r>
            </w:hyperlink>
            <w:hyperlink r:id="rId274">
              <w:r>
                <w:rPr>
                  <w:color w:val="0000FF"/>
                  <w:sz w:val="20"/>
                  <w:u w:val="single" w:color="0000FF"/>
                </w:rPr>
                <w:t xml:space="preserve">dysphorie de </w:t>
              </w:r>
            </w:hyperlink>
            <w:hyperlink r:id="rId273">
              <w:r>
                <w:rPr>
                  <w:color w:val="0000FF"/>
                  <w:sz w:val="20"/>
                  <w:u w:val="single" w:color="0000FF"/>
                </w:rPr>
                <w:t xml:space="preserve">genre </w:t>
              </w:r>
            </w:hyperlink>
            <w:hyperlink r:id="rId274">
              <w:r>
                <w:rPr>
                  <w:color w:val="0000FF"/>
                  <w:sz w:val="20"/>
                  <w:u w:val="single" w:color="0000FF"/>
                </w:rPr>
                <w:t xml:space="preserve">: </w:t>
              </w:r>
              <w:r>
                <w:rPr>
                  <w:color w:val="0000FF"/>
                  <w:sz w:val="20"/>
                  <w:u w:val="single" w:color="0000FF"/>
                </w:rPr>
                <w:t xml:space="preserve">résultats d'une grande </w:t>
              </w:r>
            </w:hyperlink>
            <w:hyperlink r:id="rId275">
              <w:r>
                <w:rPr>
                  <w:color w:val="0000FF"/>
                  <w:sz w:val="20"/>
                  <w:u w:val="single" w:color="0000FF"/>
                </w:rPr>
                <w:t xml:space="preserve">cohorte nationale. </w:t>
              </w:r>
            </w:hyperlink>
            <w:r>
              <w:rPr>
                <w:sz w:val="20"/>
              </w:rPr>
              <w:t xml:space="preserve">Journal de l'</w:t>
            </w:r>
            <w:r>
              <w:rPr>
                <w:sz w:val="20"/>
              </w:rPr>
              <w:t xml:space="preserve">endocrinologie </w:t>
            </w:r>
            <w:r>
              <w:rPr>
                <w:sz w:val="20"/>
              </w:rPr>
              <w:t xml:space="preserve">et du </w:t>
            </w:r>
            <w:r>
              <w:rPr>
                <w:sz w:val="20"/>
              </w:rPr>
              <w:t xml:space="preserve">métabolisme </w:t>
            </w:r>
            <w:r>
              <w:rPr>
                <w:sz w:val="20"/>
              </w:rPr>
              <w:t xml:space="preserve">pédiatriques </w:t>
            </w:r>
            <w:r>
              <w:rPr>
                <w:sz w:val="20"/>
              </w:rPr>
              <w:t xml:space="preserve">32(</w:t>
            </w:r>
            <w:r>
              <w:rPr>
                <w:sz w:val="20"/>
              </w:rPr>
              <w:t xml:space="preserve">10) : 1077-1081.</w:t>
            </w:r>
          </w:p>
        </w:tc>
        <w:tc>
          <w:tcPr>
            <w:tcW w:w="3118" w:type="dxa"/>
          </w:tcPr>
          <w:p>
            <w:pPr>
              <w:pStyle w:val="TableParagraph"/>
              <w:ind w:start="108" w:end="395"/>
              <w:rPr>
                <w:sz w:val="20"/>
              </w:rPr>
            </w:pPr>
            <w:r>
              <w:rPr>
                <w:sz w:val="20"/>
              </w:rPr>
              <w:t xml:space="preserve">Adolescents (12 à 14 ans) </w:t>
            </w:r>
            <w:r>
              <w:rPr>
                <w:sz w:val="20"/>
              </w:rPr>
              <w:t xml:space="preserve">présentant une dysphorie de genre (aucun </w:t>
            </w:r>
            <w:r>
              <w:rPr>
                <w:sz w:val="20"/>
              </w:rPr>
              <w:t xml:space="preserve">critère </w:t>
            </w:r>
            <w:r>
              <w:rPr>
                <w:sz w:val="20"/>
              </w:rPr>
              <w:t xml:space="preserve">diagnostique </w:t>
            </w:r>
            <w:r>
              <w:rPr>
                <w:sz w:val="20"/>
              </w:rPr>
              <w:t xml:space="preserve">décrit),</w:t>
            </w:r>
          </w:p>
          <w:p>
            <w:pPr>
              <w:pStyle w:val="TableParagraph"/>
              <w:spacing w:before="60"/>
              <w:ind w:start="108"/>
              <w:rPr>
                <w:sz w:val="20"/>
              </w:rPr>
            </w:pPr>
            <w:r>
              <w:rPr>
                <w:sz w:val="20"/>
              </w:rPr>
              <w:t xml:space="preserve">n=70,</w:t>
            </w:r>
          </w:p>
          <w:p>
            <w:pPr>
              <w:pStyle w:val="TableParagraph"/>
              <w:spacing w:before="58"/>
              <w:ind w:start="108" w:end="339"/>
              <w:rPr>
                <w:sz w:val="20"/>
              </w:rPr>
            </w:pPr>
            <w:r>
              <w:rPr>
                <w:sz w:val="20"/>
              </w:rPr>
              <w:t xml:space="preserve">dont </w:t>
            </w:r>
            <w:r>
              <w:rPr>
                <w:sz w:val="20"/>
              </w:rPr>
              <w:t xml:space="preserve">31 </w:t>
            </w:r>
            <w:r>
              <w:rPr>
                <w:sz w:val="20"/>
              </w:rPr>
              <w:t xml:space="preserve">transfemmes </w:t>
            </w:r>
            <w:r>
              <w:rPr>
                <w:sz w:val="20"/>
              </w:rPr>
              <w:t xml:space="preserve">et </w:t>
            </w:r>
            <w:r>
              <w:rPr>
                <w:sz w:val="20"/>
              </w:rPr>
              <w:t xml:space="preserve">39 </w:t>
            </w:r>
            <w:r>
              <w:rPr>
                <w:sz w:val="20"/>
              </w:rPr>
              <w:t xml:space="preserve">transmales.</w:t>
            </w:r>
          </w:p>
        </w:tc>
        <w:tc>
          <w:tcPr>
            <w:tcW w:w="1985" w:type="dxa"/>
          </w:tcPr>
          <w:p>
            <w:pPr>
              <w:pStyle w:val="TableParagraph"/>
              <w:ind w:start="108" w:end="137"/>
              <w:rPr>
                <w:sz w:val="20"/>
              </w:rPr>
            </w:pPr>
            <w:r>
              <w:rPr>
                <w:sz w:val="20"/>
              </w:rPr>
              <w:t xml:space="preserve">Traitement par un </w:t>
            </w:r>
            <w:r>
              <w:rPr>
                <w:sz w:val="20"/>
              </w:rPr>
              <w:t xml:space="preserve">analogue de la </w:t>
            </w:r>
            <w:r>
              <w:rPr>
                <w:sz w:val="20"/>
              </w:rPr>
              <w:t xml:space="preserve">GnRH </w:t>
            </w:r>
            <w:r>
              <w:rPr>
                <w:sz w:val="20"/>
              </w:rPr>
              <w:t xml:space="preserve">pendant </w:t>
            </w:r>
            <w:r>
              <w:rPr>
                <w:sz w:val="20"/>
              </w:rPr>
              <w:t xml:space="preserve">au moins 1 an ou </w:t>
            </w:r>
            <w:r>
              <w:rPr>
                <w:sz w:val="20"/>
              </w:rPr>
              <w:t xml:space="preserve">en cours jusqu'à ce qu'ils </w:t>
            </w:r>
            <w:r>
              <w:rPr>
                <w:sz w:val="20"/>
              </w:rPr>
              <w:t xml:space="preserve">atteignent </w:t>
            </w:r>
            <w:r>
              <w:rPr>
                <w:sz w:val="20"/>
              </w:rPr>
              <w:t xml:space="preserve">16 </w:t>
            </w:r>
            <w:r>
              <w:rPr>
                <w:sz w:val="20"/>
              </w:rPr>
              <w:t xml:space="preserve">ans.</w:t>
            </w:r>
          </w:p>
          <w:p>
            <w:pPr>
              <w:pStyle w:val="TableParagraph"/>
              <w:spacing w:before="59"/>
              <w:ind w:start="108" w:end="235"/>
              <w:rPr>
                <w:sz w:val="20"/>
              </w:rPr>
            </w:pPr>
            <w:r>
              <w:rPr>
                <w:sz w:val="20"/>
              </w:rPr>
              <w:t xml:space="preserve">Aucun </w:t>
            </w:r>
            <w:r>
              <w:rPr>
                <w:sz w:val="20"/>
              </w:rPr>
              <w:t xml:space="preserve">traitement, </w:t>
            </w:r>
            <w:r>
              <w:rPr>
                <w:sz w:val="20"/>
              </w:rPr>
              <w:t xml:space="preserve">dose </w:t>
            </w:r>
            <w:r>
              <w:rPr>
                <w:sz w:val="20"/>
              </w:rPr>
              <w:t xml:space="preserve">ou</w:t>
            </w:r>
          </w:p>
          <w:p>
            <w:pPr>
              <w:pStyle w:val="TableParagraph"/>
              <w:spacing w:before="1" w:line="211" w:lineRule="exact"/>
              <w:ind w:start="108"/>
              <w:rPr>
                <w:sz w:val="20"/>
              </w:rPr>
            </w:pPr>
            <w:r>
              <w:rPr>
                <w:sz w:val="20"/>
              </w:rPr>
              <w:t xml:space="preserve">route </w:t>
            </w:r>
            <w:r>
              <w:rPr>
                <w:sz w:val="20"/>
              </w:rPr>
              <w:t xml:space="preserve">de</w:t>
            </w:r>
          </w:p>
        </w:tc>
        <w:tc>
          <w:tcPr>
            <w:tcW w:w="3970" w:type="dxa"/>
          </w:tcPr>
          <w:p>
            <w:pPr>
              <w:pStyle w:val="TableParagraph"/>
              <w:spacing w:line="229" w:lineRule="exact"/>
              <w:ind w:start="107"/>
              <w:rPr>
                <w:b/>
                <w:sz w:val="20"/>
              </w:rPr>
            </w:pPr>
            <w:r>
              <w:rPr>
                <w:b/>
                <w:sz w:val="20"/>
              </w:rPr>
              <w:t xml:space="preserve">Résultats </w:t>
            </w:r>
            <w:r>
              <w:rPr>
                <w:b/>
                <w:sz w:val="20"/>
              </w:rPr>
              <w:t xml:space="preserve">critiques</w:t>
            </w:r>
          </w:p>
          <w:p>
            <w:pPr>
              <w:pStyle w:val="TableParagraph"/>
              <w:ind w:start="107"/>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0"/>
              <w:rPr>
                <w:sz w:val="19"/>
              </w:rPr>
            </w:pPr>
          </w:p>
          <w:p>
            <w:pPr>
              <w:pStyle w:val="TableParagraph"/>
              <w:ind w:start="107"/>
              <w:rPr>
                <w:b/>
                <w:sz w:val="20"/>
              </w:rPr>
            </w:pPr>
            <w:r>
              <w:rPr>
                <w:b/>
                <w:sz w:val="20"/>
              </w:rPr>
              <w:t xml:space="preserve">Résultats </w:t>
            </w:r>
            <w:r>
              <w:rPr>
                <w:b/>
                <w:sz w:val="20"/>
              </w:rPr>
              <w:t xml:space="preserve">importants</w:t>
            </w:r>
          </w:p>
          <w:p>
            <w:pPr>
              <w:pStyle w:val="TableParagraph"/>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lombaire1</w:t>
            </w:r>
          </w:p>
          <w:p>
            <w:pPr>
              <w:pStyle w:val="TableParagraph"/>
              <w:spacing w:before="1"/>
              <w:ind w:start="107" w:end="207"/>
              <w:rPr>
                <w:sz w:val="20"/>
              </w:rPr>
            </w:pPr>
            <w:r>
              <w:rPr>
                <w:b/>
                <w:sz w:val="20"/>
              </w:rPr>
              <w:t xml:space="preserve">Densité </w:t>
            </w:r>
            <w:r>
              <w:rPr>
                <w:b/>
                <w:sz w:val="20"/>
              </w:rPr>
              <w:t xml:space="preserve">minérale </w:t>
            </w:r>
            <w:r>
              <w:rPr>
                <w:b/>
                <w:sz w:val="20"/>
              </w:rPr>
              <w:t xml:space="preserve">apparente </w:t>
            </w:r>
            <w:r>
              <w:rPr>
                <w:b/>
                <w:sz w:val="20"/>
              </w:rPr>
              <w:t xml:space="preserve">osseuse </w:t>
            </w:r>
            <w:r>
              <w:rPr>
                <w:b/>
                <w:sz w:val="20"/>
              </w:rPr>
              <w:t xml:space="preserve">du rachis </w:t>
            </w:r>
            <w:r>
              <w:rPr>
                <w:b/>
                <w:sz w:val="20"/>
              </w:rPr>
              <w:t xml:space="preserve">lombaire </w:t>
            </w:r>
            <w:r>
              <w:rPr>
                <w:b/>
                <w:sz w:val="20"/>
              </w:rPr>
              <w:t xml:space="preserve">(DMAO)</w:t>
            </w:r>
            <w:r>
              <w:rPr>
                <w:b/>
                <w:sz w:val="20"/>
                <w:vertAlign w:val="superscript"/>
              </w:rPr>
              <w:t xml:space="preserve">2 </w:t>
            </w:r>
            <w:r>
              <w:rPr>
                <w:b/>
                <w:sz w:val="20"/>
              </w:rPr>
              <w:t xml:space="preserve">0 à 1 an </w:t>
            </w:r>
            <w:r>
              <w:rPr>
                <w:sz w:val="20"/>
              </w:rPr>
              <w:t xml:space="preserve">Femmes transfemmes </w:t>
            </w:r>
            <w:r>
              <w:rPr>
                <w:sz w:val="20"/>
              </w:rPr>
              <w:t xml:space="preserve">(moyenne </w:t>
            </w:r>
            <w:r>
              <w:rPr>
                <w:sz w:val="20"/>
              </w:rPr>
              <w:t xml:space="preserve">[±SD]) :</w:t>
            </w:r>
          </w:p>
        </w:tc>
        <w:tc>
          <w:tcPr>
            <w:tcW w:w="3061" w:type="dxa"/>
          </w:tcPr>
          <w:p>
            <w:pPr>
              <w:pStyle w:val="TableParagraph"/>
              <w:ind w:start="107" w:end="150"/>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la </w:t>
            </w:r>
            <w:r>
              <w:rPr>
                <w:sz w:val="20"/>
              </w:rPr>
              <w:t xml:space="preserve">liste de contrôle d'</w:t>
            </w:r>
            <w:r>
              <w:rPr>
                <w:sz w:val="20"/>
              </w:rPr>
              <w:t xml:space="preserve">évaluation de la </w:t>
            </w:r>
            <w:r>
              <w:rPr>
                <w:sz w:val="20"/>
              </w:rPr>
              <w:t xml:space="preserve">qualité de Newcastle-Ottawa </w:t>
            </w:r>
            <w:r>
              <w:rPr>
                <w:sz w:val="20"/>
              </w:rPr>
              <w:t xml:space="preserve">pour les </w:t>
            </w:r>
            <w:r>
              <w:rPr>
                <w:sz w:val="20"/>
              </w:rPr>
              <w:t xml:space="preserve">études de </w:t>
            </w:r>
            <w:r>
              <w:rPr>
                <w:sz w:val="20"/>
              </w:rPr>
              <w:t xml:space="preserve">cohorte</w:t>
            </w:r>
            <w:r>
              <w:rPr>
                <w:sz w:val="20"/>
              </w:rPr>
              <w:t xml:space="preserve">.</w:t>
            </w:r>
          </w:p>
          <w:p w:rsidR="00432386" w:rsidRDefault="00432386">
            <w:pPr>
              <w:pStyle w:val="TableParagraph"/>
              <w:spacing w:before="4"/>
              <w:rPr>
                <w:sz w:val="30"/>
              </w:rPr>
            </w:pPr>
          </w:p>
          <w:p>
            <w:pPr>
              <w:pStyle w:val="TableParagraph"/>
              <w:ind w:start="107"/>
              <w:rPr>
                <w:b/>
                <w:sz w:val="20"/>
              </w:rPr>
            </w:pPr>
            <w:r>
              <w:rPr>
                <w:b/>
                <w:sz w:val="20"/>
              </w:rPr>
              <w:t xml:space="preserve">Domaine </w:t>
            </w:r>
            <w:r>
              <w:rPr>
                <w:b/>
                <w:sz w:val="20"/>
              </w:rPr>
              <w:t xml:space="preserve">1 : </w:t>
            </w:r>
            <w:r>
              <w:rPr>
                <w:b/>
                <w:sz w:val="20"/>
              </w:rPr>
              <w:t xml:space="preserve">Sélection</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7"/>
        <w:gridCol w:w="3118"/>
        <w:gridCol w:w="1985"/>
        <w:gridCol w:w="3970"/>
        <w:gridCol w:w="3061"/>
      </w:tblGrid>
      <w:tr w:rsidR="00432386">
        <w:trPr>
          <w:trHeight w:val="283"/>
        </w:trPr>
        <w:tc>
          <w:tcPr>
            <w:tcW w:w="3257"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18" w:type="dxa"/>
            <w:shd w:val="clear" w:color="auto" w:fill="8DB3E1"/>
          </w:tcPr>
          <w:p>
            <w:pPr>
              <w:pStyle w:val="TableParagraph"/>
              <w:spacing w:line="220" w:lineRule="exact"/>
              <w:ind w:start="108"/>
              <w:rPr>
                <w:b/>
                <w:sz w:val="20"/>
              </w:rPr>
            </w:pPr>
            <w:r>
              <w:rPr>
                <w:b/>
                <w:sz w:val="20"/>
              </w:rPr>
              <w:t xml:space="preserve">Population</w:t>
            </w:r>
          </w:p>
        </w:tc>
        <w:tc>
          <w:tcPr>
            <w:tcW w:w="1985" w:type="dxa"/>
            <w:shd w:val="clear" w:color="auto" w:fill="8DB3E1"/>
          </w:tcPr>
          <w:p>
            <w:pPr>
              <w:pStyle w:val="TableParagraph"/>
              <w:spacing w:line="220" w:lineRule="exact"/>
              <w:ind w:start="108"/>
              <w:rPr>
                <w:b/>
                <w:sz w:val="20"/>
              </w:rPr>
            </w:pPr>
            <w:r>
              <w:rPr>
                <w:b/>
                <w:sz w:val="20"/>
              </w:rPr>
              <w:t xml:space="preserve">Interventions</w:t>
            </w:r>
          </w:p>
        </w:tc>
        <w:tc>
          <w:tcPr>
            <w:tcW w:w="3970" w:type="dxa"/>
            <w:shd w:val="clear" w:color="auto" w:fill="8DB3E1"/>
          </w:tcPr>
          <w:p>
            <w:pPr>
              <w:pStyle w:val="TableParagraph"/>
              <w:spacing w:line="220" w:lineRule="exact"/>
              <w:ind w:start="107"/>
              <w:rPr>
                <w:b/>
                <w:sz w:val="20"/>
              </w:rPr>
            </w:pPr>
            <w:r>
              <w:rPr>
                <w:b/>
                <w:sz w:val="20"/>
              </w:rPr>
              <w:t xml:space="preserve">Résultats de l'</w:t>
            </w:r>
            <w:r>
              <w:rPr>
                <w:b/>
                <w:sz w:val="20"/>
              </w:rPr>
              <w:t xml:space="preserve">étude</w:t>
            </w:r>
          </w:p>
        </w:tc>
        <w:tc>
          <w:tcPr>
            <w:tcW w:w="3061" w:type="dxa"/>
            <w:shd w:val="clear" w:color="auto" w:fill="8DB3E1"/>
          </w:tcPr>
          <w:p>
            <w:pPr>
              <w:pStyle w:val="TableParagraph"/>
              <w:spacing w:line="220"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8972"/>
        </w:trPr>
        <w:tc>
          <w:tcPr>
            <w:tcW w:w="3257" w:type="dxa"/>
          </w:tcPr>
          <w:p>
            <w:pPr>
              <w:pStyle w:val="TableParagraph"/>
              <w:spacing w:before="4" w:line="580" w:lineRule="exact"/>
              <w:ind w:start="107" w:end="848"/>
              <w:rPr>
                <w:sz w:val="20"/>
              </w:rPr>
            </w:pPr>
            <w:r>
              <w:rPr>
                <w:sz w:val="20"/>
              </w:rPr>
              <w:t xml:space="preserve">Royaume-Uni </w:t>
            </w:r>
            <w:r>
              <w:rPr>
                <w:spacing w:val="-1"/>
                <w:sz w:val="20"/>
              </w:rPr>
              <w:t xml:space="preserve">Rétrospective </w:t>
            </w:r>
            <w:r>
              <w:rPr>
                <w:sz w:val="20"/>
              </w:rPr>
              <w:t xml:space="preserve">longitudinale</w:t>
            </w:r>
          </w:p>
          <w:p>
            <w:pPr>
              <w:pStyle w:val="TableParagraph"/>
              <w:spacing w:line="158" w:lineRule="exact"/>
              <w:ind w:start="107"/>
              <w:rPr>
                <w:sz w:val="20"/>
              </w:rPr>
            </w:pPr>
            <w:r>
              <w:rPr>
                <w:sz w:val="20"/>
              </w:rPr>
              <w:t xml:space="preserve">étude </w:t>
            </w:r>
            <w:r>
              <w:rPr>
                <w:sz w:val="20"/>
              </w:rPr>
              <w:t xml:space="preserve">observationnelle </w:t>
            </w:r>
            <w:r>
              <w:rPr>
                <w:sz w:val="20"/>
              </w:rPr>
              <w:t xml:space="preserve">dans </w:t>
            </w:r>
            <w:r>
              <w:rPr>
                <w:sz w:val="20"/>
              </w:rPr>
              <w:t xml:space="preserve">un seul </w:t>
            </w:r>
            <w:r>
              <w:rPr>
                <w:sz w:val="20"/>
              </w:rPr>
              <w:t xml:space="preserve">centre</w:t>
            </w:r>
          </w:p>
          <w:p w:rsidR="00432386" w:rsidRDefault="00432386">
            <w:pPr>
              <w:pStyle w:val="TableParagraph"/>
              <w:spacing w:before="3"/>
              <w:rPr>
                <w:sz w:val="30"/>
              </w:rPr>
            </w:pPr>
          </w:p>
          <w:p>
            <w:pPr>
              <w:pStyle w:val="TableParagraph"/>
              <w:ind w:start="107" w:end="169"/>
              <w:rPr>
                <w:sz w:val="20"/>
              </w:rPr>
            </w:pPr>
            <w:r>
              <w:rPr>
                <w:sz w:val="20"/>
              </w:rPr>
              <w:t xml:space="preserve">Étudier s'il y a une </w:t>
            </w:r>
            <w:r>
              <w:rPr>
                <w:sz w:val="20"/>
              </w:rPr>
              <w:t xml:space="preserve">perte significative de la </w:t>
            </w:r>
            <w:r>
              <w:rPr>
                <w:sz w:val="20"/>
              </w:rPr>
              <w:t xml:space="preserve">densité minérale </w:t>
            </w:r>
            <w:r>
              <w:rPr>
                <w:sz w:val="20"/>
              </w:rPr>
              <w:t xml:space="preserve">osseuse </w:t>
            </w:r>
            <w:r>
              <w:rPr>
                <w:sz w:val="20"/>
              </w:rPr>
              <w:t xml:space="preserve">(DMO) et de la </w:t>
            </w:r>
            <w:r>
              <w:rPr>
                <w:sz w:val="20"/>
              </w:rPr>
              <w:t xml:space="preserve">densité </w:t>
            </w:r>
            <w:r>
              <w:rPr>
                <w:sz w:val="20"/>
              </w:rPr>
              <w:t xml:space="preserve">minérale </w:t>
            </w:r>
            <w:r>
              <w:rPr>
                <w:sz w:val="20"/>
              </w:rPr>
              <w:t xml:space="preserve">osseuse </w:t>
            </w:r>
            <w:r>
              <w:rPr>
                <w:sz w:val="20"/>
              </w:rPr>
              <w:t xml:space="preserve">apparente </w:t>
            </w:r>
            <w:r>
              <w:rPr>
                <w:sz w:val="20"/>
              </w:rPr>
              <w:t xml:space="preserve">(DMOA) pendant une </w:t>
            </w:r>
            <w:r>
              <w:rPr>
                <w:sz w:val="20"/>
              </w:rPr>
              <w:t xml:space="preserve">période allant jusqu'à 3 ans de traitement </w:t>
            </w:r>
            <w:r>
              <w:rPr>
                <w:sz w:val="20"/>
              </w:rPr>
              <w:t xml:space="preserve">aux analogues de la </w:t>
            </w:r>
            <w:r>
              <w:rPr>
                <w:sz w:val="20"/>
              </w:rPr>
              <w:t xml:space="preserve">GnRH</w:t>
            </w:r>
            <w:r>
              <w:rPr>
                <w:sz w:val="20"/>
              </w:rPr>
              <w:t xml:space="preserve">. Rechercher </w:t>
            </w:r>
            <w:r>
              <w:rPr>
                <w:sz w:val="20"/>
              </w:rPr>
              <w:t xml:space="preserve">s'il y a une </w:t>
            </w:r>
            <w:r>
              <w:rPr>
                <w:sz w:val="20"/>
              </w:rPr>
              <w:t xml:space="preserve">baisse significative après 1 an de traitement </w:t>
            </w:r>
            <w:r>
              <w:rPr>
                <w:sz w:val="20"/>
              </w:rPr>
              <w:t xml:space="preserve">suite à un </w:t>
            </w:r>
            <w:r>
              <w:rPr>
                <w:sz w:val="20"/>
              </w:rPr>
              <w:t xml:space="preserve">arrêt </w:t>
            </w:r>
            <w:r>
              <w:rPr>
                <w:sz w:val="20"/>
              </w:rPr>
              <w:t xml:space="preserve">brutal</w:t>
            </w:r>
            <w:r>
              <w:rPr>
                <w:sz w:val="20"/>
              </w:rPr>
              <w:t xml:space="preserve">.</w:t>
            </w:r>
          </w:p>
          <w:p w:rsidR="00432386" w:rsidRDefault="00432386">
            <w:pPr>
              <w:pStyle w:val="TableParagraph"/>
              <w:spacing w:before="7"/>
              <w:rPr>
                <w:sz w:val="30"/>
              </w:rPr>
            </w:pPr>
          </w:p>
          <w:p>
            <w:pPr>
              <w:pStyle w:val="TableParagraph"/>
              <w:ind w:start="107"/>
              <w:rPr>
                <w:sz w:val="20"/>
              </w:rPr>
            </w:pPr>
            <w:r>
              <w:rPr>
                <w:sz w:val="20"/>
              </w:rPr>
              <w:t xml:space="preserve">2011 </w:t>
            </w:r>
            <w:r>
              <w:rPr>
                <w:sz w:val="20"/>
              </w:rPr>
              <w:t xml:space="preserve">à </w:t>
            </w:r>
            <w:r>
              <w:rPr>
                <w:sz w:val="20"/>
              </w:rPr>
              <w:t xml:space="preserve">2016</w:t>
            </w:r>
          </w:p>
        </w:tc>
        <w:tc>
          <w:tcPr>
            <w:tcW w:w="3118" w:type="dxa"/>
          </w:tcPr>
          <w:p>
            <w:pPr>
              <w:pStyle w:val="TableParagraph"/>
              <w:ind w:start="108" w:end="105"/>
              <w:rPr>
                <w:sz w:val="20"/>
              </w:rPr>
            </w:pPr>
            <w:r>
              <w:rPr>
                <w:sz w:val="20"/>
              </w:rPr>
              <w:t xml:space="preserve">Tous </w:t>
            </w:r>
            <w:r>
              <w:rPr>
                <w:sz w:val="20"/>
              </w:rPr>
              <w:t xml:space="preserve">avaient </w:t>
            </w:r>
            <w:r>
              <w:rPr>
                <w:sz w:val="20"/>
              </w:rPr>
              <w:t xml:space="preserve">été </w:t>
            </w:r>
            <w:r>
              <w:rPr>
                <w:sz w:val="20"/>
              </w:rPr>
              <w:t xml:space="preserve">vus </w:t>
            </w:r>
            <w:r>
              <w:rPr>
                <w:sz w:val="20"/>
              </w:rPr>
              <w:t xml:space="preserve">et </w:t>
            </w:r>
            <w:r>
              <w:rPr>
                <w:sz w:val="20"/>
              </w:rPr>
              <w:t xml:space="preserve">évalués </w:t>
            </w:r>
            <w:r>
              <w:rPr>
                <w:sz w:val="20"/>
              </w:rPr>
              <w:t xml:space="preserve">par une </w:t>
            </w:r>
            <w:r>
              <w:rPr>
                <w:sz w:val="20"/>
              </w:rPr>
              <w:t xml:space="preserve">équipe de </w:t>
            </w:r>
            <w:r>
              <w:rPr>
                <w:sz w:val="20"/>
              </w:rPr>
              <w:t xml:space="preserve">santé psychosociale pluridisciplinaire</w:t>
            </w:r>
            <w:r>
              <w:rPr>
                <w:sz w:val="20"/>
              </w:rPr>
              <w:t xml:space="preserve"> du </w:t>
            </w:r>
            <w:r>
              <w:rPr>
                <w:sz w:val="20"/>
              </w:rPr>
              <w:t xml:space="preserve">Gender Identity </w:t>
            </w:r>
            <w:r>
              <w:rPr>
                <w:sz w:val="20"/>
              </w:rPr>
              <w:t xml:space="preserve">Development Service (Service de développement de l'</w:t>
            </w:r>
            <w:r>
              <w:rPr>
                <w:sz w:val="20"/>
              </w:rPr>
              <w:t xml:space="preserve">identité de genre</w:t>
            </w:r>
            <w:r>
              <w:rPr>
                <w:sz w:val="20"/>
              </w:rPr>
              <w:t xml:space="preserve">) </w:t>
            </w:r>
            <w:r>
              <w:rPr>
                <w:sz w:val="20"/>
              </w:rPr>
              <w:t xml:space="preserve">pendant au moins quatre évaluations </w:t>
            </w:r>
            <w:r>
              <w:rPr>
                <w:sz w:val="20"/>
              </w:rPr>
              <w:t xml:space="preserve">sur une période minimale de six mois. Tous les </w:t>
            </w:r>
            <w:r>
              <w:rPr>
                <w:sz w:val="20"/>
              </w:rPr>
              <w:t xml:space="preserve">participants étaient entrés dans la puberté </w:t>
            </w:r>
            <w:r>
              <w:rPr>
                <w:sz w:val="20"/>
              </w:rPr>
              <w:t xml:space="preserve">et tous, à l'exception de deux d'entre eux, </w:t>
            </w:r>
            <w:r>
              <w:rPr>
                <w:sz w:val="20"/>
              </w:rPr>
              <w:t xml:space="preserve">étaient </w:t>
            </w:r>
            <w:r>
              <w:rPr>
                <w:sz w:val="20"/>
              </w:rPr>
              <w:t xml:space="preserve">post-ménarchiques.</w:t>
            </w:r>
          </w:p>
          <w:p>
            <w:pPr>
              <w:pStyle w:val="TableParagraph"/>
              <w:spacing w:before="51"/>
              <w:ind w:start="108" w:end="139"/>
              <w:rPr>
                <w:sz w:val="20"/>
              </w:rPr>
            </w:pPr>
            <w:r>
              <w:rPr>
                <w:sz w:val="20"/>
              </w:rPr>
              <w:t xml:space="preserve">57% </w:t>
            </w:r>
            <w:r>
              <w:rPr>
                <w:sz w:val="20"/>
              </w:rPr>
              <w:t xml:space="preserve">des </w:t>
            </w:r>
            <w:r>
              <w:rPr>
                <w:sz w:val="20"/>
              </w:rPr>
              <w:t xml:space="preserve">transfemmes </w:t>
            </w:r>
            <w:r>
              <w:rPr>
                <w:sz w:val="20"/>
              </w:rPr>
              <w:t xml:space="preserve">étaient </w:t>
            </w:r>
            <w:r>
              <w:rPr>
                <w:sz w:val="20"/>
              </w:rPr>
              <w:t xml:space="preserve">en </w:t>
            </w:r>
            <w:r>
              <w:rPr>
                <w:sz w:val="20"/>
              </w:rPr>
              <w:t xml:space="preserve">puberté précoce (G2-3 et </w:t>
            </w:r>
            <w:r>
              <w:rPr>
                <w:sz w:val="20"/>
              </w:rPr>
              <w:t xml:space="preserve">volume testiculaire &gt;4 mL) et 43% </w:t>
            </w:r>
            <w:r>
              <w:rPr>
                <w:sz w:val="20"/>
              </w:rPr>
              <w:t xml:space="preserve">en puberté tardive (G4- 5)</w:t>
            </w:r>
            <w:r>
              <w:rPr>
                <w:spacing w:val="1"/>
                <w:sz w:val="20"/>
              </w:rPr>
              <w:t xml:space="preserve">.</w:t>
            </w:r>
          </w:p>
          <w:p>
            <w:pPr>
              <w:pStyle w:val="TableParagraph"/>
              <w:spacing w:before="60"/>
              <w:ind w:start="108" w:end="407"/>
              <w:rPr>
                <w:sz w:val="20"/>
              </w:rPr>
            </w:pPr>
            <w:r>
              <w:rPr>
                <w:sz w:val="20"/>
              </w:rPr>
              <w:t xml:space="preserve">Les </w:t>
            </w:r>
            <w:r>
              <w:rPr>
                <w:sz w:val="20"/>
              </w:rPr>
              <w:t xml:space="preserve">détails </w:t>
            </w:r>
            <w:r>
              <w:rPr>
                <w:sz w:val="20"/>
              </w:rPr>
              <w:t xml:space="preserve">du </w:t>
            </w:r>
            <w:r>
              <w:rPr>
                <w:sz w:val="20"/>
              </w:rPr>
              <w:t xml:space="preserve">cadre d'</w:t>
            </w:r>
            <w:r>
              <w:rPr>
                <w:sz w:val="20"/>
              </w:rPr>
              <w:t xml:space="preserve">échantillonnage </w:t>
            </w:r>
            <w:r>
              <w:rPr>
                <w:sz w:val="20"/>
              </w:rPr>
              <w:t xml:space="preserve">n'ont pas </w:t>
            </w:r>
            <w:r>
              <w:rPr>
                <w:sz w:val="20"/>
              </w:rPr>
              <w:t xml:space="preserve">été </w:t>
            </w:r>
            <w:r>
              <w:rPr>
                <w:sz w:val="20"/>
              </w:rPr>
              <w:t xml:space="preserve">rapportés.</w:t>
            </w:r>
          </w:p>
          <w:p>
            <w:pPr>
              <w:pStyle w:val="TableParagraph"/>
              <w:spacing w:before="61"/>
              <w:ind w:start="108" w:end="662"/>
              <w:rPr>
                <w:sz w:val="20"/>
              </w:rPr>
            </w:pPr>
            <w:r>
              <w:rPr>
                <w:sz w:val="20"/>
              </w:rPr>
              <w:t xml:space="preserve">Aucun </w:t>
            </w:r>
            <w:r>
              <w:rPr>
                <w:sz w:val="20"/>
              </w:rPr>
              <w:t xml:space="preserve">détail supplémentaire sur la façon dont l'</w:t>
            </w:r>
            <w:r>
              <w:rPr>
                <w:sz w:val="20"/>
              </w:rPr>
              <w:t xml:space="preserve">échantillon </w:t>
            </w:r>
            <w:r>
              <w:rPr>
                <w:sz w:val="20"/>
              </w:rPr>
              <w:t xml:space="preserve">a été </w:t>
            </w:r>
            <w:r>
              <w:rPr>
                <w:sz w:val="20"/>
              </w:rPr>
              <w:t xml:space="preserve">tiré </w:t>
            </w:r>
            <w:r>
              <w:rPr>
                <w:sz w:val="20"/>
              </w:rPr>
              <w:t xml:space="preserve">n'</w:t>
            </w:r>
            <w:r>
              <w:rPr>
                <w:sz w:val="20"/>
              </w:rPr>
              <w:t xml:space="preserve">est </w:t>
            </w:r>
            <w:r>
              <w:rPr>
                <w:sz w:val="20"/>
              </w:rPr>
              <w:t xml:space="preserve">rapporté.</w:t>
            </w:r>
          </w:p>
        </w:tc>
        <w:tc>
          <w:tcPr>
            <w:tcW w:w="1985" w:type="dxa"/>
          </w:tcPr>
          <w:p>
            <w:pPr>
              <w:pStyle w:val="TableParagraph"/>
              <w:ind w:start="108" w:end="615"/>
              <w:rPr>
                <w:sz w:val="20"/>
              </w:rPr>
            </w:pPr>
            <w:r>
              <w:rPr>
                <w:spacing w:val="-1"/>
                <w:sz w:val="20"/>
              </w:rPr>
              <w:t xml:space="preserve">l'administration </w:t>
            </w:r>
            <w:r>
              <w:rPr>
                <w:sz w:val="20"/>
              </w:rPr>
              <w:t xml:space="preserve">a signalé.</w:t>
            </w:r>
          </w:p>
          <w:p>
            <w:pPr>
              <w:pStyle w:val="TableParagraph"/>
              <w:spacing w:before="50"/>
              <w:ind w:start="108" w:end="435"/>
              <w:jc w:val="both"/>
              <w:rPr>
                <w:sz w:val="20"/>
              </w:rPr>
            </w:pPr>
            <w:r>
              <w:rPr>
                <w:sz w:val="20"/>
              </w:rPr>
              <w:t xml:space="preserve">Aucun </w:t>
            </w:r>
            <w:r>
              <w:rPr>
                <w:sz w:val="20"/>
              </w:rPr>
              <w:t xml:space="preserve">traitement </w:t>
            </w:r>
            <w:r>
              <w:rPr>
                <w:sz w:val="20"/>
              </w:rPr>
              <w:t xml:space="preserve">concomitant n'a </w:t>
            </w:r>
            <w:r>
              <w:rPr>
                <w:sz w:val="20"/>
              </w:rPr>
              <w:t xml:space="preserve">été </w:t>
            </w:r>
            <w:r>
              <w:rPr>
                <w:sz w:val="20"/>
              </w:rPr>
              <w:t xml:space="preserve">signalé.</w:t>
            </w:r>
          </w:p>
          <w:p>
            <w:pPr>
              <w:pStyle w:val="TableParagraph"/>
              <w:spacing w:before="62"/>
              <w:ind w:start="108"/>
              <w:jc w:val="both"/>
              <w:rPr>
                <w:sz w:val="20"/>
              </w:rPr>
            </w:pPr>
            <w:r>
              <w:rPr>
                <w:sz w:val="20"/>
              </w:rPr>
              <w:t xml:space="preserve">Pas de </w:t>
            </w:r>
            <w:r>
              <w:rPr>
                <w:sz w:val="20"/>
              </w:rPr>
              <w:t xml:space="preserve">comparateur.</w:t>
            </w:r>
          </w:p>
        </w:tc>
        <w:tc>
          <w:tcPr>
            <w:tcW w:w="3970" w:type="dxa"/>
          </w:tcPr>
          <w:p>
            <w:pPr>
              <w:pStyle w:val="TableParagraph"/>
              <w:spacing w:line="220" w:lineRule="exact"/>
              <w:ind w:start="107"/>
              <w:rPr>
                <w:sz w:val="20"/>
              </w:rPr>
            </w:pPr>
            <w:r>
              <w:rPr>
                <w:sz w:val="20"/>
              </w:rPr>
              <w:t xml:space="preserve">0,235 </w:t>
            </w:r>
            <w:r>
              <w:rPr>
                <w:sz w:val="20"/>
              </w:rPr>
              <w:t xml:space="preserve">(0,030) </w:t>
            </w:r>
            <w:r>
              <w:rPr>
                <w:sz w:val="20"/>
              </w:rPr>
              <w:t xml:space="preserve">g/cm3 </w:t>
            </w:r>
            <w:r>
              <w:rPr>
                <w:sz w:val="20"/>
              </w:rPr>
              <w:t xml:space="preserve">au </w:t>
            </w:r>
            <w:r>
              <w:rPr>
                <w:sz w:val="20"/>
              </w:rPr>
              <w:t xml:space="preserve">départ,</w:t>
            </w:r>
          </w:p>
          <w:p>
            <w:pPr>
              <w:pStyle w:val="TableParagraph"/>
              <w:ind w:start="107"/>
              <w:rPr>
                <w:sz w:val="20"/>
              </w:rPr>
            </w:pPr>
            <w:r>
              <w:rPr>
                <w:sz w:val="20"/>
              </w:rPr>
              <w:t xml:space="preserve">0,233 </w:t>
            </w:r>
            <w:r>
              <w:rPr>
                <w:sz w:val="20"/>
              </w:rPr>
              <w:t xml:space="preserve">g/cm3 </w:t>
            </w:r>
            <w:r>
              <w:rPr>
                <w:sz w:val="20"/>
              </w:rPr>
              <w:t xml:space="preserve">(0,029) </w:t>
            </w:r>
            <w:r>
              <w:rPr>
                <w:sz w:val="20"/>
              </w:rPr>
              <w:t xml:space="preserve">à </w:t>
            </w:r>
            <w:r>
              <w:rPr>
                <w:sz w:val="20"/>
              </w:rPr>
              <w:t xml:space="preserve">1 </w:t>
            </w:r>
            <w:r>
              <w:rPr>
                <w:sz w:val="20"/>
              </w:rPr>
              <w:t xml:space="preserve">an </w:t>
            </w:r>
            <w:r>
              <w:rPr>
                <w:sz w:val="20"/>
              </w:rPr>
              <w:t xml:space="preserve">(p=0,459) ;</w:t>
            </w:r>
          </w:p>
          <w:p>
            <w:pPr>
              <w:pStyle w:val="TableParagraph"/>
              <w:spacing w:before="1"/>
              <w:ind w:start="107"/>
              <w:rPr>
                <w:sz w:val="20"/>
              </w:rPr>
            </w:pPr>
            <w:r>
              <w:rPr>
                <w:sz w:val="20"/>
              </w:rPr>
              <w:t xml:space="preserve">z-score </w:t>
            </w:r>
            <w:r>
              <w:rPr>
                <w:sz w:val="20"/>
              </w:rPr>
              <w:t xml:space="preserve">0,859 </w:t>
            </w:r>
            <w:r>
              <w:rPr>
                <w:sz w:val="20"/>
              </w:rPr>
              <w:t xml:space="preserve">(0,154) </w:t>
            </w:r>
            <w:r>
              <w:rPr>
                <w:sz w:val="20"/>
              </w:rPr>
              <w:t xml:space="preserve">au </w:t>
            </w:r>
            <w:r>
              <w:rPr>
                <w:sz w:val="20"/>
              </w:rPr>
              <w:t xml:space="preserve">départ, </w:t>
            </w:r>
            <w:r>
              <w:rPr>
                <w:sz w:val="20"/>
              </w:rPr>
              <w:t xml:space="preserve">-0,228</w:t>
            </w:r>
          </w:p>
          <w:p>
            <w:pPr>
              <w:pStyle w:val="TableParagraph"/>
              <w:ind w:start="107" w:end="1465"/>
              <w:rPr>
                <w:sz w:val="20"/>
              </w:rPr>
            </w:pPr>
            <w:r>
              <w:rPr>
                <w:sz w:val="20"/>
              </w:rPr>
              <w:t xml:space="preserve">(1,027) </w:t>
            </w:r>
            <w:r>
              <w:rPr>
                <w:sz w:val="20"/>
              </w:rPr>
              <w:t xml:space="preserve">à </w:t>
            </w:r>
            <w:r>
              <w:rPr>
                <w:sz w:val="20"/>
              </w:rPr>
              <w:t xml:space="preserve">1 </w:t>
            </w:r>
            <w:r>
              <w:rPr>
                <w:sz w:val="20"/>
              </w:rPr>
              <w:t xml:space="preserve">an </w:t>
            </w:r>
            <w:r>
              <w:rPr>
                <w:sz w:val="20"/>
              </w:rPr>
              <w:t xml:space="preserve">(p=0,000) </w:t>
            </w:r>
            <w:r>
              <w:rPr>
                <w:sz w:val="20"/>
              </w:rPr>
              <w:t xml:space="preserve">Transmales </w:t>
            </w:r>
            <w:r>
              <w:rPr>
                <w:sz w:val="20"/>
              </w:rPr>
              <w:t xml:space="preserve">(moyenne </w:t>
            </w:r>
            <w:r>
              <w:rPr>
                <w:sz w:val="20"/>
              </w:rPr>
              <w:t xml:space="preserve">[±SD]) :</w:t>
            </w:r>
          </w:p>
          <w:p>
            <w:pPr>
              <w:pStyle w:val="TableParagraph"/>
              <w:spacing w:before="1"/>
              <w:ind w:start="107"/>
              <w:rPr>
                <w:sz w:val="20"/>
              </w:rPr>
            </w:pPr>
            <w:r>
              <w:rPr>
                <w:sz w:val="20"/>
              </w:rPr>
              <w:t xml:space="preserve">0,196 </w:t>
            </w:r>
            <w:r>
              <w:rPr>
                <w:sz w:val="20"/>
              </w:rPr>
              <w:t xml:space="preserve">(0,035) </w:t>
            </w:r>
            <w:r>
              <w:rPr>
                <w:sz w:val="20"/>
              </w:rPr>
              <w:t xml:space="preserve">g/cm3 </w:t>
            </w:r>
            <w:r>
              <w:rPr>
                <w:sz w:val="20"/>
              </w:rPr>
              <w:t xml:space="preserve">au </w:t>
            </w:r>
            <w:r>
              <w:rPr>
                <w:sz w:val="20"/>
              </w:rPr>
              <w:t xml:space="preserve">départ, </w:t>
            </w:r>
            <w:r>
              <w:rPr>
                <w:sz w:val="20"/>
              </w:rPr>
              <w:t xml:space="preserve">0,201 </w:t>
            </w:r>
            <w:r>
              <w:rPr>
                <w:sz w:val="20"/>
              </w:rPr>
              <w:t xml:space="preserve">(0,033) </w:t>
            </w:r>
            <w:r>
              <w:rPr>
                <w:sz w:val="20"/>
              </w:rPr>
              <w:t xml:space="preserve">g/cm3 </w:t>
            </w:r>
            <w:r>
              <w:rPr>
                <w:sz w:val="20"/>
              </w:rPr>
              <w:t xml:space="preserve">à </w:t>
            </w:r>
            <w:r>
              <w:rPr>
                <w:sz w:val="20"/>
              </w:rPr>
              <w:t xml:space="preserve">1 </w:t>
            </w:r>
            <w:r>
              <w:rPr>
                <w:sz w:val="20"/>
              </w:rPr>
              <w:t xml:space="preserve">an </w:t>
            </w:r>
            <w:r>
              <w:rPr>
                <w:sz w:val="20"/>
              </w:rPr>
              <w:t xml:space="preserve">(p=0,074) ;</w:t>
            </w:r>
          </w:p>
          <w:p>
            <w:pPr>
              <w:pStyle w:val="TableParagraph"/>
              <w:spacing w:line="228" w:lineRule="exact"/>
              <w:ind w:start="107"/>
              <w:rPr>
                <w:sz w:val="20"/>
              </w:rPr>
            </w:pPr>
            <w:r>
              <w:rPr>
                <w:sz w:val="20"/>
              </w:rPr>
              <w:t xml:space="preserve">z-score </w:t>
            </w:r>
            <w:r>
              <w:rPr>
                <w:sz w:val="20"/>
              </w:rPr>
              <w:t xml:space="preserve">-0,186 </w:t>
            </w:r>
            <w:r>
              <w:rPr>
                <w:sz w:val="20"/>
              </w:rPr>
              <w:t xml:space="preserve">(1,230) </w:t>
            </w:r>
            <w:r>
              <w:rPr>
                <w:sz w:val="20"/>
              </w:rPr>
              <w:t xml:space="preserve">au </w:t>
            </w:r>
            <w:r>
              <w:rPr>
                <w:sz w:val="20"/>
              </w:rPr>
              <w:t xml:space="preserve">départ,</w:t>
            </w:r>
          </w:p>
          <w:p>
            <w:pPr>
              <w:pStyle w:val="TableParagraph"/>
              <w:ind w:start="107"/>
              <w:rPr>
                <w:sz w:val="20"/>
              </w:rPr>
            </w:pPr>
            <w:r>
              <w:rPr>
                <w:sz w:val="20"/>
              </w:rPr>
              <w:t xml:space="preserve">-0,541 </w:t>
            </w:r>
            <w:r>
              <w:rPr>
                <w:sz w:val="20"/>
              </w:rPr>
              <w:t xml:space="preserve">(1,396) </w:t>
            </w:r>
            <w:r>
              <w:rPr>
                <w:sz w:val="20"/>
              </w:rPr>
              <w:t xml:space="preserve">à </w:t>
            </w:r>
            <w:r>
              <w:rPr>
                <w:sz w:val="20"/>
              </w:rPr>
              <w:t xml:space="preserve">1 </w:t>
            </w:r>
            <w:r>
              <w:rPr>
                <w:sz w:val="20"/>
              </w:rPr>
              <w:t xml:space="preserve">an </w:t>
            </w:r>
            <w:r>
              <w:rPr>
                <w:sz w:val="20"/>
              </w:rPr>
              <w:t xml:space="preserve">(p=0,006)</w:t>
            </w:r>
          </w:p>
          <w:p>
            <w:pPr>
              <w:pStyle w:val="TableParagraph"/>
              <w:spacing w:before="1"/>
              <w:ind w:start="107"/>
              <w:rPr>
                <w:b/>
                <w:sz w:val="20"/>
              </w:rPr>
            </w:pPr>
            <w:r>
              <w:rPr>
                <w:b/>
                <w:sz w:val="20"/>
              </w:rPr>
              <w:t xml:space="preserve">Colonne </w:t>
            </w:r>
            <w:r>
              <w:rPr>
                <w:b/>
                <w:sz w:val="20"/>
              </w:rPr>
              <w:t xml:space="preserve">lombaire </w:t>
            </w:r>
            <w:r>
              <w:rPr>
                <w:b/>
                <w:sz w:val="20"/>
              </w:rPr>
              <w:t xml:space="preserve">BMAD </w:t>
            </w:r>
            <w:r>
              <w:rPr>
                <w:b/>
                <w:sz w:val="20"/>
              </w:rPr>
              <w:t xml:space="preserve">0 </w:t>
            </w:r>
            <w:r>
              <w:rPr>
                <w:b/>
                <w:sz w:val="20"/>
              </w:rPr>
              <w:t xml:space="preserve">à </w:t>
            </w:r>
            <w:r>
              <w:rPr>
                <w:b/>
                <w:sz w:val="20"/>
              </w:rPr>
              <w:t xml:space="preserve">2 </w:t>
            </w:r>
            <w:r>
              <w:rPr>
                <w:b/>
                <w:sz w:val="20"/>
              </w:rPr>
              <w:t xml:space="preserve">ans</w:t>
            </w:r>
          </w:p>
          <w:p>
            <w:pPr>
              <w:pStyle w:val="TableParagraph"/>
              <w:spacing w:before="1" w:line="229" w:lineRule="exact"/>
              <w:ind w:start="107"/>
              <w:rPr>
                <w:sz w:val="20"/>
              </w:rPr>
            </w:pPr>
            <w:r>
              <w:rPr>
                <w:sz w:val="20"/>
              </w:rPr>
              <w:t xml:space="preserve">Femmes transfemmes </w:t>
            </w:r>
            <w:r>
              <w:rPr>
                <w:sz w:val="20"/>
              </w:rPr>
              <w:t xml:space="preserve">(moyenne [±SD]) :</w:t>
            </w:r>
          </w:p>
          <w:p>
            <w:pPr>
              <w:pStyle w:val="TableParagraph"/>
              <w:ind w:start="107"/>
              <w:rPr>
                <w:sz w:val="20"/>
              </w:rPr>
            </w:pPr>
            <w:r>
              <w:rPr>
                <w:sz w:val="20"/>
              </w:rPr>
              <w:t xml:space="preserve">0,240 </w:t>
            </w:r>
            <w:r>
              <w:rPr>
                <w:sz w:val="20"/>
              </w:rPr>
              <w:t xml:space="preserve">(0,027) </w:t>
            </w:r>
            <w:r>
              <w:rPr>
                <w:sz w:val="20"/>
              </w:rPr>
              <w:t xml:space="preserve">g/cm3 </w:t>
            </w:r>
            <w:r>
              <w:rPr>
                <w:sz w:val="20"/>
              </w:rPr>
              <w:t xml:space="preserve">au </w:t>
            </w:r>
            <w:r>
              <w:rPr>
                <w:sz w:val="20"/>
              </w:rPr>
              <w:t xml:space="preserve">départ, </w:t>
            </w:r>
            <w:r>
              <w:rPr>
                <w:sz w:val="20"/>
              </w:rPr>
              <w:t xml:space="preserve">0,240 </w:t>
            </w:r>
            <w:r>
              <w:rPr>
                <w:sz w:val="20"/>
              </w:rPr>
              <w:t xml:space="preserve">(0,030) </w:t>
            </w:r>
            <w:r>
              <w:rPr>
                <w:sz w:val="20"/>
              </w:rPr>
              <w:t xml:space="preserve">g/cm3 </w:t>
            </w:r>
            <w:r>
              <w:rPr>
                <w:sz w:val="20"/>
              </w:rPr>
              <w:t xml:space="preserve">à </w:t>
            </w:r>
            <w:r>
              <w:rPr>
                <w:sz w:val="20"/>
              </w:rPr>
              <w:t xml:space="preserve">2 </w:t>
            </w:r>
            <w:r>
              <w:rPr>
                <w:sz w:val="20"/>
              </w:rPr>
              <w:t xml:space="preserve">ans </w:t>
            </w:r>
            <w:r>
              <w:rPr>
                <w:sz w:val="20"/>
              </w:rPr>
              <w:t xml:space="preserve">(p=0,865) ;</w:t>
            </w:r>
          </w:p>
          <w:p>
            <w:pPr>
              <w:pStyle w:val="TableParagraph"/>
              <w:ind w:start="107"/>
              <w:rPr>
                <w:sz w:val="20"/>
              </w:rPr>
            </w:pPr>
            <w:r>
              <w:rPr>
                <w:sz w:val="20"/>
              </w:rPr>
              <w:t xml:space="preserve">z-score </w:t>
            </w:r>
            <w:r>
              <w:rPr>
                <w:sz w:val="20"/>
              </w:rPr>
              <w:t xml:space="preserve">0.486 </w:t>
            </w:r>
            <w:r>
              <w:rPr>
                <w:sz w:val="20"/>
              </w:rPr>
              <w:t xml:space="preserve">(0.809) </w:t>
            </w:r>
            <w:r>
              <w:rPr>
                <w:sz w:val="20"/>
              </w:rPr>
              <w:t xml:space="preserve">au </w:t>
            </w:r>
            <w:r>
              <w:rPr>
                <w:sz w:val="20"/>
              </w:rPr>
              <w:t xml:space="preserve">départ, </w:t>
            </w:r>
            <w:r>
              <w:rPr>
                <w:sz w:val="20"/>
              </w:rPr>
              <w:t xml:space="preserve">-0.279</w:t>
            </w:r>
          </w:p>
          <w:p>
            <w:pPr>
              <w:pStyle w:val="TableParagraph"/>
              <w:ind w:start="107" w:end="1348"/>
              <w:rPr>
                <w:sz w:val="20"/>
              </w:rPr>
            </w:pPr>
            <w:r>
              <w:rPr>
                <w:sz w:val="20"/>
              </w:rPr>
              <w:t xml:space="preserve">(0,930) à 2 ans (p=0,000) </w:t>
            </w:r>
            <w:r>
              <w:rPr>
                <w:sz w:val="20"/>
              </w:rPr>
              <w:t xml:space="preserve">Transmales </w:t>
            </w:r>
            <w:r>
              <w:rPr>
                <w:sz w:val="20"/>
              </w:rPr>
              <w:t xml:space="preserve">(moyenne </w:t>
            </w:r>
            <w:r>
              <w:rPr>
                <w:sz w:val="20"/>
              </w:rPr>
              <w:t xml:space="preserve">[±SD]) :</w:t>
            </w:r>
          </w:p>
          <w:p>
            <w:pPr>
              <w:pStyle w:val="TableParagraph"/>
              <w:spacing w:before="1"/>
              <w:ind w:start="107"/>
              <w:rPr>
                <w:sz w:val="20"/>
              </w:rPr>
            </w:pPr>
            <w:r>
              <w:rPr>
                <w:sz w:val="20"/>
              </w:rPr>
              <w:t xml:space="preserve">0,195 </w:t>
            </w:r>
            <w:r>
              <w:rPr>
                <w:sz w:val="20"/>
              </w:rPr>
              <w:t xml:space="preserve">(0,058) </w:t>
            </w:r>
            <w:r>
              <w:rPr>
                <w:sz w:val="20"/>
              </w:rPr>
              <w:t xml:space="preserve">g/cm3 </w:t>
            </w:r>
            <w:r>
              <w:rPr>
                <w:sz w:val="20"/>
              </w:rPr>
              <w:t xml:space="preserve">au </w:t>
            </w:r>
            <w:r>
              <w:rPr>
                <w:sz w:val="20"/>
              </w:rPr>
              <w:t xml:space="preserve">départ, </w:t>
            </w:r>
            <w:r>
              <w:rPr>
                <w:sz w:val="20"/>
              </w:rPr>
              <w:t xml:space="preserve">0,198 </w:t>
            </w:r>
            <w:r>
              <w:rPr>
                <w:sz w:val="20"/>
              </w:rPr>
              <w:t xml:space="preserve">(0,055) </w:t>
            </w:r>
            <w:r>
              <w:rPr>
                <w:sz w:val="20"/>
              </w:rPr>
              <w:t xml:space="preserve">à </w:t>
            </w:r>
            <w:r>
              <w:rPr>
                <w:sz w:val="20"/>
              </w:rPr>
              <w:t xml:space="preserve">2 </w:t>
            </w:r>
            <w:r>
              <w:rPr>
                <w:sz w:val="20"/>
              </w:rPr>
              <w:t xml:space="preserve">ans (p=0,433) ;</w:t>
            </w:r>
          </w:p>
          <w:p>
            <w:pPr>
              <w:pStyle w:val="TableParagraph"/>
              <w:spacing w:line="228" w:lineRule="exact"/>
              <w:ind w:start="107"/>
              <w:rPr>
                <w:sz w:val="20"/>
              </w:rPr>
            </w:pPr>
            <w:r>
              <w:rPr>
                <w:sz w:val="20"/>
              </w:rPr>
              <w:t xml:space="preserve">z-score </w:t>
            </w:r>
            <w:r>
              <w:rPr>
                <w:sz w:val="20"/>
              </w:rPr>
              <w:t xml:space="preserve">-0,361 </w:t>
            </w:r>
            <w:r>
              <w:rPr>
                <w:sz w:val="20"/>
              </w:rPr>
              <w:t xml:space="preserve">(1,439) </w:t>
            </w:r>
            <w:r>
              <w:rPr>
                <w:sz w:val="20"/>
              </w:rPr>
              <w:t xml:space="preserve">au </w:t>
            </w:r>
            <w:r>
              <w:rPr>
                <w:sz w:val="20"/>
              </w:rPr>
              <w:t xml:space="preserve">départ,</w:t>
            </w:r>
          </w:p>
          <w:p>
            <w:pPr>
              <w:pStyle w:val="TableParagraph"/>
              <w:spacing w:before="1"/>
              <w:ind w:start="107"/>
              <w:rPr>
                <w:sz w:val="20"/>
              </w:rPr>
            </w:pPr>
            <w:r>
              <w:rPr>
                <w:sz w:val="20"/>
              </w:rPr>
              <w:t xml:space="preserve">-0,913 </w:t>
            </w:r>
            <w:r>
              <w:rPr>
                <w:sz w:val="20"/>
              </w:rPr>
              <w:t xml:space="preserve">(1,318) </w:t>
            </w:r>
            <w:r>
              <w:rPr>
                <w:sz w:val="20"/>
              </w:rPr>
              <w:t xml:space="preserve">à </w:t>
            </w:r>
            <w:r>
              <w:rPr>
                <w:sz w:val="20"/>
              </w:rPr>
              <w:t xml:space="preserve">2 </w:t>
            </w:r>
            <w:r>
              <w:rPr>
                <w:sz w:val="20"/>
              </w:rPr>
              <w:t xml:space="preserve">ans </w:t>
            </w:r>
            <w:r>
              <w:rPr>
                <w:sz w:val="20"/>
              </w:rPr>
              <w:t xml:space="preserve">(p=0,001)</w:t>
            </w:r>
          </w:p>
          <w:p>
            <w:pPr>
              <w:pStyle w:val="TableParagraph"/>
              <w:ind w:start="107"/>
              <w:rPr>
                <w:b/>
                <w:sz w:val="20"/>
              </w:rPr>
            </w:pPr>
            <w:r>
              <w:rPr>
                <w:b/>
                <w:sz w:val="20"/>
              </w:rPr>
              <w:t xml:space="preserve">Densité </w:t>
            </w:r>
            <w:r>
              <w:rPr>
                <w:b/>
                <w:sz w:val="20"/>
              </w:rPr>
              <w:t xml:space="preserve">minérale </w:t>
            </w:r>
            <w:r>
              <w:rPr>
                <w:b/>
                <w:sz w:val="20"/>
              </w:rPr>
              <w:t xml:space="preserve">osseuse </w:t>
            </w:r>
            <w:r>
              <w:rPr>
                <w:b/>
                <w:sz w:val="20"/>
              </w:rPr>
              <w:t xml:space="preserve">(DMO) </w:t>
            </w:r>
            <w:r>
              <w:rPr>
                <w:b/>
                <w:sz w:val="20"/>
              </w:rPr>
              <w:t xml:space="preserve">de la colonne </w:t>
            </w:r>
            <w:r>
              <w:rPr>
                <w:b/>
                <w:sz w:val="20"/>
              </w:rPr>
              <w:t xml:space="preserve">lombaire </w:t>
            </w:r>
            <w:r>
              <w:rPr>
                <w:b/>
                <w:sz w:val="20"/>
              </w:rPr>
              <w:t xml:space="preserve">de </w:t>
            </w:r>
            <w:r>
              <w:rPr>
                <w:b/>
                <w:sz w:val="20"/>
              </w:rPr>
              <w:t xml:space="preserve">0 </w:t>
            </w:r>
            <w:r>
              <w:rPr>
                <w:b/>
                <w:sz w:val="20"/>
              </w:rPr>
              <w:t xml:space="preserve">à 1 </w:t>
            </w:r>
            <w:r>
              <w:rPr>
                <w:b/>
                <w:sz w:val="20"/>
              </w:rPr>
              <w:t xml:space="preserve">an</w:t>
            </w:r>
          </w:p>
          <w:p>
            <w:pPr>
              <w:pStyle w:val="TableParagraph"/>
              <w:spacing w:before="1" w:line="229" w:lineRule="exact"/>
              <w:ind w:start="107"/>
              <w:rPr>
                <w:sz w:val="20"/>
              </w:rPr>
            </w:pPr>
            <w:r>
              <w:rPr>
                <w:sz w:val="20"/>
              </w:rPr>
              <w:t xml:space="preserve">Femmes transfemmes </w:t>
            </w:r>
            <w:r>
              <w:rPr>
                <w:sz w:val="20"/>
              </w:rPr>
              <w:t xml:space="preserve">(moyenne </w:t>
            </w:r>
            <w:r>
              <w:rPr>
                <w:sz w:val="20"/>
              </w:rPr>
              <w:t xml:space="preserve">[±SD]) :</w:t>
            </w:r>
          </w:p>
          <w:p>
            <w:pPr>
              <w:pStyle w:val="TableParagraph"/>
              <w:spacing w:line="229" w:lineRule="exact"/>
              <w:ind w:start="107"/>
              <w:rPr>
                <w:sz w:val="20"/>
              </w:rPr>
            </w:pPr>
            <w:r>
              <w:rPr>
                <w:sz w:val="20"/>
              </w:rPr>
              <w:t xml:space="preserve">0,860 </w:t>
            </w:r>
            <w:r>
              <w:rPr>
                <w:sz w:val="20"/>
              </w:rPr>
              <w:t xml:space="preserve">(0,154) </w:t>
            </w:r>
            <w:r>
              <w:rPr>
                <w:sz w:val="20"/>
              </w:rPr>
              <w:t xml:space="preserve">kg/m2 </w:t>
            </w:r>
            <w:r>
              <w:rPr>
                <w:sz w:val="20"/>
              </w:rPr>
              <w:t xml:space="preserve">au </w:t>
            </w:r>
            <w:r>
              <w:rPr>
                <w:sz w:val="20"/>
              </w:rPr>
              <w:t xml:space="preserve">départ, </w:t>
            </w:r>
            <w:r>
              <w:rPr>
                <w:sz w:val="20"/>
              </w:rPr>
              <w:t xml:space="preserve">0,859</w:t>
            </w:r>
          </w:p>
          <w:p>
            <w:pPr>
              <w:pStyle w:val="TableParagraph"/>
              <w:ind w:start="107"/>
              <w:rPr>
                <w:sz w:val="20"/>
              </w:rPr>
            </w:pPr>
            <w:r>
              <w:rPr>
                <w:sz w:val="20"/>
              </w:rPr>
              <w:t xml:space="preserve">(0,129) </w:t>
            </w:r>
            <w:r>
              <w:rPr>
                <w:sz w:val="20"/>
              </w:rPr>
              <w:t xml:space="preserve">kg/m2 </w:t>
            </w:r>
            <w:r>
              <w:rPr>
                <w:sz w:val="20"/>
              </w:rPr>
              <w:t xml:space="preserve">à </w:t>
            </w:r>
            <w:r>
              <w:rPr>
                <w:sz w:val="20"/>
              </w:rPr>
              <w:t xml:space="preserve">1 </w:t>
            </w:r>
            <w:r>
              <w:rPr>
                <w:sz w:val="20"/>
              </w:rPr>
              <w:t xml:space="preserve">an </w:t>
            </w:r>
            <w:r>
              <w:rPr>
                <w:sz w:val="20"/>
              </w:rPr>
              <w:t xml:space="preserve">(p=0,962) ;</w:t>
            </w:r>
          </w:p>
          <w:p>
            <w:pPr>
              <w:pStyle w:val="TableParagraph"/>
              <w:spacing w:before="1"/>
              <w:ind w:start="107"/>
              <w:rPr>
                <w:sz w:val="20"/>
              </w:rPr>
            </w:pPr>
            <w:r>
              <w:rPr>
                <w:sz w:val="20"/>
              </w:rPr>
              <w:t xml:space="preserve">z-score </w:t>
            </w:r>
            <w:r>
              <w:rPr>
                <w:sz w:val="20"/>
              </w:rPr>
              <w:t xml:space="preserve">-0,016 </w:t>
            </w:r>
            <w:r>
              <w:rPr>
                <w:sz w:val="20"/>
              </w:rPr>
              <w:t xml:space="preserve">(1,106) </w:t>
            </w:r>
            <w:r>
              <w:rPr>
                <w:sz w:val="20"/>
              </w:rPr>
              <w:t xml:space="preserve">au </w:t>
            </w:r>
            <w:r>
              <w:rPr>
                <w:sz w:val="20"/>
              </w:rPr>
              <w:t xml:space="preserve">départ,</w:t>
            </w:r>
          </w:p>
          <w:p>
            <w:pPr>
              <w:pStyle w:val="TableParagraph"/>
              <w:ind w:start="107"/>
              <w:rPr>
                <w:sz w:val="20"/>
              </w:rPr>
            </w:pPr>
            <w:r>
              <w:rPr>
                <w:sz w:val="20"/>
              </w:rPr>
              <w:t xml:space="preserve">-0,461 </w:t>
            </w:r>
            <w:r>
              <w:rPr>
                <w:sz w:val="20"/>
              </w:rPr>
              <w:t xml:space="preserve">(1,121) </w:t>
            </w:r>
            <w:r>
              <w:rPr>
                <w:sz w:val="20"/>
              </w:rPr>
              <w:t xml:space="preserve">à </w:t>
            </w:r>
            <w:r>
              <w:rPr>
                <w:sz w:val="20"/>
              </w:rPr>
              <w:t xml:space="preserve">1 </w:t>
            </w:r>
            <w:r>
              <w:rPr>
                <w:sz w:val="20"/>
              </w:rPr>
              <w:t xml:space="preserve">an </w:t>
            </w:r>
            <w:r>
              <w:rPr>
                <w:sz w:val="20"/>
              </w:rPr>
              <w:t xml:space="preserve">(p=0,003)</w:t>
            </w:r>
          </w:p>
          <w:p>
            <w:pPr>
              <w:pStyle w:val="TableParagraph"/>
              <w:spacing w:before="1" w:line="229" w:lineRule="exact"/>
              <w:ind w:start="107"/>
              <w:rPr>
                <w:sz w:val="20"/>
              </w:rPr>
            </w:pPr>
            <w:r>
              <w:rPr>
                <w:sz w:val="20"/>
              </w:rPr>
              <w:t xml:space="preserve">Transmales </w:t>
            </w:r>
            <w:r>
              <w:rPr>
                <w:sz w:val="20"/>
              </w:rPr>
              <w:t xml:space="preserve">(moyenne </w:t>
            </w:r>
            <w:r>
              <w:rPr>
                <w:sz w:val="20"/>
              </w:rPr>
              <w:t xml:space="preserve">[±SD]) :</w:t>
            </w:r>
          </w:p>
          <w:p>
            <w:pPr>
              <w:pStyle w:val="TableParagraph"/>
              <w:spacing w:line="229" w:lineRule="exact"/>
              <w:ind w:start="107"/>
              <w:rPr>
                <w:sz w:val="20"/>
              </w:rPr>
            </w:pPr>
            <w:r>
              <w:rPr>
                <w:sz w:val="20"/>
              </w:rPr>
              <w:t xml:space="preserve">0,694 </w:t>
            </w:r>
            <w:r>
              <w:rPr>
                <w:sz w:val="20"/>
              </w:rPr>
              <w:t xml:space="preserve">(0,149) </w:t>
            </w:r>
            <w:r>
              <w:rPr>
                <w:sz w:val="20"/>
              </w:rPr>
              <w:t xml:space="preserve">kg/m2 </w:t>
            </w:r>
            <w:r>
              <w:rPr>
                <w:sz w:val="20"/>
              </w:rPr>
              <w:t xml:space="preserve">au </w:t>
            </w:r>
            <w:r>
              <w:rPr>
                <w:sz w:val="20"/>
              </w:rPr>
              <w:t xml:space="preserve">départ, </w:t>
            </w:r>
            <w:r>
              <w:rPr>
                <w:sz w:val="20"/>
              </w:rPr>
              <w:t xml:space="preserve">0,718</w:t>
            </w:r>
          </w:p>
          <w:p>
            <w:pPr>
              <w:pStyle w:val="TableParagraph"/>
              <w:spacing w:before="1"/>
              <w:ind w:start="107"/>
              <w:rPr>
                <w:sz w:val="20"/>
              </w:rPr>
            </w:pPr>
            <w:r>
              <w:rPr>
                <w:sz w:val="20"/>
              </w:rPr>
              <w:t xml:space="preserve">(0,124) </w:t>
            </w:r>
            <w:r>
              <w:rPr>
                <w:sz w:val="20"/>
              </w:rPr>
              <w:t xml:space="preserve">kg/m2 </w:t>
            </w:r>
            <w:r>
              <w:rPr>
                <w:sz w:val="20"/>
              </w:rPr>
              <w:t xml:space="preserve">à </w:t>
            </w:r>
            <w:r>
              <w:rPr>
                <w:sz w:val="20"/>
              </w:rPr>
              <w:t xml:space="preserve">1 </w:t>
            </w:r>
            <w:r>
              <w:rPr>
                <w:sz w:val="20"/>
              </w:rPr>
              <w:t xml:space="preserve">an </w:t>
            </w:r>
            <w:r>
              <w:rPr>
                <w:sz w:val="20"/>
              </w:rPr>
              <w:t xml:space="preserve">(p=0,006) ;</w:t>
            </w:r>
          </w:p>
          <w:p>
            <w:pPr>
              <w:pStyle w:val="TableParagraph"/>
              <w:ind w:start="107"/>
              <w:rPr>
                <w:sz w:val="20"/>
              </w:rPr>
            </w:pPr>
            <w:r>
              <w:rPr>
                <w:sz w:val="20"/>
              </w:rPr>
              <w:t xml:space="preserve">z-score </w:t>
            </w:r>
            <w:r>
              <w:rPr>
                <w:sz w:val="20"/>
              </w:rPr>
              <w:t xml:space="preserve">-0,395 </w:t>
            </w:r>
            <w:r>
              <w:rPr>
                <w:sz w:val="20"/>
              </w:rPr>
              <w:t xml:space="preserve">(1,428) </w:t>
            </w:r>
            <w:r>
              <w:rPr>
                <w:sz w:val="20"/>
              </w:rPr>
              <w:t xml:space="preserve">au </w:t>
            </w:r>
            <w:r>
              <w:rPr>
                <w:sz w:val="20"/>
              </w:rPr>
              <w:t xml:space="preserve">départ,</w:t>
            </w:r>
          </w:p>
          <w:p>
            <w:pPr>
              <w:pStyle w:val="TableParagraph"/>
              <w:ind w:start="107"/>
              <w:rPr>
                <w:sz w:val="20"/>
              </w:rPr>
            </w:pPr>
            <w:r>
              <w:rPr>
                <w:sz w:val="20"/>
              </w:rPr>
              <w:t xml:space="preserve">-1,276 </w:t>
            </w:r>
            <w:r>
              <w:rPr>
                <w:sz w:val="20"/>
              </w:rPr>
              <w:t xml:space="preserve">(1,410) </w:t>
            </w:r>
            <w:r>
              <w:rPr>
                <w:sz w:val="20"/>
              </w:rPr>
              <w:t xml:space="preserve">à </w:t>
            </w:r>
            <w:r>
              <w:rPr>
                <w:sz w:val="20"/>
              </w:rPr>
              <w:t xml:space="preserve">1 </w:t>
            </w:r>
            <w:r>
              <w:rPr>
                <w:sz w:val="20"/>
              </w:rPr>
              <w:t xml:space="preserve">an </w:t>
            </w:r>
            <w:r>
              <w:rPr>
                <w:sz w:val="20"/>
              </w:rPr>
              <w:t xml:space="preserve">(p=0,000)</w:t>
            </w:r>
          </w:p>
          <w:p>
            <w:pPr>
              <w:pStyle w:val="TableParagraph"/>
              <w:spacing w:before="1"/>
              <w:ind w:start="107"/>
              <w:rPr>
                <w:b/>
                <w:sz w:val="20"/>
              </w:rPr>
            </w:pPr>
            <w:r>
              <w:rPr>
                <w:b/>
                <w:sz w:val="20"/>
              </w:rPr>
              <w:t xml:space="preserve">DMO de </w:t>
            </w:r>
            <w:r>
              <w:rPr>
                <w:b/>
                <w:sz w:val="20"/>
              </w:rPr>
              <w:t xml:space="preserve">la colonne </w:t>
            </w:r>
            <w:r>
              <w:rPr>
                <w:b/>
                <w:sz w:val="20"/>
              </w:rPr>
              <w:t xml:space="preserve">lombaire </w:t>
            </w:r>
            <w:r>
              <w:rPr>
                <w:b/>
                <w:sz w:val="20"/>
              </w:rPr>
              <w:t xml:space="preserve">0 </w:t>
            </w:r>
            <w:r>
              <w:rPr>
                <w:b/>
                <w:sz w:val="20"/>
              </w:rPr>
              <w:t xml:space="preserve">à </w:t>
            </w:r>
            <w:r>
              <w:rPr>
                <w:b/>
                <w:sz w:val="20"/>
              </w:rPr>
              <w:t xml:space="preserve">2 </w:t>
            </w:r>
            <w:r>
              <w:rPr>
                <w:b/>
                <w:sz w:val="20"/>
              </w:rPr>
              <w:t xml:space="preserve">ans</w:t>
            </w:r>
          </w:p>
          <w:p>
            <w:pPr>
              <w:pStyle w:val="TableParagraph"/>
              <w:spacing w:line="229" w:lineRule="exact"/>
              <w:ind w:start="107"/>
              <w:rPr>
                <w:sz w:val="20"/>
              </w:rPr>
            </w:pPr>
            <w:r>
              <w:rPr>
                <w:sz w:val="20"/>
              </w:rPr>
              <w:t xml:space="preserve">Femmes transfemmes </w:t>
            </w:r>
            <w:r>
              <w:rPr>
                <w:sz w:val="20"/>
              </w:rPr>
              <w:t xml:space="preserve">(moyenne [±SD]) :</w:t>
            </w:r>
          </w:p>
          <w:p>
            <w:pPr>
              <w:pStyle w:val="TableParagraph"/>
              <w:spacing w:line="229" w:lineRule="exact"/>
              <w:ind w:start="107"/>
              <w:rPr>
                <w:sz w:val="20"/>
              </w:rPr>
            </w:pPr>
            <w:r>
              <w:rPr>
                <w:sz w:val="20"/>
              </w:rPr>
              <w:t xml:space="preserve">0,867 </w:t>
            </w:r>
            <w:r>
              <w:rPr>
                <w:sz w:val="20"/>
              </w:rPr>
              <w:t xml:space="preserve">(0,141) </w:t>
            </w:r>
            <w:r>
              <w:rPr>
                <w:sz w:val="20"/>
              </w:rPr>
              <w:t xml:space="preserve">kg/m2 </w:t>
            </w:r>
            <w:r>
              <w:rPr>
                <w:sz w:val="20"/>
              </w:rPr>
              <w:t xml:space="preserve">au </w:t>
            </w:r>
            <w:r>
              <w:rPr>
                <w:sz w:val="20"/>
              </w:rPr>
              <w:t xml:space="preserve">départ, </w:t>
            </w:r>
            <w:r>
              <w:rPr>
                <w:sz w:val="20"/>
              </w:rPr>
              <w:t xml:space="preserve">0,878</w:t>
            </w:r>
          </w:p>
          <w:p>
            <w:pPr>
              <w:pStyle w:val="TableParagraph"/>
              <w:spacing w:before="1"/>
              <w:ind w:start="107"/>
              <w:rPr>
                <w:sz w:val="20"/>
              </w:rPr>
            </w:pPr>
            <w:r>
              <w:rPr>
                <w:sz w:val="20"/>
              </w:rPr>
              <w:t xml:space="preserve">(0,130) </w:t>
            </w:r>
            <w:r>
              <w:rPr>
                <w:sz w:val="20"/>
              </w:rPr>
              <w:t xml:space="preserve">kg/m2 </w:t>
            </w:r>
            <w:r>
              <w:rPr>
                <w:sz w:val="20"/>
              </w:rPr>
              <w:t xml:space="preserve">à </w:t>
            </w:r>
            <w:r>
              <w:rPr>
                <w:sz w:val="20"/>
              </w:rPr>
              <w:t xml:space="preserve">2 </w:t>
            </w:r>
            <w:r>
              <w:rPr>
                <w:sz w:val="20"/>
              </w:rPr>
              <w:t xml:space="preserve">ans </w:t>
            </w:r>
            <w:r>
              <w:rPr>
                <w:sz w:val="20"/>
              </w:rPr>
              <w:t xml:space="preserve">(p=0,395) ;</w:t>
            </w:r>
          </w:p>
          <w:p>
            <w:pPr>
              <w:pStyle w:val="TableParagraph"/>
              <w:ind w:start="107"/>
              <w:rPr>
                <w:sz w:val="20"/>
              </w:rPr>
            </w:pPr>
            <w:r>
              <w:rPr>
                <w:sz w:val="20"/>
              </w:rPr>
              <w:t xml:space="preserve">z-score </w:t>
            </w:r>
            <w:r>
              <w:rPr>
                <w:sz w:val="20"/>
              </w:rPr>
              <w:t xml:space="preserve">0,130 </w:t>
            </w:r>
            <w:r>
              <w:rPr>
                <w:sz w:val="20"/>
              </w:rPr>
              <w:t xml:space="preserve">(0,972) </w:t>
            </w:r>
            <w:r>
              <w:rPr>
                <w:sz w:val="20"/>
              </w:rPr>
              <w:t xml:space="preserve">au </w:t>
            </w:r>
            <w:r>
              <w:rPr>
                <w:sz w:val="20"/>
              </w:rPr>
              <w:t xml:space="preserve">départ, </w:t>
            </w:r>
            <w:r>
              <w:rPr>
                <w:sz w:val="20"/>
              </w:rPr>
              <w:t xml:space="preserve">-0,890</w:t>
            </w:r>
          </w:p>
          <w:p>
            <w:pPr>
              <w:pStyle w:val="TableParagraph"/>
              <w:spacing w:line="230" w:lineRule="atLeast"/>
              <w:ind w:start="107" w:end="1365"/>
              <w:rPr>
                <w:sz w:val="20"/>
              </w:rPr>
            </w:pPr>
            <w:r>
              <w:rPr>
                <w:sz w:val="20"/>
              </w:rPr>
              <w:t xml:space="preserve">(1,075) </w:t>
            </w:r>
            <w:r>
              <w:rPr>
                <w:sz w:val="20"/>
              </w:rPr>
              <w:t xml:space="preserve">à </w:t>
            </w:r>
            <w:r>
              <w:rPr>
                <w:sz w:val="20"/>
              </w:rPr>
              <w:t xml:space="preserve">2 </w:t>
            </w:r>
            <w:r>
              <w:rPr>
                <w:sz w:val="20"/>
              </w:rPr>
              <w:t xml:space="preserve">ans </w:t>
            </w:r>
            <w:r>
              <w:rPr>
                <w:sz w:val="20"/>
              </w:rPr>
              <w:t xml:space="preserve">(p=0,000) </w:t>
            </w:r>
            <w:r>
              <w:rPr>
                <w:sz w:val="20"/>
              </w:rPr>
              <w:t xml:space="preserve">Transmales </w:t>
            </w:r>
            <w:r>
              <w:rPr>
                <w:sz w:val="20"/>
              </w:rPr>
              <w:t xml:space="preserve">(moyenne </w:t>
            </w:r>
            <w:r>
              <w:rPr>
                <w:sz w:val="20"/>
              </w:rPr>
              <w:t xml:space="preserve">[±SD]) :</w:t>
            </w:r>
          </w:p>
        </w:tc>
        <w:tc>
          <w:tcPr>
            <w:tcW w:w="3061" w:type="dxa"/>
          </w:tcPr>
          <w:p>
            <w:pPr>
              <w:pStyle w:val="TableParagraph"/>
              <w:numPr>
                <w:ilvl w:val="0"/>
                <w:numId w:val="28"/>
              </w:numPr>
              <w:tabs>
                <w:tab w:val="left" w:pos="329"/>
              </w:tabs>
              <w:ind w:start="107" w:end="233" w:firstLine="0"/>
              <w:rPr>
                <w:sz w:val="20"/>
              </w:rPr>
            </w:pPr>
            <w:r>
              <w:rPr>
                <w:sz w:val="20"/>
              </w:rPr>
              <w:t xml:space="preserve">Assez </w:t>
            </w:r>
            <w:r>
              <w:rPr>
                <w:sz w:val="20"/>
              </w:rPr>
              <w:t xml:space="preserve">représentatif </w:t>
            </w:r>
            <w:r>
              <w:rPr>
                <w:sz w:val="20"/>
              </w:rPr>
              <w:t xml:space="preserve">des </w:t>
            </w:r>
            <w:r>
              <w:rPr>
                <w:sz w:val="20"/>
              </w:rPr>
              <w:t xml:space="preserve">enfants et adolescents </w:t>
            </w:r>
            <w:r>
              <w:rPr>
                <w:sz w:val="20"/>
              </w:rPr>
              <w:t xml:space="preserve">souffrant de </w:t>
            </w:r>
            <w:r>
              <w:rPr>
                <w:sz w:val="20"/>
              </w:rPr>
              <w:t xml:space="preserve">dysphorie de </w:t>
            </w:r>
            <w:r>
              <w:rPr>
                <w:sz w:val="20"/>
              </w:rPr>
              <w:t xml:space="preserve">genre.</w:t>
            </w:r>
          </w:p>
          <w:p>
            <w:pPr>
              <w:pStyle w:val="TableParagraph"/>
              <w:numPr>
                <w:ilvl w:val="0"/>
                <w:numId w:val="28"/>
              </w:numPr>
              <w:tabs>
                <w:tab w:val="left" w:pos="329"/>
              </w:tabs>
              <w:spacing w:before="51"/>
              <w:ind w:start="328" w:hanging="222"/>
              <w:rPr>
                <w:sz w:val="20"/>
              </w:rPr>
            </w:pPr>
            <w:r>
              <w:rPr>
                <w:sz w:val="20"/>
              </w:rPr>
              <w:t xml:space="preserve">Non </w:t>
            </w:r>
            <w:r>
              <w:rPr>
                <w:sz w:val="20"/>
              </w:rPr>
              <w:t xml:space="preserve">applicable</w:t>
            </w:r>
          </w:p>
          <w:p>
            <w:pPr>
              <w:pStyle w:val="TableParagraph"/>
              <w:numPr>
                <w:ilvl w:val="0"/>
                <w:numId w:val="28"/>
              </w:numPr>
              <w:tabs>
                <w:tab w:val="left" w:pos="329"/>
              </w:tabs>
              <w:spacing w:before="60"/>
              <w:ind w:start="328" w:hanging="222"/>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28"/>
              </w:numPr>
              <w:tabs>
                <w:tab w:val="left" w:pos="329"/>
              </w:tabs>
              <w:spacing w:before="61"/>
              <w:ind w:start="328" w:hanging="222"/>
              <w:rPr>
                <w:sz w:val="20"/>
              </w:rPr>
            </w:pPr>
            <w:r>
              <w:rPr>
                <w:sz w:val="20"/>
              </w:rPr>
              <w:t xml:space="preserve">Non</w:t>
            </w:r>
          </w:p>
          <w:p>
            <w:pPr>
              <w:pStyle w:val="TableParagraph"/>
              <w:spacing w:before="60"/>
              <w:ind w:start="107"/>
              <w:rPr>
                <w:b/>
                <w:sz w:val="20"/>
              </w:rPr>
            </w:pPr>
            <w:r>
              <w:rPr>
                <w:b/>
                <w:sz w:val="20"/>
              </w:rPr>
              <w:t xml:space="preserve">Domaine </w:t>
            </w:r>
            <w:r>
              <w:rPr>
                <w:b/>
                <w:sz w:val="20"/>
              </w:rPr>
              <w:t xml:space="preserve">2 : </w:t>
            </w:r>
            <w:r>
              <w:rPr>
                <w:b/>
                <w:sz w:val="20"/>
              </w:rPr>
              <w:t xml:space="preserve">Comparabilité</w:t>
            </w:r>
          </w:p>
          <w:p>
            <w:pPr>
              <w:pStyle w:val="TableParagraph"/>
              <w:spacing w:before="58"/>
              <w:ind w:start="107"/>
              <w:rPr>
                <w:sz w:val="20"/>
              </w:rPr>
            </w:pPr>
            <w:r>
              <w:rPr>
                <w:sz w:val="20"/>
              </w:rPr>
              <w:t xml:space="preserve">1. </w:t>
            </w:r>
            <w:r>
              <w:rPr>
                <w:sz w:val="20"/>
              </w:rPr>
              <w:t xml:space="preserve">Pas de </w:t>
            </w:r>
            <w:r>
              <w:rPr>
                <w:sz w:val="20"/>
              </w:rPr>
              <w:t xml:space="preserve">groupe de </w:t>
            </w:r>
            <w:r>
              <w:rPr>
                <w:sz w:val="20"/>
              </w:rPr>
              <w:t xml:space="preserve">contrôle</w:t>
            </w:r>
          </w:p>
          <w:p>
            <w:pPr>
              <w:pStyle w:val="TableParagraph"/>
              <w:spacing w:before="61"/>
              <w:ind w:start="107"/>
              <w:rPr>
                <w:b/>
                <w:sz w:val="20"/>
              </w:rPr>
            </w:pPr>
            <w:r>
              <w:rPr>
                <w:b/>
                <w:sz w:val="20"/>
              </w:rPr>
              <w:t xml:space="preserve">Domaine </w:t>
            </w:r>
            <w:r>
              <w:rPr>
                <w:b/>
                <w:sz w:val="20"/>
              </w:rPr>
              <w:t xml:space="preserve">3 : </w:t>
            </w:r>
            <w:r>
              <w:rPr>
                <w:b/>
                <w:sz w:val="20"/>
              </w:rPr>
              <w:t xml:space="preserve">Résultat</w:t>
            </w:r>
          </w:p>
          <w:p>
            <w:pPr>
              <w:pStyle w:val="TableParagraph"/>
              <w:numPr>
                <w:ilvl w:val="0"/>
                <w:numId w:val="27"/>
              </w:numPr>
              <w:tabs>
                <w:tab w:val="left" w:pos="329"/>
              </w:tabs>
              <w:spacing w:before="60"/>
              <w:ind w:hanging="222"/>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27"/>
              </w:numPr>
              <w:tabs>
                <w:tab w:val="left" w:pos="329"/>
              </w:tabs>
              <w:spacing w:before="61"/>
              <w:ind w:hanging="222"/>
              <w:rPr>
                <w:sz w:val="20"/>
              </w:rPr>
            </w:pPr>
            <w:r>
              <w:rPr>
                <w:sz w:val="20"/>
              </w:rPr>
              <w:t xml:space="preserve">Oui</w:t>
            </w:r>
          </w:p>
          <w:p>
            <w:pPr>
              <w:pStyle w:val="TableParagraph"/>
              <w:numPr>
                <w:ilvl w:val="0"/>
                <w:numId w:val="27"/>
              </w:numPr>
              <w:tabs>
                <w:tab w:val="left" w:pos="329"/>
              </w:tabs>
              <w:spacing w:before="60"/>
              <w:ind w:hanging="222"/>
              <w:rPr>
                <w:sz w:val="20"/>
              </w:rPr>
            </w:pPr>
            <w:r>
              <w:rPr>
                <w:sz w:val="20"/>
              </w:rPr>
              <w:t xml:space="preserve">Aucune </w:t>
            </w:r>
            <w:r>
              <w:rPr>
                <w:sz w:val="20"/>
              </w:rPr>
              <w:t xml:space="preserve">déclaration</w:t>
            </w:r>
          </w:p>
          <w:p w:rsidR="00432386" w:rsidRDefault="00432386">
            <w:pPr>
              <w:pStyle w:val="TableParagraph"/>
              <w:spacing w:before="4"/>
              <w:rPr>
                <w:sz w:val="30"/>
              </w:rPr>
            </w:pPr>
          </w:p>
          <w:p>
            <w:pPr>
              <w:pStyle w:val="TableParagraph"/>
              <w:ind w:start="107" w:end="105"/>
              <w:rPr>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r>
              <w:rPr>
                <w:sz w:val="20"/>
              </w:rPr>
              <w:t xml:space="preserve">.</w:t>
            </w:r>
          </w:p>
          <w:p w:rsidR="00432386" w:rsidRDefault="00432386">
            <w:pPr>
              <w:pStyle w:val="TableParagraph"/>
            </w:pPr>
          </w:p>
          <w:p w:rsidR="00432386" w:rsidRDefault="00432386">
            <w:pPr>
              <w:pStyle w:val="TableParagraph"/>
              <w:spacing w:before="2"/>
              <w:rPr>
                <w:sz w:val="23"/>
              </w:rPr>
            </w:pPr>
          </w:p>
          <w:p>
            <w:pPr>
              <w:pStyle w:val="TableParagraph"/>
              <w:ind w:start="107" w:end="222"/>
              <w:rPr>
                <w:sz w:val="20"/>
              </w:rPr>
            </w:pPr>
            <w:r>
              <w:rPr>
                <w:sz w:val="20"/>
              </w:rPr>
              <w:t xml:space="preserve">Autres commentaires : bien que les </w:t>
            </w:r>
            <w:r>
              <w:rPr>
                <w:sz w:val="20"/>
              </w:rPr>
              <w:t xml:space="preserve">preuves soient de qualité médiocre, les </w:t>
            </w:r>
            <w:r>
              <w:rPr>
                <w:sz w:val="20"/>
              </w:rPr>
              <w:t xml:space="preserve">résultats suggèrent une </w:t>
            </w:r>
            <w:r>
              <w:rPr>
                <w:sz w:val="20"/>
              </w:rPr>
              <w:t xml:space="preserve">association </w:t>
            </w:r>
            <w:r>
              <w:rPr>
                <w:sz w:val="20"/>
              </w:rPr>
              <w:t xml:space="preserve">possible </w:t>
            </w:r>
            <w:r>
              <w:rPr>
                <w:sz w:val="20"/>
              </w:rPr>
              <w:t xml:space="preserve">entre les </w:t>
            </w:r>
            <w:r>
              <w:rPr>
                <w:sz w:val="20"/>
              </w:rPr>
              <w:t xml:space="preserve">analogues de la </w:t>
            </w:r>
            <w:r>
              <w:rPr>
                <w:sz w:val="20"/>
              </w:rPr>
              <w:t xml:space="preserve">GnRH </w:t>
            </w:r>
            <w:r>
              <w:rPr>
                <w:sz w:val="20"/>
              </w:rPr>
              <w:t xml:space="preserve">et le BMAD. </w:t>
            </w:r>
            <w:r>
              <w:rPr>
                <w:sz w:val="20"/>
              </w:rPr>
              <w:t xml:space="preserve">Cependant, les résultats ne sont pas </w:t>
            </w:r>
            <w:r>
              <w:rPr>
                <w:sz w:val="20"/>
              </w:rPr>
              <w:t xml:space="preserve">fiables et pourraient être dus à un </w:t>
            </w:r>
            <w:r>
              <w:rPr>
                <w:sz w:val="20"/>
              </w:rPr>
              <w:t xml:space="preserve">biais ou au hasard. Des détails supplémentaires </w:t>
            </w:r>
            <w:r>
              <w:rPr>
                <w:sz w:val="20"/>
              </w:rPr>
              <w:t xml:space="preserve">sur la façon dont l'échantillon a été tiré </w:t>
            </w:r>
            <w:r>
              <w:rPr>
                <w:sz w:val="20"/>
              </w:rPr>
              <w:t xml:space="preserve">ne sont pas rapportés. Aucun </w:t>
            </w:r>
            <w:r>
              <w:rPr>
                <w:sz w:val="20"/>
              </w:rPr>
              <w:t xml:space="preserve">traitement concomitant </w:t>
            </w:r>
            <w:r>
              <w:rPr>
                <w:sz w:val="20"/>
              </w:rPr>
              <w:t xml:space="preserve">n'a été </w:t>
            </w:r>
            <w:r>
              <w:rPr>
                <w:sz w:val="20"/>
              </w:rPr>
              <w:t xml:space="preserve">signalé.</w:t>
            </w:r>
          </w:p>
          <w:p w:rsidR="00432386" w:rsidRDefault="00432386">
            <w:pPr>
              <w:pStyle w:val="TableParagraph"/>
              <w:spacing w:before="6"/>
              <w:rPr>
                <w:sz w:val="30"/>
              </w:rPr>
            </w:pPr>
          </w:p>
          <w:p>
            <w:pPr>
              <w:pStyle w:val="TableParagraph"/>
              <w:ind w:start="107" w:end="780"/>
              <w:rPr>
                <w:sz w:val="20"/>
              </w:rPr>
            </w:pPr>
            <w:r>
              <w:rPr>
                <w:sz w:val="20"/>
              </w:rPr>
              <w:t xml:space="preserve">Source </w:t>
            </w:r>
            <w:r>
              <w:rPr>
                <w:sz w:val="20"/>
              </w:rPr>
              <w:t xml:space="preserve">de </w:t>
            </w:r>
            <w:r>
              <w:rPr>
                <w:sz w:val="20"/>
              </w:rPr>
              <w:t xml:space="preserve">financement : </w:t>
            </w:r>
            <w:r>
              <w:rPr>
                <w:sz w:val="20"/>
              </w:rPr>
              <w:t xml:space="preserve">Non </w:t>
            </w:r>
            <w:r>
              <w:rPr>
                <w:sz w:val="20"/>
              </w:rPr>
              <w:t xml:space="preserve">divulgué</w:t>
            </w:r>
          </w:p>
        </w:tc>
      </w:tr>
    </w:tbl>
    <w:p w:rsidR="00432386" w:rsidRDefault="00432386">
      <w:pPr>
        <w:rPr>
          <w:sz w:val="20"/>
        </w:rPr>
        <w:sectPr w:rsidR="00432386">
          <w:type w:val="continuous"/>
          <w:pgSz w:w="16840" w:h="11910" w:orient="landscape"/>
          <w:pgMar w:top="980" w:right="500" w:bottom="1503"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7"/>
        <w:gridCol w:w="3118"/>
        <w:gridCol w:w="1985"/>
        <w:gridCol w:w="3970"/>
        <w:gridCol w:w="3061"/>
      </w:tblGrid>
      <w:tr w:rsidR="00432386">
        <w:trPr>
          <w:trHeight w:val="283"/>
        </w:trPr>
        <w:tc>
          <w:tcPr>
            <w:tcW w:w="3257"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18" w:type="dxa"/>
            <w:shd w:val="clear" w:color="auto" w:fill="8DB3E1"/>
          </w:tcPr>
          <w:p>
            <w:pPr>
              <w:pStyle w:val="TableParagraph"/>
              <w:spacing w:line="220" w:lineRule="exact"/>
              <w:ind w:start="108"/>
              <w:rPr>
                <w:b/>
                <w:sz w:val="20"/>
              </w:rPr>
            </w:pPr>
            <w:r>
              <w:rPr>
                <w:b/>
                <w:sz w:val="20"/>
              </w:rPr>
              <w:t xml:space="preserve">Population</w:t>
            </w:r>
          </w:p>
        </w:tc>
        <w:tc>
          <w:tcPr>
            <w:tcW w:w="1985" w:type="dxa"/>
            <w:shd w:val="clear" w:color="auto" w:fill="8DB3E1"/>
          </w:tcPr>
          <w:p>
            <w:pPr>
              <w:pStyle w:val="TableParagraph"/>
              <w:spacing w:line="220" w:lineRule="exact"/>
              <w:ind w:start="108"/>
              <w:rPr>
                <w:b/>
                <w:sz w:val="20"/>
              </w:rPr>
            </w:pPr>
            <w:r>
              <w:rPr>
                <w:b/>
                <w:sz w:val="20"/>
              </w:rPr>
              <w:t xml:space="preserve">Interventions</w:t>
            </w:r>
          </w:p>
        </w:tc>
        <w:tc>
          <w:tcPr>
            <w:tcW w:w="3970" w:type="dxa"/>
            <w:shd w:val="clear" w:color="auto" w:fill="8DB3E1"/>
          </w:tcPr>
          <w:p>
            <w:pPr>
              <w:pStyle w:val="TableParagraph"/>
              <w:spacing w:line="220" w:lineRule="exact"/>
              <w:ind w:start="107"/>
              <w:rPr>
                <w:b/>
                <w:sz w:val="20"/>
              </w:rPr>
            </w:pPr>
            <w:r>
              <w:rPr>
                <w:b/>
                <w:sz w:val="20"/>
              </w:rPr>
              <w:t xml:space="preserve">Résultats de l'</w:t>
            </w:r>
            <w:r>
              <w:rPr>
                <w:b/>
                <w:sz w:val="20"/>
              </w:rPr>
              <w:t xml:space="preserve">étude</w:t>
            </w:r>
          </w:p>
        </w:tc>
        <w:tc>
          <w:tcPr>
            <w:tcW w:w="3061" w:type="dxa"/>
            <w:shd w:val="clear" w:color="auto" w:fill="8DB3E1"/>
          </w:tcPr>
          <w:p>
            <w:pPr>
              <w:pStyle w:val="TableParagraph"/>
              <w:spacing w:line="220"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6442"/>
        </w:trPr>
        <w:tc>
          <w:tcPr>
            <w:tcW w:w="3257" w:type="dxa"/>
          </w:tcPr>
          <w:p w:rsidR="00432386" w:rsidRDefault="00432386">
            <w:pPr>
              <w:pStyle w:val="TableParagraph"/>
              <w:rPr>
                <w:rFonts w:ascii="Times New Roman"/>
                <w:sz w:val="18"/>
              </w:rPr>
            </w:pPr>
          </w:p>
        </w:tc>
        <w:tc>
          <w:tcPr>
            <w:tcW w:w="3118" w:type="dxa"/>
          </w:tcPr>
          <w:p w:rsidR="00432386" w:rsidRDefault="00432386">
            <w:pPr>
              <w:pStyle w:val="TableParagraph"/>
              <w:rPr>
                <w:rFonts w:ascii="Times New Roman"/>
                <w:sz w:val="18"/>
              </w:rPr>
            </w:pPr>
          </w:p>
        </w:tc>
        <w:tc>
          <w:tcPr>
            <w:tcW w:w="1985" w:type="dxa"/>
          </w:tcPr>
          <w:p w:rsidR="00432386" w:rsidRDefault="00432386">
            <w:pPr>
              <w:pStyle w:val="TableParagraph"/>
              <w:rPr>
                <w:rFonts w:ascii="Times New Roman"/>
                <w:sz w:val="18"/>
              </w:rPr>
            </w:pPr>
          </w:p>
        </w:tc>
        <w:tc>
          <w:tcPr>
            <w:tcW w:w="3970" w:type="dxa"/>
          </w:tcPr>
          <w:p>
            <w:pPr>
              <w:pStyle w:val="TableParagraph"/>
              <w:spacing w:line="220" w:lineRule="exact"/>
              <w:ind w:start="107"/>
              <w:rPr>
                <w:sz w:val="20"/>
              </w:rPr>
            </w:pPr>
            <w:r>
              <w:rPr>
                <w:sz w:val="20"/>
              </w:rPr>
              <w:t xml:space="preserve">0,695 </w:t>
            </w:r>
            <w:r>
              <w:rPr>
                <w:sz w:val="20"/>
              </w:rPr>
              <w:t xml:space="preserve">(0,220) </w:t>
            </w:r>
            <w:r>
              <w:rPr>
                <w:sz w:val="20"/>
              </w:rPr>
              <w:t xml:space="preserve">kg/m2 </w:t>
            </w:r>
            <w:r>
              <w:rPr>
                <w:sz w:val="20"/>
              </w:rPr>
              <w:t xml:space="preserve">au </w:t>
            </w:r>
            <w:r>
              <w:rPr>
                <w:sz w:val="20"/>
              </w:rPr>
              <w:t xml:space="preserve">départ, </w:t>
            </w:r>
            <w:r>
              <w:rPr>
                <w:sz w:val="20"/>
              </w:rPr>
              <w:t xml:space="preserve">0,731</w:t>
            </w:r>
          </w:p>
          <w:p>
            <w:pPr>
              <w:pStyle w:val="TableParagraph"/>
              <w:ind w:start="107"/>
              <w:rPr>
                <w:sz w:val="20"/>
              </w:rPr>
            </w:pPr>
            <w:r>
              <w:rPr>
                <w:sz w:val="20"/>
              </w:rPr>
              <w:t xml:space="preserve">(0,209) </w:t>
            </w:r>
            <w:r>
              <w:rPr>
                <w:sz w:val="20"/>
              </w:rPr>
              <w:t xml:space="preserve">kg/m2 </w:t>
            </w:r>
            <w:r>
              <w:rPr>
                <w:sz w:val="20"/>
              </w:rPr>
              <w:t xml:space="preserve">à </w:t>
            </w:r>
            <w:r>
              <w:rPr>
                <w:sz w:val="20"/>
              </w:rPr>
              <w:t xml:space="preserve">2 </w:t>
            </w:r>
            <w:r>
              <w:rPr>
                <w:sz w:val="20"/>
              </w:rPr>
              <w:t xml:space="preserve">ans </w:t>
            </w:r>
            <w:r>
              <w:rPr>
                <w:sz w:val="20"/>
              </w:rPr>
              <w:t xml:space="preserve">(p=0,058) ;</w:t>
            </w:r>
          </w:p>
          <w:p>
            <w:pPr>
              <w:pStyle w:val="TableParagraph"/>
              <w:spacing w:before="1"/>
              <w:ind w:start="107"/>
              <w:rPr>
                <w:sz w:val="20"/>
              </w:rPr>
            </w:pPr>
            <w:r>
              <w:rPr>
                <w:sz w:val="20"/>
              </w:rPr>
              <w:t xml:space="preserve">z-score </w:t>
            </w:r>
            <w:r>
              <w:rPr>
                <w:sz w:val="20"/>
              </w:rPr>
              <w:t xml:space="preserve">-0,715 </w:t>
            </w:r>
            <w:r>
              <w:rPr>
                <w:sz w:val="20"/>
              </w:rPr>
              <w:t xml:space="preserve">(1,406) </w:t>
            </w:r>
            <w:r>
              <w:rPr>
                <w:sz w:val="20"/>
              </w:rPr>
              <w:t xml:space="preserve">au </w:t>
            </w:r>
            <w:r>
              <w:rPr>
                <w:sz w:val="20"/>
              </w:rPr>
              <w:t xml:space="preserve">départ,</w:t>
            </w:r>
          </w:p>
          <w:p>
            <w:pPr>
              <w:pStyle w:val="TableParagraph"/>
              <w:ind w:start="107"/>
              <w:rPr>
                <w:sz w:val="20"/>
              </w:rPr>
            </w:pPr>
            <w:r>
              <w:rPr>
                <w:sz w:val="20"/>
              </w:rPr>
              <w:t xml:space="preserve">-2,000 </w:t>
            </w:r>
            <w:r>
              <w:rPr>
                <w:sz w:val="20"/>
              </w:rPr>
              <w:t xml:space="preserve">(1,384) </w:t>
            </w:r>
            <w:r>
              <w:rPr>
                <w:sz w:val="20"/>
              </w:rPr>
              <w:t xml:space="preserve">à </w:t>
            </w:r>
            <w:r>
              <w:rPr>
                <w:sz w:val="20"/>
              </w:rPr>
              <w:t xml:space="preserve">2 </w:t>
            </w:r>
            <w:r>
              <w:rPr>
                <w:sz w:val="20"/>
              </w:rPr>
              <w:t xml:space="preserve">ans </w:t>
            </w:r>
            <w:r>
              <w:rPr>
                <w:sz w:val="20"/>
              </w:rPr>
              <w:t xml:space="preserve">(p=0,000)</w:t>
            </w:r>
          </w:p>
          <w:p w:rsidR="00432386" w:rsidRDefault="00432386">
            <w:pPr>
              <w:pStyle w:val="TableParagraph"/>
              <w:spacing w:before="1"/>
              <w:rPr>
                <w:sz w:val="20"/>
              </w:rPr>
            </w:pPr>
          </w:p>
          <w:p>
            <w:pPr>
              <w:pStyle w:val="TableParagraph"/>
              <w:spacing w:line="229"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fémorale</w:t>
            </w:r>
          </w:p>
          <w:p>
            <w:pPr>
              <w:pStyle w:val="TableParagraph"/>
              <w:spacing w:line="229" w:lineRule="exact"/>
              <w:ind w:start="107"/>
              <w:rPr>
                <w:b/>
                <w:sz w:val="20"/>
              </w:rPr>
            </w:pPr>
            <w:r>
              <w:rPr>
                <w:b/>
                <w:sz w:val="20"/>
              </w:rPr>
              <w:t xml:space="preserve">DMO du </w:t>
            </w:r>
            <w:r>
              <w:rPr>
                <w:b/>
                <w:sz w:val="20"/>
              </w:rPr>
              <w:t xml:space="preserve">col du </w:t>
            </w:r>
            <w:r>
              <w:rPr>
                <w:b/>
                <w:sz w:val="20"/>
              </w:rPr>
              <w:t xml:space="preserve">fémur </w:t>
            </w:r>
            <w:r>
              <w:rPr>
                <w:b/>
                <w:sz w:val="20"/>
              </w:rPr>
              <w:t xml:space="preserve">(hanche) </w:t>
            </w:r>
            <w:r>
              <w:rPr>
                <w:b/>
                <w:sz w:val="20"/>
              </w:rPr>
              <w:t xml:space="preserve">0 </w:t>
            </w:r>
            <w:r>
              <w:rPr>
                <w:b/>
                <w:sz w:val="20"/>
              </w:rPr>
              <w:t xml:space="preserve">à </w:t>
            </w:r>
            <w:r>
              <w:rPr>
                <w:b/>
                <w:sz w:val="20"/>
              </w:rPr>
              <w:t xml:space="preserve">1 </w:t>
            </w:r>
            <w:r>
              <w:rPr>
                <w:b/>
                <w:sz w:val="20"/>
              </w:rPr>
              <w:t xml:space="preserve">an</w:t>
            </w:r>
          </w:p>
          <w:p>
            <w:pPr>
              <w:pStyle w:val="TableParagraph"/>
              <w:ind w:start="107"/>
              <w:rPr>
                <w:sz w:val="20"/>
              </w:rPr>
            </w:pPr>
            <w:r>
              <w:rPr>
                <w:sz w:val="20"/>
              </w:rPr>
              <w:t xml:space="preserve">Femmes transfemmes </w:t>
            </w:r>
            <w:r>
              <w:rPr>
                <w:sz w:val="20"/>
              </w:rPr>
              <w:t xml:space="preserve">(moyenne [±SD]) :</w:t>
            </w:r>
          </w:p>
          <w:p>
            <w:pPr>
              <w:pStyle w:val="TableParagraph"/>
              <w:spacing w:before="1"/>
              <w:ind w:start="107"/>
              <w:rPr>
                <w:sz w:val="20"/>
              </w:rPr>
            </w:pPr>
            <w:r>
              <w:rPr>
                <w:sz w:val="20"/>
              </w:rPr>
              <w:t xml:space="preserve">0,894 </w:t>
            </w:r>
            <w:r>
              <w:rPr>
                <w:sz w:val="20"/>
              </w:rPr>
              <w:t xml:space="preserve">(0,118) </w:t>
            </w:r>
            <w:r>
              <w:rPr>
                <w:sz w:val="20"/>
              </w:rPr>
              <w:t xml:space="preserve">kg/m2 </w:t>
            </w:r>
            <w:r>
              <w:rPr>
                <w:sz w:val="20"/>
              </w:rPr>
              <w:t xml:space="preserve">au </w:t>
            </w:r>
            <w:r>
              <w:rPr>
                <w:sz w:val="20"/>
              </w:rPr>
              <w:t xml:space="preserve">départ, </w:t>
            </w:r>
            <w:r>
              <w:rPr>
                <w:sz w:val="20"/>
              </w:rPr>
              <w:t xml:space="preserve">0,905</w:t>
            </w:r>
          </w:p>
          <w:p>
            <w:pPr>
              <w:pStyle w:val="TableParagraph"/>
              <w:spacing w:before="1"/>
              <w:ind w:start="107"/>
              <w:rPr>
                <w:sz w:val="20"/>
              </w:rPr>
            </w:pPr>
            <w:r>
              <w:rPr>
                <w:sz w:val="20"/>
              </w:rPr>
              <w:t xml:space="preserve">(0,104) </w:t>
            </w:r>
            <w:r>
              <w:rPr>
                <w:sz w:val="20"/>
              </w:rPr>
              <w:t xml:space="preserve">kg/m2 </w:t>
            </w:r>
            <w:r>
              <w:rPr>
                <w:sz w:val="20"/>
              </w:rPr>
              <w:t xml:space="preserve">à </w:t>
            </w:r>
            <w:r>
              <w:rPr>
                <w:sz w:val="20"/>
              </w:rPr>
              <w:t xml:space="preserve">1 </w:t>
            </w:r>
            <w:r>
              <w:rPr>
                <w:sz w:val="20"/>
              </w:rPr>
              <w:t xml:space="preserve">an </w:t>
            </w:r>
            <w:r>
              <w:rPr>
                <w:sz w:val="20"/>
              </w:rPr>
              <w:t xml:space="preserve">(p=0,571) ;</w:t>
            </w:r>
          </w:p>
          <w:p>
            <w:pPr>
              <w:pStyle w:val="TableParagraph"/>
              <w:spacing w:line="229" w:lineRule="exact"/>
              <w:ind w:start="107"/>
              <w:rPr>
                <w:sz w:val="20"/>
              </w:rPr>
            </w:pPr>
            <w:r>
              <w:rPr>
                <w:sz w:val="20"/>
              </w:rPr>
              <w:t xml:space="preserve">z-score </w:t>
            </w:r>
            <w:r>
              <w:rPr>
                <w:sz w:val="20"/>
              </w:rPr>
              <w:t xml:space="preserve">0,157 </w:t>
            </w:r>
            <w:r>
              <w:rPr>
                <w:sz w:val="20"/>
              </w:rPr>
              <w:t xml:space="preserve">(0,905) </w:t>
            </w:r>
            <w:r>
              <w:rPr>
                <w:sz w:val="20"/>
              </w:rPr>
              <w:t xml:space="preserve">au </w:t>
            </w:r>
            <w:r>
              <w:rPr>
                <w:sz w:val="20"/>
              </w:rPr>
              <w:t xml:space="preserve">départ, </w:t>
            </w:r>
            <w:r>
              <w:rPr>
                <w:sz w:val="20"/>
              </w:rPr>
              <w:t xml:space="preserve">-0,340</w:t>
            </w:r>
          </w:p>
          <w:p>
            <w:pPr>
              <w:pStyle w:val="TableParagraph"/>
              <w:ind w:start="107" w:end="1465"/>
              <w:rPr>
                <w:sz w:val="20"/>
              </w:rPr>
            </w:pPr>
            <w:r>
              <w:rPr>
                <w:sz w:val="20"/>
              </w:rPr>
              <w:t xml:space="preserve">(0,816) </w:t>
            </w:r>
            <w:r>
              <w:rPr>
                <w:sz w:val="20"/>
              </w:rPr>
              <w:t xml:space="preserve">à </w:t>
            </w:r>
            <w:r>
              <w:rPr>
                <w:sz w:val="20"/>
              </w:rPr>
              <w:t xml:space="preserve">1 </w:t>
            </w:r>
            <w:r>
              <w:rPr>
                <w:sz w:val="20"/>
              </w:rPr>
              <w:t xml:space="preserve">an </w:t>
            </w:r>
            <w:r>
              <w:rPr>
                <w:sz w:val="20"/>
              </w:rPr>
              <w:t xml:space="preserve">(p=0,002) </w:t>
            </w:r>
            <w:r>
              <w:rPr>
                <w:sz w:val="20"/>
              </w:rPr>
              <w:t xml:space="preserve">Transmales </w:t>
            </w:r>
            <w:r>
              <w:rPr>
                <w:sz w:val="20"/>
              </w:rPr>
              <w:t xml:space="preserve">(moyenne </w:t>
            </w:r>
            <w:r>
              <w:rPr>
                <w:sz w:val="20"/>
              </w:rPr>
              <w:t xml:space="preserve">[±SD]) :</w:t>
            </w:r>
          </w:p>
          <w:p>
            <w:pPr>
              <w:pStyle w:val="TableParagraph"/>
              <w:ind w:start="107"/>
              <w:rPr>
                <w:sz w:val="20"/>
              </w:rPr>
            </w:pPr>
            <w:r>
              <w:rPr>
                <w:sz w:val="20"/>
              </w:rPr>
              <w:t xml:space="preserve">0,772 </w:t>
            </w:r>
            <w:r>
              <w:rPr>
                <w:sz w:val="20"/>
              </w:rPr>
              <w:t xml:space="preserve">(0,137) </w:t>
            </w:r>
            <w:r>
              <w:rPr>
                <w:sz w:val="20"/>
              </w:rPr>
              <w:t xml:space="preserve">kg/m2 </w:t>
            </w:r>
            <w:r>
              <w:rPr>
                <w:sz w:val="20"/>
              </w:rPr>
              <w:t xml:space="preserve">au </w:t>
            </w:r>
            <w:r>
              <w:rPr>
                <w:sz w:val="20"/>
              </w:rPr>
              <w:t xml:space="preserve">départ, </w:t>
            </w:r>
            <w:r>
              <w:rPr>
                <w:sz w:val="20"/>
              </w:rPr>
              <w:t xml:space="preserve">0,785</w:t>
            </w:r>
          </w:p>
          <w:p>
            <w:pPr>
              <w:pStyle w:val="TableParagraph"/>
              <w:ind w:start="107"/>
              <w:rPr>
                <w:sz w:val="20"/>
              </w:rPr>
            </w:pPr>
            <w:r>
              <w:rPr>
                <w:sz w:val="20"/>
              </w:rPr>
              <w:t xml:space="preserve">(0,120) </w:t>
            </w:r>
            <w:r>
              <w:rPr>
                <w:sz w:val="20"/>
              </w:rPr>
              <w:t xml:space="preserve">kg/m2 </w:t>
            </w:r>
            <w:r>
              <w:rPr>
                <w:sz w:val="20"/>
              </w:rPr>
              <w:t xml:space="preserve">à </w:t>
            </w:r>
            <w:r>
              <w:rPr>
                <w:sz w:val="20"/>
              </w:rPr>
              <w:t xml:space="preserve">1 </w:t>
            </w:r>
            <w:r>
              <w:rPr>
                <w:sz w:val="20"/>
              </w:rPr>
              <w:t xml:space="preserve">an </w:t>
            </w:r>
            <w:r>
              <w:rPr>
                <w:sz w:val="20"/>
              </w:rPr>
              <w:t xml:space="preserve">(p=0,797) ;</w:t>
            </w:r>
          </w:p>
          <w:p>
            <w:pPr>
              <w:pStyle w:val="TableParagraph"/>
              <w:spacing w:before="1"/>
              <w:ind w:start="107"/>
              <w:rPr>
                <w:sz w:val="20"/>
              </w:rPr>
            </w:pPr>
            <w:r>
              <w:rPr>
                <w:sz w:val="20"/>
              </w:rPr>
              <w:t xml:space="preserve">z-score </w:t>
            </w:r>
            <w:r>
              <w:rPr>
                <w:sz w:val="20"/>
              </w:rPr>
              <w:t xml:space="preserve">-0,863 </w:t>
            </w:r>
            <w:r>
              <w:rPr>
                <w:sz w:val="20"/>
              </w:rPr>
              <w:t xml:space="preserve">(1,215) </w:t>
            </w:r>
            <w:r>
              <w:rPr>
                <w:sz w:val="20"/>
              </w:rPr>
              <w:t xml:space="preserve">au </w:t>
            </w:r>
            <w:r>
              <w:rPr>
                <w:sz w:val="20"/>
              </w:rPr>
              <w:t xml:space="preserve">départ,</w:t>
            </w:r>
          </w:p>
          <w:p>
            <w:pPr>
              <w:pStyle w:val="TableParagraph"/>
              <w:spacing w:line="229" w:lineRule="exact"/>
              <w:ind w:start="107"/>
              <w:rPr>
                <w:sz w:val="20"/>
              </w:rPr>
            </w:pPr>
            <w:r>
              <w:rPr>
                <w:sz w:val="20"/>
              </w:rPr>
              <w:t xml:space="preserve">-1,440 </w:t>
            </w:r>
            <w:r>
              <w:rPr>
                <w:sz w:val="20"/>
              </w:rPr>
              <w:t xml:space="preserve">(1,075) </w:t>
            </w:r>
            <w:r>
              <w:rPr>
                <w:sz w:val="20"/>
              </w:rPr>
              <w:t xml:space="preserve">à </w:t>
            </w:r>
            <w:r>
              <w:rPr>
                <w:sz w:val="20"/>
              </w:rPr>
              <w:t xml:space="preserve">1 </w:t>
            </w:r>
            <w:r>
              <w:rPr>
                <w:sz w:val="20"/>
              </w:rPr>
              <w:t xml:space="preserve">an </w:t>
            </w:r>
            <w:r>
              <w:rPr>
                <w:sz w:val="20"/>
              </w:rPr>
              <w:t xml:space="preserve">(p=0,000)</w:t>
            </w:r>
          </w:p>
          <w:p>
            <w:pPr>
              <w:pStyle w:val="TableParagraph"/>
              <w:spacing w:line="229" w:lineRule="exact"/>
              <w:ind w:start="107"/>
              <w:rPr>
                <w:b/>
                <w:sz w:val="20"/>
              </w:rPr>
            </w:pPr>
            <w:r>
              <w:rPr>
                <w:b/>
                <w:sz w:val="20"/>
              </w:rPr>
              <w:t xml:space="preserve">DMO du </w:t>
            </w:r>
            <w:r>
              <w:rPr>
                <w:b/>
                <w:sz w:val="20"/>
              </w:rPr>
              <w:t xml:space="preserve">col du </w:t>
            </w:r>
            <w:r>
              <w:rPr>
                <w:b/>
                <w:sz w:val="20"/>
              </w:rPr>
              <w:t xml:space="preserve">fémur </w:t>
            </w:r>
            <w:r>
              <w:rPr>
                <w:b/>
                <w:sz w:val="20"/>
              </w:rPr>
              <w:t xml:space="preserve">(hanche) </w:t>
            </w:r>
            <w:r>
              <w:rPr>
                <w:b/>
                <w:sz w:val="20"/>
              </w:rPr>
              <w:t xml:space="preserve">0 </w:t>
            </w:r>
            <w:r>
              <w:rPr>
                <w:b/>
                <w:sz w:val="20"/>
              </w:rPr>
              <w:t xml:space="preserve">à </w:t>
            </w:r>
            <w:r>
              <w:rPr>
                <w:b/>
                <w:sz w:val="20"/>
              </w:rPr>
              <w:t xml:space="preserve">2 </w:t>
            </w:r>
            <w:r>
              <w:rPr>
                <w:b/>
                <w:sz w:val="20"/>
              </w:rPr>
              <w:t xml:space="preserve">ans</w:t>
            </w:r>
          </w:p>
          <w:p>
            <w:pPr>
              <w:pStyle w:val="TableParagraph"/>
              <w:spacing w:before="1"/>
              <w:ind w:start="107"/>
              <w:rPr>
                <w:sz w:val="20"/>
              </w:rPr>
            </w:pPr>
            <w:r>
              <w:rPr>
                <w:sz w:val="20"/>
              </w:rPr>
              <w:t xml:space="preserve">Femmes transfemmes </w:t>
            </w:r>
            <w:r>
              <w:rPr>
                <w:sz w:val="20"/>
              </w:rPr>
              <w:t xml:space="preserve">(moyenne [±SD]) :</w:t>
            </w:r>
          </w:p>
          <w:p>
            <w:pPr>
              <w:pStyle w:val="TableParagraph"/>
              <w:ind w:start="107"/>
              <w:rPr>
                <w:sz w:val="20"/>
              </w:rPr>
            </w:pPr>
            <w:r>
              <w:rPr>
                <w:sz w:val="20"/>
              </w:rPr>
              <w:t xml:space="preserve">0,920 </w:t>
            </w:r>
            <w:r>
              <w:rPr>
                <w:sz w:val="20"/>
              </w:rPr>
              <w:t xml:space="preserve">(0,116) </w:t>
            </w:r>
            <w:r>
              <w:rPr>
                <w:sz w:val="20"/>
              </w:rPr>
              <w:t xml:space="preserve">kg/m2 </w:t>
            </w:r>
            <w:r>
              <w:rPr>
                <w:sz w:val="20"/>
              </w:rPr>
              <w:t xml:space="preserve">au </w:t>
            </w:r>
            <w:r>
              <w:rPr>
                <w:sz w:val="20"/>
              </w:rPr>
              <w:t xml:space="preserve">départ, </w:t>
            </w:r>
            <w:r>
              <w:rPr>
                <w:sz w:val="20"/>
              </w:rPr>
              <w:t xml:space="preserve">0,910</w:t>
            </w:r>
          </w:p>
          <w:p>
            <w:pPr>
              <w:pStyle w:val="TableParagraph"/>
              <w:spacing w:before="1"/>
              <w:ind w:start="107"/>
              <w:rPr>
                <w:sz w:val="20"/>
              </w:rPr>
            </w:pPr>
            <w:r>
              <w:rPr>
                <w:sz w:val="20"/>
              </w:rPr>
              <w:t xml:space="preserve">(0,125) </w:t>
            </w:r>
            <w:r>
              <w:rPr>
                <w:sz w:val="20"/>
              </w:rPr>
              <w:t xml:space="preserve">kg/m2 </w:t>
            </w:r>
            <w:r>
              <w:rPr>
                <w:sz w:val="20"/>
              </w:rPr>
              <w:t xml:space="preserve">à </w:t>
            </w:r>
            <w:r>
              <w:rPr>
                <w:sz w:val="20"/>
              </w:rPr>
              <w:t xml:space="preserve">2 </w:t>
            </w:r>
            <w:r>
              <w:rPr>
                <w:sz w:val="20"/>
              </w:rPr>
              <w:t xml:space="preserve">ans </w:t>
            </w:r>
            <w:r>
              <w:rPr>
                <w:sz w:val="20"/>
              </w:rPr>
              <w:t xml:space="preserve">(p=0,402) ;</w:t>
            </w:r>
          </w:p>
          <w:p>
            <w:pPr>
              <w:pStyle w:val="TableParagraph"/>
              <w:ind w:start="107"/>
              <w:rPr>
                <w:sz w:val="20"/>
              </w:rPr>
            </w:pPr>
            <w:r>
              <w:rPr>
                <w:sz w:val="20"/>
              </w:rPr>
              <w:t xml:space="preserve">z-score </w:t>
            </w:r>
            <w:r>
              <w:rPr>
                <w:sz w:val="20"/>
              </w:rPr>
              <w:t xml:space="preserve">0,450 </w:t>
            </w:r>
            <w:r>
              <w:rPr>
                <w:sz w:val="20"/>
              </w:rPr>
              <w:t xml:space="preserve">(0,781) </w:t>
            </w:r>
            <w:r>
              <w:rPr>
                <w:sz w:val="20"/>
              </w:rPr>
              <w:t xml:space="preserve">au </w:t>
            </w:r>
            <w:r>
              <w:rPr>
                <w:sz w:val="20"/>
              </w:rPr>
              <w:t xml:space="preserve">départ, </w:t>
            </w:r>
            <w:r>
              <w:rPr>
                <w:sz w:val="20"/>
              </w:rPr>
              <w:t xml:space="preserve">-0,600</w:t>
            </w:r>
          </w:p>
          <w:p>
            <w:pPr>
              <w:pStyle w:val="TableParagraph"/>
              <w:spacing w:before="1"/>
              <w:ind w:start="107" w:end="1348"/>
              <w:rPr>
                <w:sz w:val="20"/>
              </w:rPr>
            </w:pPr>
            <w:r>
              <w:rPr>
                <w:sz w:val="20"/>
              </w:rPr>
              <w:t xml:space="preserve">(1,059) à 2 ans (p=0,002) </w:t>
            </w:r>
            <w:r>
              <w:rPr>
                <w:sz w:val="20"/>
              </w:rPr>
              <w:t xml:space="preserve">Transmales </w:t>
            </w:r>
            <w:r>
              <w:rPr>
                <w:sz w:val="20"/>
              </w:rPr>
              <w:t xml:space="preserve">(moyenne </w:t>
            </w:r>
            <w:r>
              <w:rPr>
                <w:sz w:val="20"/>
              </w:rPr>
              <w:t xml:space="preserve">[±SD]) :</w:t>
            </w:r>
          </w:p>
          <w:p>
            <w:pPr>
              <w:pStyle w:val="TableParagraph"/>
              <w:spacing w:line="228" w:lineRule="exact"/>
              <w:ind w:start="107"/>
              <w:rPr>
                <w:sz w:val="20"/>
              </w:rPr>
            </w:pPr>
            <w:r>
              <w:rPr>
                <w:sz w:val="20"/>
              </w:rPr>
              <w:t xml:space="preserve">0,766 </w:t>
            </w:r>
            <w:r>
              <w:rPr>
                <w:sz w:val="20"/>
              </w:rPr>
              <w:t xml:space="preserve">(0,215) </w:t>
            </w:r>
            <w:r>
              <w:rPr>
                <w:sz w:val="20"/>
              </w:rPr>
              <w:t xml:space="preserve">kg/m2 </w:t>
            </w:r>
            <w:r>
              <w:rPr>
                <w:sz w:val="20"/>
              </w:rPr>
              <w:t xml:space="preserve">au </w:t>
            </w:r>
            <w:r>
              <w:rPr>
                <w:sz w:val="20"/>
              </w:rPr>
              <w:t xml:space="preserve">départ, </w:t>
            </w:r>
            <w:r>
              <w:rPr>
                <w:sz w:val="20"/>
              </w:rPr>
              <w:t xml:space="preserve">0,773</w:t>
            </w:r>
          </w:p>
          <w:p>
            <w:pPr>
              <w:pStyle w:val="TableParagraph"/>
              <w:ind w:start="107"/>
              <w:rPr>
                <w:sz w:val="20"/>
              </w:rPr>
            </w:pPr>
            <w:r>
              <w:rPr>
                <w:sz w:val="20"/>
              </w:rPr>
              <w:t xml:space="preserve">(0,197) </w:t>
            </w:r>
            <w:r>
              <w:rPr>
                <w:sz w:val="20"/>
              </w:rPr>
              <w:t xml:space="preserve">à </w:t>
            </w:r>
            <w:r>
              <w:rPr>
                <w:sz w:val="20"/>
              </w:rPr>
              <w:t xml:space="preserve">2 </w:t>
            </w:r>
            <w:r>
              <w:rPr>
                <w:sz w:val="20"/>
              </w:rPr>
              <w:t xml:space="preserve">ans </w:t>
            </w:r>
            <w:r>
              <w:rPr>
                <w:sz w:val="20"/>
              </w:rPr>
              <w:t xml:space="preserve">(p=0,604) ;</w:t>
            </w:r>
          </w:p>
          <w:p>
            <w:pPr>
              <w:pStyle w:val="TableParagraph"/>
              <w:spacing w:before="1"/>
              <w:ind w:start="107"/>
              <w:rPr>
                <w:sz w:val="20"/>
              </w:rPr>
            </w:pPr>
            <w:r>
              <w:rPr>
                <w:sz w:val="20"/>
              </w:rPr>
              <w:t xml:space="preserve">z-score </w:t>
            </w:r>
            <w:r>
              <w:rPr>
                <w:sz w:val="20"/>
              </w:rPr>
              <w:t xml:space="preserve">-1,075 </w:t>
            </w:r>
            <w:r>
              <w:rPr>
                <w:sz w:val="20"/>
              </w:rPr>
              <w:t xml:space="preserve">(1,145) </w:t>
            </w:r>
            <w:r>
              <w:rPr>
                <w:sz w:val="20"/>
              </w:rPr>
              <w:t xml:space="preserve">au </w:t>
            </w:r>
            <w:r>
              <w:rPr>
                <w:sz w:val="20"/>
              </w:rPr>
              <w:t xml:space="preserve">départ,</w:t>
            </w:r>
          </w:p>
          <w:p>
            <w:pPr>
              <w:pStyle w:val="TableParagraph"/>
              <w:spacing w:line="220" w:lineRule="exact"/>
              <w:ind w:start="107"/>
              <w:rPr>
                <w:sz w:val="20"/>
              </w:rPr>
            </w:pPr>
            <w:r>
              <w:rPr>
                <w:sz w:val="20"/>
              </w:rPr>
              <w:t xml:space="preserve">-1,779 </w:t>
            </w:r>
            <w:r>
              <w:rPr>
                <w:sz w:val="20"/>
              </w:rPr>
              <w:t xml:space="preserve">(0,816) </w:t>
            </w:r>
            <w:r>
              <w:rPr>
                <w:sz w:val="20"/>
              </w:rPr>
              <w:t xml:space="preserve">à </w:t>
            </w:r>
            <w:r>
              <w:rPr>
                <w:sz w:val="20"/>
              </w:rPr>
              <w:t xml:space="preserve">2 </w:t>
            </w:r>
            <w:r>
              <w:rPr>
                <w:sz w:val="20"/>
              </w:rPr>
              <w:t xml:space="preserve">ans </w:t>
            </w:r>
            <w:r>
              <w:rPr>
                <w:sz w:val="20"/>
              </w:rPr>
              <w:t xml:space="preserve">(p=0,001)</w:t>
            </w:r>
          </w:p>
        </w:tc>
        <w:tc>
          <w:tcPr>
            <w:tcW w:w="3061" w:type="dxa"/>
          </w:tcPr>
          <w:p w:rsidR="00432386" w:rsidRDefault="00432386">
            <w:pPr>
              <w:pStyle w:val="TableParagraph"/>
              <w:rPr>
                <w:rFonts w:ascii="Times New Roman"/>
                <w:sz w:val="18"/>
              </w:rPr>
            </w:pPr>
          </w:p>
        </w:tc>
      </w:tr>
    </w:tbl>
    <w:p>
      <w:pPr>
        <w:spacing w:line="195" w:lineRule="exact"/>
        <w:ind w:start="100"/>
        <w:rPr>
          <w:sz w:val="18"/>
        </w:rPr>
      </w:pPr>
      <w:r>
        <w:rPr>
          <w:position w:val="6"/>
          <w:sz w:val="12"/>
        </w:rPr>
        <w:t xml:space="preserve">1 La </w:t>
      </w:r>
      <w:r>
        <w:rPr>
          <w:sz w:val="18"/>
        </w:rPr>
        <w:t xml:space="preserve">DMO de </w:t>
      </w:r>
      <w:r>
        <w:rPr>
          <w:sz w:val="18"/>
        </w:rPr>
        <w:t xml:space="preserve">la colonne </w:t>
      </w:r>
      <w:r>
        <w:rPr>
          <w:sz w:val="18"/>
        </w:rPr>
        <w:t xml:space="preserve">lombaire </w:t>
      </w:r>
      <w:r>
        <w:rPr>
          <w:sz w:val="18"/>
        </w:rPr>
        <w:t xml:space="preserve">(L1-L4) </w:t>
      </w:r>
      <w:r>
        <w:rPr>
          <w:sz w:val="18"/>
        </w:rPr>
        <w:t xml:space="preserve">a été </w:t>
      </w:r>
      <w:r>
        <w:rPr>
          <w:sz w:val="18"/>
        </w:rPr>
        <w:t xml:space="preserve">mesurée </w:t>
      </w:r>
      <w:r>
        <w:rPr>
          <w:sz w:val="18"/>
        </w:rPr>
        <w:t xml:space="preserve">par des </w:t>
      </w:r>
      <w:r>
        <w:rPr>
          <w:sz w:val="18"/>
        </w:rPr>
        <w:t xml:space="preserve">scans </w:t>
      </w:r>
      <w:r>
        <w:rPr>
          <w:sz w:val="18"/>
        </w:rPr>
        <w:t xml:space="preserve">annuels d'</w:t>
      </w:r>
      <w:r>
        <w:rPr>
          <w:sz w:val="18"/>
        </w:rPr>
        <w:t xml:space="preserve">absorptiométrie à rayons X à </w:t>
      </w:r>
      <w:r>
        <w:rPr>
          <w:sz w:val="18"/>
        </w:rPr>
        <w:t xml:space="preserve">double </w:t>
      </w:r>
      <w:r>
        <w:rPr>
          <w:sz w:val="18"/>
        </w:rPr>
        <w:t xml:space="preserve">énergie </w:t>
      </w:r>
      <w:r>
        <w:rPr>
          <w:sz w:val="18"/>
        </w:rPr>
        <w:t xml:space="preserve">(DXA) </w:t>
      </w:r>
      <w:r>
        <w:rPr>
          <w:sz w:val="18"/>
        </w:rPr>
        <w:t xml:space="preserve">au </w:t>
      </w:r>
      <w:r>
        <w:rPr>
          <w:sz w:val="18"/>
        </w:rPr>
        <w:t xml:space="preserve">départ </w:t>
      </w:r>
      <w:r>
        <w:rPr>
          <w:sz w:val="18"/>
        </w:rPr>
        <w:t xml:space="preserve">(n=70), à </w:t>
      </w:r>
      <w:r>
        <w:rPr>
          <w:sz w:val="18"/>
        </w:rPr>
        <w:t xml:space="preserve">1 </w:t>
      </w:r>
      <w:r>
        <w:rPr>
          <w:sz w:val="18"/>
        </w:rPr>
        <w:t xml:space="preserve">an </w:t>
      </w:r>
      <w:r>
        <w:rPr>
          <w:sz w:val="18"/>
        </w:rPr>
        <w:t xml:space="preserve">(n=70) </w:t>
      </w:r>
      <w:r>
        <w:rPr>
          <w:sz w:val="18"/>
        </w:rPr>
        <w:t xml:space="preserve">et à </w:t>
      </w:r>
      <w:r>
        <w:rPr>
          <w:sz w:val="18"/>
        </w:rPr>
        <w:t xml:space="preserve">2 </w:t>
      </w:r>
      <w:r>
        <w:rPr>
          <w:sz w:val="18"/>
        </w:rPr>
        <w:t xml:space="preserve">ans </w:t>
      </w:r>
      <w:r>
        <w:rPr>
          <w:sz w:val="18"/>
        </w:rPr>
        <w:t xml:space="preserve">(n=31).</w:t>
      </w:r>
    </w:p>
    <w:p>
      <w:pPr>
        <w:ind w:start="100" w:end="953"/>
        <w:rPr>
          <w:sz w:val="18"/>
        </w:rPr>
      </w:pPr>
      <w:r>
        <w:rPr>
          <w:position w:val="6"/>
          <w:sz w:val="12"/>
        </w:rPr>
        <w:t xml:space="preserve">2 </w:t>
      </w:r>
      <w:r>
        <w:rPr>
          <w:sz w:val="18"/>
        </w:rPr>
        <w:t xml:space="preserve">BMAD est une valeur de la DMO ajustée en fonction de la taille, qui intègre les mesures de la taille corporelle selon les normes britanniques chez les adolescents en pleine croissance. Elle est exprimée en g/cm3 et en z-scores. Les z-scores de la BMAD de la hanche </w:t>
      </w:r>
      <w:r>
        <w:rPr>
          <w:sz w:val="18"/>
        </w:rPr>
        <w:t xml:space="preserve">n'ont pas été </w:t>
      </w:r>
      <w:r>
        <w:rPr>
          <w:sz w:val="18"/>
        </w:rPr>
        <w:t xml:space="preserve">calculés </w:t>
      </w:r>
      <w:r>
        <w:rPr>
          <w:sz w:val="18"/>
        </w:rPr>
        <w:t xml:space="preserve">car il </w:t>
      </w:r>
      <w:r>
        <w:rPr>
          <w:sz w:val="18"/>
        </w:rPr>
        <w:t xml:space="preserve">n'y avait pas de </w:t>
      </w:r>
      <w:r>
        <w:rPr>
          <w:sz w:val="18"/>
        </w:rPr>
        <w:t xml:space="preserve">plages de </w:t>
      </w:r>
      <w:r>
        <w:rPr>
          <w:sz w:val="18"/>
        </w:rPr>
        <w:t xml:space="preserve">référence disponibles</w:t>
      </w:r>
      <w:r>
        <w:rPr>
          <w:sz w:val="18"/>
        </w:rPr>
        <w:t xml:space="preserve">.</w:t>
      </w:r>
    </w:p>
    <w:p w:rsidR="00432386" w:rsidRDefault="00432386">
      <w:pPr>
        <w:pStyle w:val="Corpsdetexte"/>
        <w:spacing w:before="0"/>
        <w:ind w:start="0"/>
        <w:rPr>
          <w:sz w:val="20"/>
        </w:rPr>
      </w:pPr>
    </w:p>
    <w:p w:rsidR="00432386" w:rsidRDefault="00432386">
      <w:pPr>
        <w:pStyle w:val="Corpsdetexte"/>
        <w:spacing w:before="3"/>
        <w:ind w:start="0"/>
        <w:rPr>
          <w:sz w:val="24"/>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282"/>
        </w:trPr>
        <w:tc>
          <w:tcPr>
            <w:tcW w:w="2972"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21" w:type="dxa"/>
            <w:shd w:val="clear" w:color="auto" w:fill="8DB3E1"/>
          </w:tcPr>
          <w:p>
            <w:pPr>
              <w:pStyle w:val="TableParagraph"/>
              <w:spacing w:line="229" w:lineRule="exact"/>
              <w:ind w:start="107"/>
              <w:rPr>
                <w:b/>
                <w:sz w:val="20"/>
              </w:rPr>
            </w:pPr>
            <w:r>
              <w:rPr>
                <w:b/>
                <w:sz w:val="20"/>
              </w:rPr>
              <w:t xml:space="preserve">Population</w:t>
            </w:r>
          </w:p>
        </w:tc>
        <w:tc>
          <w:tcPr>
            <w:tcW w:w="2127" w:type="dxa"/>
            <w:shd w:val="clear" w:color="auto" w:fill="8DB3E1"/>
          </w:tcPr>
          <w:p>
            <w:pPr>
              <w:pStyle w:val="TableParagraph"/>
              <w:spacing w:line="229" w:lineRule="exact"/>
              <w:ind w:start="107"/>
              <w:rPr>
                <w:b/>
                <w:sz w:val="20"/>
              </w:rPr>
            </w:pPr>
            <w:r>
              <w:rPr>
                <w:b/>
                <w:sz w:val="20"/>
              </w:rPr>
              <w:t xml:space="preserve">Interventions</w:t>
            </w:r>
          </w:p>
        </w:tc>
        <w:tc>
          <w:tcPr>
            <w:tcW w:w="3971"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9" w:lineRule="exact"/>
              <w:ind w:start="105"/>
              <w:rPr>
                <w:b/>
                <w:sz w:val="20"/>
              </w:rPr>
            </w:pPr>
            <w:r>
              <w:rPr>
                <w:b/>
                <w:sz w:val="20"/>
              </w:rPr>
              <w:t xml:space="preserve">Évaluation </w:t>
            </w:r>
            <w:r>
              <w:rPr>
                <w:b/>
                <w:sz w:val="20"/>
              </w:rPr>
              <w:t xml:space="preserve">et </w:t>
            </w:r>
            <w:r>
              <w:rPr>
                <w:b/>
                <w:sz w:val="20"/>
              </w:rPr>
              <w:t xml:space="preserve">financement</w:t>
            </w:r>
          </w:p>
        </w:tc>
      </w:tr>
      <w:tr w:rsidR="00432386">
        <w:trPr>
          <w:trHeight w:val="1151"/>
        </w:trPr>
        <w:tc>
          <w:tcPr>
            <w:tcW w:w="2972" w:type="dxa"/>
          </w:tcPr>
          <w:p>
            <w:pPr>
              <w:pStyle w:val="TableParagraph"/>
              <w:ind w:start="107" w:end="113"/>
              <w:rPr>
                <w:sz w:val="20"/>
              </w:rPr>
            </w:pPr>
            <w:r>
              <w:rPr>
                <w:sz w:val="20"/>
              </w:rPr>
              <w:t xml:space="preserve">Khatchadourian </w:t>
            </w:r>
            <w:r>
              <w:rPr>
                <w:sz w:val="20"/>
              </w:rPr>
              <w:t xml:space="preserve">K, </w:t>
            </w:r>
            <w:r>
              <w:rPr>
                <w:sz w:val="20"/>
              </w:rPr>
              <w:t xml:space="preserve">Shazhan </w:t>
            </w:r>
            <w:r>
              <w:rPr>
                <w:sz w:val="20"/>
              </w:rPr>
              <w:t xml:space="preserve">A, </w:t>
            </w:r>
            <w:r>
              <w:rPr>
                <w:sz w:val="20"/>
              </w:rPr>
              <w:t xml:space="preserve">Metzger D. (2014) </w:t>
            </w:r>
            <w:hyperlink r:id="rId277">
              <w:r>
                <w:rPr>
                  <w:color w:val="0000FF"/>
                  <w:sz w:val="20"/>
                  <w:u w:val="single" w:color="0000FF"/>
                </w:rPr>
                <w:t xml:space="preserve">Prise en charge </w:t>
              </w:r>
            </w:hyperlink>
            <w:hyperlink r:id="rId276">
              <w:r>
                <w:rPr>
                  <w:color w:val="0000FF"/>
                  <w:sz w:val="20"/>
                  <w:u w:val="single" w:color="0000FF"/>
                </w:rPr>
                <w:t xml:space="preserve">clinique </w:t>
              </w:r>
            </w:hyperlink>
            <w:hyperlink r:id="rId277">
              <w:r>
                <w:rPr>
                  <w:color w:val="0000FF"/>
                  <w:sz w:val="20"/>
                  <w:u w:val="single" w:color="0000FF"/>
                </w:rPr>
                <w:t xml:space="preserve">des jeunes atteints de </w:t>
              </w:r>
            </w:hyperlink>
            <w:hyperlink r:id="rId278">
              <w:r>
                <w:rPr>
                  <w:color w:val="0000FF"/>
                  <w:sz w:val="20"/>
                  <w:u w:val="single" w:color="0000FF"/>
                </w:rPr>
                <w:t xml:space="preserve">dysphorie de</w:t>
              </w:r>
              <w:r>
                <w:rPr>
                  <w:color w:val="0000FF"/>
                  <w:sz w:val="20"/>
                  <w:u w:val="single" w:color="0000FF"/>
                </w:rPr>
                <w:t xml:space="preserve">genre</w:t>
              </w:r>
              <w:r>
                <w:rPr>
                  <w:color w:val="0000FF"/>
                  <w:sz w:val="20"/>
                  <w:u w:val="single" w:color="0000FF"/>
                </w:rPr>
                <w:t xml:space="preserve">en...</w:t>
              </w:r>
            </w:hyperlink>
          </w:p>
        </w:tc>
        <w:tc>
          <w:tcPr>
            <w:tcW w:w="3121" w:type="dxa"/>
          </w:tcPr>
          <w:p>
            <w:pPr>
              <w:pStyle w:val="TableParagraph"/>
              <w:ind w:start="107" w:end="181"/>
              <w:rPr>
                <w:sz w:val="20"/>
              </w:rPr>
            </w:pPr>
            <w:r>
              <w:rPr>
                <w:sz w:val="20"/>
              </w:rPr>
              <w:t xml:space="preserve">27 jeunes atteints de </w:t>
            </w:r>
            <w:r>
              <w:rPr>
                <w:sz w:val="20"/>
              </w:rPr>
              <w:t xml:space="preserve">dysphorie de </w:t>
            </w:r>
            <w:r>
              <w:rPr>
                <w:sz w:val="20"/>
              </w:rPr>
              <w:t xml:space="preserve">genre </w:t>
            </w:r>
            <w:r>
              <w:rPr>
                <w:sz w:val="20"/>
              </w:rPr>
              <w:t xml:space="preserve">qui ont commencé à prendre des </w:t>
            </w:r>
            <w:r>
              <w:rPr>
                <w:sz w:val="20"/>
              </w:rPr>
              <w:t xml:space="preserve">analogues de la </w:t>
            </w:r>
            <w:r>
              <w:rPr>
                <w:sz w:val="20"/>
              </w:rPr>
              <w:t xml:space="preserve">GnRH </w:t>
            </w:r>
            <w:r>
              <w:rPr>
                <w:sz w:val="20"/>
              </w:rPr>
              <w:t xml:space="preserve">(à l'âge moyen [±SD] </w:t>
            </w:r>
            <w:r>
              <w:rPr>
                <w:sz w:val="20"/>
              </w:rPr>
              <w:t xml:space="preserve">14,7±1,9 </w:t>
            </w:r>
            <w:r>
              <w:rPr>
                <w:sz w:val="20"/>
              </w:rPr>
              <w:t xml:space="preserve">ans) </w:t>
            </w:r>
            <w:r>
              <w:rPr>
                <w:sz w:val="20"/>
              </w:rPr>
              <w:t xml:space="preserve">sur </w:t>
            </w:r>
            <w:r>
              <w:rPr>
                <w:sz w:val="20"/>
              </w:rPr>
              <w:t xml:space="preserve">84 </w:t>
            </w:r>
            <w:r>
              <w:rPr>
                <w:sz w:val="20"/>
              </w:rPr>
              <w:t xml:space="preserve">jeunes</w:t>
            </w:r>
          </w:p>
        </w:tc>
        <w:tc>
          <w:tcPr>
            <w:tcW w:w="2127" w:type="dxa"/>
          </w:tcPr>
          <w:p>
            <w:pPr>
              <w:pStyle w:val="TableParagraph"/>
              <w:spacing w:line="229" w:lineRule="exact"/>
              <w:ind w:start="107"/>
              <w:rPr>
                <w:b/>
                <w:sz w:val="20"/>
              </w:rPr>
            </w:pPr>
            <w:r>
              <w:rPr>
                <w:b/>
                <w:sz w:val="20"/>
              </w:rPr>
              <w:t xml:space="preserve">Intervention</w:t>
            </w:r>
          </w:p>
          <w:p>
            <w:pPr>
              <w:pStyle w:val="TableParagraph"/>
              <w:ind w:start="107" w:end="113"/>
              <w:rPr>
                <w:sz w:val="20"/>
              </w:rPr>
            </w:pPr>
            <w:r>
              <w:rPr>
                <w:sz w:val="20"/>
              </w:rPr>
              <w:t xml:space="preserve">84 </w:t>
            </w:r>
            <w:r>
              <w:rPr>
                <w:sz w:val="20"/>
              </w:rPr>
              <w:t xml:space="preserve">jeunes </w:t>
            </w:r>
            <w:r>
              <w:rPr>
                <w:sz w:val="20"/>
              </w:rPr>
              <w:t xml:space="preserve">souffrant de </w:t>
            </w:r>
            <w:r>
              <w:rPr>
                <w:sz w:val="20"/>
              </w:rPr>
              <w:t xml:space="preserve">dysphorie de </w:t>
            </w:r>
            <w:r>
              <w:rPr>
                <w:sz w:val="20"/>
              </w:rPr>
              <w:t xml:space="preserve">genre</w:t>
            </w:r>
          </w:p>
          <w:p>
            <w:pPr>
              <w:pStyle w:val="TableParagraph"/>
              <w:spacing w:line="228" w:lineRule="exact"/>
              <w:ind w:start="107" w:end="190"/>
              <w:rPr>
                <w:sz w:val="20"/>
              </w:rPr>
            </w:pPr>
            <w:r>
              <w:rPr>
                <w:sz w:val="20"/>
              </w:rPr>
              <w:t xml:space="preserve">ont été inclus. Pour les </w:t>
            </w:r>
            <w:r>
              <w:rPr>
                <w:sz w:val="20"/>
              </w:rPr>
              <w:t xml:space="preserve">analogues de la </w:t>
            </w:r>
            <w:r>
              <w:rPr>
                <w:sz w:val="20"/>
              </w:rPr>
              <w:t xml:space="preserve">GnRH, </w:t>
            </w:r>
            <w:r>
              <w:rPr>
                <w:sz w:val="20"/>
              </w:rPr>
              <w:t xml:space="preserve">aucun</w:t>
            </w:r>
          </w:p>
        </w:tc>
        <w:tc>
          <w:tcPr>
            <w:tcW w:w="3971" w:type="dxa"/>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ind w:start="106"/>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
              <w:rPr>
                <w:sz w:val="20"/>
              </w:rPr>
            </w:pPr>
          </w:p>
          <w:p>
            <w:pPr>
              <w:pStyle w:val="TableParagraph"/>
              <w:spacing w:line="229" w:lineRule="exact"/>
              <w:ind w:start="106"/>
              <w:rPr>
                <w:b/>
                <w:sz w:val="20"/>
              </w:rPr>
            </w:pPr>
            <w:r>
              <w:rPr>
                <w:b/>
                <w:sz w:val="20"/>
              </w:rPr>
              <w:t xml:space="preserve">Résultats </w:t>
            </w:r>
            <w:r>
              <w:rPr>
                <w:b/>
                <w:sz w:val="20"/>
              </w:rPr>
              <w:t xml:space="preserve">importants</w:t>
            </w:r>
          </w:p>
          <w:p>
            <w:pPr>
              <w:pStyle w:val="TableParagraph"/>
              <w:spacing w:line="212" w:lineRule="exact"/>
              <w:ind w:start="106"/>
              <w:rPr>
                <w:b/>
                <w:i/>
                <w:sz w:val="20"/>
              </w:rPr>
            </w:pPr>
            <w:r>
              <w:rPr>
                <w:b/>
                <w:i/>
                <w:sz w:val="20"/>
              </w:rPr>
              <w:t xml:space="preserve">Arrêt du </w:t>
            </w:r>
            <w:r>
              <w:rPr>
                <w:b/>
                <w:i/>
                <w:sz w:val="20"/>
              </w:rPr>
              <w:t xml:space="preserve">traitement</w:t>
            </w:r>
          </w:p>
        </w:tc>
        <w:tc>
          <w:tcPr>
            <w:tcW w:w="3203" w:type="dxa"/>
          </w:tcPr>
          <w:p>
            <w:pPr>
              <w:pStyle w:val="TableParagraph"/>
              <w:ind w:start="105" w:end="296"/>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l'outil Newcastle-Ottawa pour les </w:t>
            </w:r>
            <w:r>
              <w:rPr>
                <w:sz w:val="20"/>
              </w:rPr>
              <w:t xml:space="preserve">études de </w:t>
            </w:r>
            <w:r>
              <w:rPr>
                <w:sz w:val="20"/>
              </w:rPr>
              <w:t xml:space="preserve">cohorte</w:t>
            </w:r>
            <w:r>
              <w:rPr>
                <w:sz w:val="20"/>
              </w:rPr>
              <w:t xml:space="preserve">.</w:t>
            </w:r>
          </w:p>
          <w:p w:rsidR="00432386" w:rsidRDefault="00432386">
            <w:pPr>
              <w:pStyle w:val="TableParagraph"/>
              <w:spacing w:before="10"/>
              <w:rPr>
                <w:sz w:val="19"/>
              </w:rPr>
            </w:pPr>
          </w:p>
          <w:p>
            <w:pPr>
              <w:pStyle w:val="TableParagraph"/>
              <w:spacing w:line="213" w:lineRule="exact"/>
              <w:ind w:start="105"/>
              <w:rPr>
                <w:b/>
                <w:sz w:val="20"/>
              </w:rPr>
            </w:pPr>
            <w:r>
              <w:rPr>
                <w:b/>
                <w:sz w:val="20"/>
              </w:rPr>
              <w:t xml:space="preserve">Domaine </w:t>
            </w:r>
            <w:r>
              <w:rPr>
                <w:b/>
                <w:sz w:val="20"/>
              </w:rPr>
              <w:t xml:space="preserve">1 : </w:t>
            </w:r>
            <w:r>
              <w:rPr>
                <w:b/>
                <w:sz w:val="20"/>
              </w:rPr>
              <w:t xml:space="preserve">Sélection</w:t>
            </w:r>
          </w:p>
        </w:tc>
      </w:tr>
    </w:tbl>
    <w:p w:rsidR="00432386" w:rsidRDefault="00432386">
      <w:pPr>
        <w:spacing w:line="213" w:lineRule="exact"/>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9092"/>
        </w:trPr>
        <w:tc>
          <w:tcPr>
            <w:tcW w:w="2972" w:type="dxa"/>
          </w:tcPr>
          <w:p>
            <w:pPr>
              <w:pStyle w:val="TableParagraph"/>
              <w:ind w:start="107" w:end="489"/>
              <w:rPr>
                <w:sz w:val="20"/>
              </w:rPr>
            </w:pPr>
            <w:hyperlink r:id="rId279">
              <w:r>
                <w:rPr>
                  <w:color w:val="0000FF"/>
                  <w:sz w:val="20"/>
                  <w:u w:val="single" w:color="0000FF"/>
                </w:rPr>
                <w:t xml:space="preserve">Vancouver.</w:t>
              </w:r>
            </w:hyperlink>
            <w:r>
              <w:rPr>
                <w:sz w:val="20"/>
              </w:rPr>
              <w:t xml:space="preserve">The Journal of </w:t>
            </w:r>
            <w:r>
              <w:rPr>
                <w:sz w:val="20"/>
              </w:rPr>
              <w:t xml:space="preserve">Pediatrics </w:t>
            </w:r>
            <w:r>
              <w:rPr>
                <w:sz w:val="20"/>
              </w:rPr>
              <w:t xml:space="preserve">164 </w:t>
            </w:r>
            <w:r>
              <w:rPr>
                <w:sz w:val="20"/>
              </w:rPr>
              <w:t xml:space="preserve">(4) : </w:t>
            </w:r>
            <w:r>
              <w:rPr>
                <w:sz w:val="20"/>
              </w:rPr>
              <w:t xml:space="preserve">906-11.</w:t>
            </w:r>
          </w:p>
          <w:p w:rsidR="00432386" w:rsidRDefault="00432386">
            <w:pPr>
              <w:pStyle w:val="TableParagraph"/>
              <w:spacing w:before="2"/>
              <w:rPr>
                <w:sz w:val="19"/>
              </w:rPr>
            </w:pPr>
          </w:p>
          <w:p>
            <w:pPr>
              <w:pStyle w:val="TableParagraph"/>
              <w:spacing w:before="1"/>
              <w:ind w:start="107"/>
              <w:rPr>
                <w:sz w:val="20"/>
              </w:rPr>
            </w:pPr>
            <w:r>
              <w:rPr>
                <w:sz w:val="20"/>
              </w:rPr>
              <w:t xml:space="preserve">Canada</w:t>
            </w:r>
          </w:p>
          <w:p w:rsidR="00432386" w:rsidRDefault="00432386">
            <w:pPr>
              <w:pStyle w:val="TableParagraph"/>
              <w:spacing w:before="9"/>
              <w:rPr>
                <w:sz w:val="19"/>
              </w:rPr>
            </w:pPr>
          </w:p>
          <w:p>
            <w:pPr>
              <w:pStyle w:val="TableParagraph"/>
              <w:spacing w:before="1"/>
              <w:ind w:start="107" w:end="381"/>
              <w:rPr>
                <w:sz w:val="20"/>
              </w:rPr>
            </w:pPr>
            <w:r>
              <w:rPr>
                <w:sz w:val="20"/>
              </w:rPr>
              <w:t xml:space="preserve">Étude </w:t>
            </w:r>
            <w:r>
              <w:rPr>
                <w:spacing w:val="-1"/>
                <w:sz w:val="20"/>
              </w:rPr>
              <w:t xml:space="preserve">rétrospective d</w:t>
            </w:r>
            <w:r>
              <w:rPr>
                <w:sz w:val="20"/>
              </w:rPr>
              <w:t xml:space="preserve">'observation </w:t>
            </w:r>
            <w:r>
              <w:rPr>
                <w:sz w:val="20"/>
              </w:rPr>
              <w:t xml:space="preserve">des dossiers dans un seul centre</w:t>
            </w:r>
          </w:p>
        </w:tc>
        <w:tc>
          <w:tcPr>
            <w:tcW w:w="3121" w:type="dxa"/>
          </w:tcPr>
          <w:p>
            <w:pPr>
              <w:pStyle w:val="TableParagraph"/>
              <w:ind w:start="107" w:end="170"/>
              <w:rPr>
                <w:sz w:val="20"/>
              </w:rPr>
            </w:pPr>
            <w:r>
              <w:rPr>
                <w:sz w:val="20"/>
              </w:rPr>
              <w:t xml:space="preserve">personnes </w:t>
            </w:r>
            <w:r>
              <w:rPr>
                <w:sz w:val="20"/>
              </w:rPr>
              <w:t xml:space="preserve">vues </w:t>
            </w:r>
            <w:r>
              <w:rPr>
                <w:sz w:val="20"/>
              </w:rPr>
              <w:t xml:space="preserve">dans l</w:t>
            </w:r>
            <w:r>
              <w:rPr>
                <w:sz w:val="20"/>
              </w:rPr>
              <w:t xml:space="preserve">'</w:t>
            </w:r>
            <w:r>
              <w:rPr>
                <w:sz w:val="20"/>
              </w:rPr>
              <w:t xml:space="preserve">unité </w:t>
            </w:r>
            <w:r>
              <w:rPr>
                <w:sz w:val="20"/>
              </w:rPr>
              <w:t xml:space="preserve">entre </w:t>
            </w:r>
            <w:r>
              <w:rPr>
                <w:sz w:val="20"/>
              </w:rPr>
              <w:t xml:space="preserve">1998 et </w:t>
            </w:r>
            <w:r>
              <w:rPr>
                <w:sz w:val="20"/>
              </w:rPr>
              <w:t xml:space="preserve">2011.</w:t>
            </w:r>
          </w:p>
          <w:p>
            <w:pPr>
              <w:pStyle w:val="TableParagraph"/>
              <w:ind w:start="107" w:end="138"/>
              <w:rPr>
                <w:sz w:val="20"/>
              </w:rPr>
            </w:pPr>
            <w:r>
              <w:rPr>
                <w:sz w:val="20"/>
              </w:rPr>
              <w:t xml:space="preserve">Note : les </w:t>
            </w:r>
            <w:r>
              <w:rPr>
                <w:sz w:val="20"/>
              </w:rPr>
              <w:t xml:space="preserve">sous-groupes </w:t>
            </w:r>
            <w:r>
              <w:rPr>
                <w:sz w:val="20"/>
              </w:rPr>
              <w:t xml:space="preserve">transmaliens </w:t>
            </w:r>
            <w:r>
              <w:rPr>
                <w:sz w:val="20"/>
              </w:rPr>
              <w:t xml:space="preserve">et </w:t>
            </w:r>
            <w:r>
              <w:rPr>
                <w:sz w:val="20"/>
              </w:rPr>
              <w:t xml:space="preserve">transfémaliens rapportés </w:t>
            </w:r>
            <w:r>
              <w:rPr>
                <w:sz w:val="20"/>
              </w:rPr>
              <w:t xml:space="preserve">dans l'article sont discordants, 15 </w:t>
            </w:r>
            <w:r>
              <w:rPr>
                <w:sz w:val="20"/>
              </w:rPr>
              <w:t xml:space="preserve">transmaliens et 11 transfémaliens </w:t>
            </w:r>
            <w:r>
              <w:rPr>
                <w:sz w:val="20"/>
              </w:rPr>
              <w:t xml:space="preserve">(n=26) </w:t>
            </w:r>
            <w:r>
              <w:rPr>
                <w:sz w:val="20"/>
              </w:rPr>
              <w:t xml:space="preserve">rapportés </w:t>
            </w:r>
            <w:r>
              <w:rPr>
                <w:sz w:val="20"/>
              </w:rPr>
              <w:t xml:space="preserve">dans </w:t>
            </w:r>
            <w:r>
              <w:rPr>
                <w:sz w:val="20"/>
              </w:rPr>
              <w:t xml:space="preserve">la </w:t>
            </w:r>
            <w:r>
              <w:rPr>
                <w:sz w:val="20"/>
              </w:rPr>
              <w:t xml:space="preserve">section des </w:t>
            </w:r>
            <w:r>
              <w:rPr>
                <w:sz w:val="20"/>
              </w:rPr>
              <w:t xml:space="preserve">résultats </w:t>
            </w:r>
            <w:r>
              <w:rPr>
                <w:sz w:val="20"/>
              </w:rPr>
              <w:t xml:space="preserve">plutôt que le n=27 </w:t>
            </w:r>
            <w:r>
              <w:rPr>
                <w:sz w:val="20"/>
              </w:rPr>
              <w:t xml:space="preserve">indiqué dans l'article ; </w:t>
            </w:r>
            <w:r>
              <w:rPr>
                <w:sz w:val="20"/>
              </w:rPr>
              <w:t xml:space="preserve">le rapport </w:t>
            </w:r>
            <w:r>
              <w:rPr>
                <w:sz w:val="20"/>
              </w:rPr>
              <w:t xml:space="preserve">complet </w:t>
            </w:r>
            <w:r>
              <w:rPr>
                <w:sz w:val="20"/>
              </w:rPr>
              <w:t xml:space="preserve">des résultats est également </w:t>
            </w:r>
            <w:r>
              <w:rPr>
                <w:sz w:val="20"/>
              </w:rPr>
              <w:t xml:space="preserve">incomplet pour le </w:t>
            </w:r>
            <w:r>
              <w:rPr>
                <w:sz w:val="20"/>
              </w:rPr>
              <w:t xml:space="preserve">groupe </w:t>
            </w:r>
            <w:r>
              <w:rPr>
                <w:sz w:val="20"/>
              </w:rPr>
              <w:t xml:space="preserve">transfémoral</w:t>
            </w:r>
            <w:r>
              <w:rPr>
                <w:sz w:val="20"/>
              </w:rPr>
              <w:t xml:space="preserve">.</w:t>
            </w:r>
          </w:p>
          <w:p>
            <w:pPr>
              <w:pStyle w:val="TableParagraph"/>
              <w:ind w:start="107" w:end="226"/>
              <w:rPr>
                <w:sz w:val="20"/>
              </w:rPr>
            </w:pPr>
            <w:r>
              <w:rPr>
                <w:sz w:val="20"/>
              </w:rPr>
              <w:t xml:space="preserve">Les critères d'inclusion étaient le </w:t>
            </w:r>
            <w:r>
              <w:rPr>
                <w:sz w:val="20"/>
              </w:rPr>
              <w:t xml:space="preserve">développement </w:t>
            </w:r>
            <w:r>
              <w:rPr>
                <w:sz w:val="20"/>
              </w:rPr>
              <w:t xml:space="preserve">pubertaire au </w:t>
            </w:r>
            <w:r>
              <w:rPr>
                <w:sz w:val="20"/>
              </w:rPr>
              <w:t xml:space="preserve">moins </w:t>
            </w:r>
            <w:r>
              <w:rPr>
                <w:sz w:val="20"/>
              </w:rPr>
              <w:t xml:space="preserve">au stade 2 de Tanner</w:t>
            </w:r>
            <w:r>
              <w:rPr>
                <w:sz w:val="20"/>
              </w:rPr>
              <w:t xml:space="preserve">, une </w:t>
            </w:r>
            <w:r>
              <w:rPr>
                <w:sz w:val="20"/>
              </w:rPr>
              <w:t xml:space="preserve">évaluation </w:t>
            </w:r>
            <w:r>
              <w:rPr>
                <w:sz w:val="20"/>
              </w:rPr>
              <w:t xml:space="preserve">préalable </w:t>
            </w:r>
            <w:r>
              <w:rPr>
                <w:sz w:val="20"/>
              </w:rPr>
              <w:t xml:space="preserve">par un </w:t>
            </w:r>
            <w:r>
              <w:rPr>
                <w:sz w:val="20"/>
              </w:rPr>
              <w:t xml:space="preserve">professionnel de la </w:t>
            </w:r>
            <w:r>
              <w:rPr>
                <w:sz w:val="20"/>
              </w:rPr>
              <w:t xml:space="preserve">santé mentale </w:t>
            </w:r>
            <w:r>
              <w:rPr>
                <w:sz w:val="20"/>
              </w:rPr>
              <w:t xml:space="preserve">et un </w:t>
            </w:r>
            <w:r>
              <w:rPr>
                <w:sz w:val="20"/>
              </w:rPr>
              <w:t xml:space="preserve">diagnostic </w:t>
            </w:r>
            <w:r>
              <w:rPr>
                <w:sz w:val="20"/>
              </w:rPr>
              <w:t xml:space="preserve">confirmé </w:t>
            </w:r>
            <w:r>
              <w:rPr>
                <w:sz w:val="20"/>
              </w:rPr>
              <w:t xml:space="preserve">de dysphorie de genre </w:t>
            </w:r>
            <w:r>
              <w:rPr>
                <w:sz w:val="20"/>
              </w:rPr>
              <w:t xml:space="preserve">(critères de diagnostic non </w:t>
            </w:r>
            <w:r>
              <w:rPr>
                <w:sz w:val="20"/>
              </w:rPr>
              <w:t xml:space="preserve">spécifiés). </w:t>
            </w:r>
            <w:r>
              <w:rPr>
                <w:sz w:val="20"/>
              </w:rPr>
              <w:t xml:space="preserve">Aucun </w:t>
            </w:r>
            <w:r>
              <w:rPr>
                <w:sz w:val="20"/>
              </w:rPr>
              <w:t xml:space="preserve">critère d'</w:t>
            </w:r>
            <w:r>
              <w:rPr>
                <w:sz w:val="20"/>
              </w:rPr>
              <w:t xml:space="preserve">exclusion </w:t>
            </w:r>
            <w:r>
              <w:rPr>
                <w:sz w:val="20"/>
              </w:rPr>
              <w:t xml:space="preserve">n'</w:t>
            </w:r>
            <w:r>
              <w:rPr>
                <w:sz w:val="20"/>
              </w:rPr>
              <w:t xml:space="preserve">est </w:t>
            </w:r>
            <w:r>
              <w:rPr>
                <w:sz w:val="20"/>
              </w:rPr>
              <w:t xml:space="preserve">spécifié.</w:t>
            </w:r>
          </w:p>
        </w:tc>
        <w:tc>
          <w:tcPr>
            <w:tcW w:w="2127" w:type="dxa"/>
          </w:tcPr>
          <w:p>
            <w:pPr>
              <w:pStyle w:val="TableParagraph"/>
              <w:ind w:start="107" w:end="377"/>
              <w:rPr>
                <w:sz w:val="20"/>
              </w:rPr>
            </w:pPr>
            <w:r>
              <w:rPr>
                <w:sz w:val="20"/>
              </w:rPr>
              <w:t xml:space="preserve">traitement, </w:t>
            </w:r>
            <w:r>
              <w:rPr>
                <w:sz w:val="20"/>
              </w:rPr>
              <w:t xml:space="preserve">dose ou voie d'</w:t>
            </w:r>
            <w:r>
              <w:rPr>
                <w:sz w:val="20"/>
              </w:rPr>
              <w:t xml:space="preserve">administration </w:t>
            </w:r>
            <w:r>
              <w:rPr>
                <w:sz w:val="20"/>
              </w:rPr>
              <w:t xml:space="preserve">spécifiques </w:t>
            </w:r>
            <w:r>
              <w:rPr>
                <w:sz w:val="20"/>
              </w:rPr>
              <w:t xml:space="preserve">rapportés.</w:t>
            </w:r>
          </w:p>
          <w:p>
            <w:pPr>
              <w:pStyle w:val="TableParagraph"/>
              <w:spacing w:line="229" w:lineRule="exact"/>
              <w:ind w:start="107"/>
              <w:rPr>
                <w:b/>
                <w:sz w:val="20"/>
              </w:rPr>
            </w:pPr>
            <w:r>
              <w:rPr>
                <w:b/>
                <w:sz w:val="20"/>
              </w:rPr>
              <w:t xml:space="preserve">Comparaison</w:t>
            </w:r>
          </w:p>
          <w:p>
            <w:pPr>
              <w:pStyle w:val="TableParagraph"/>
              <w:spacing w:line="229" w:lineRule="exact"/>
              <w:ind w:start="107"/>
              <w:rPr>
                <w:sz w:val="20"/>
              </w:rPr>
            </w:pPr>
            <w:r>
              <w:rPr>
                <w:sz w:val="20"/>
              </w:rPr>
              <w:t xml:space="preserve">Pas de </w:t>
            </w:r>
            <w:r>
              <w:rPr>
                <w:sz w:val="20"/>
              </w:rPr>
              <w:t xml:space="preserve">comparateur.</w:t>
            </w:r>
          </w:p>
        </w:tc>
        <w:tc>
          <w:tcPr>
            <w:tcW w:w="3971" w:type="dxa"/>
          </w:tcPr>
          <w:p>
            <w:pPr>
              <w:pStyle w:val="TableParagraph"/>
              <w:ind w:start="106"/>
              <w:rPr>
                <w:sz w:val="20"/>
              </w:rPr>
            </w:pPr>
            <w:r>
              <w:rPr>
                <w:sz w:val="20"/>
              </w:rPr>
              <w:t xml:space="preserve">Les </w:t>
            </w:r>
            <w:r>
              <w:rPr>
                <w:sz w:val="20"/>
              </w:rPr>
              <w:t xml:space="preserve">auteurs </w:t>
            </w:r>
            <w:r>
              <w:rPr>
                <w:sz w:val="20"/>
              </w:rPr>
              <w:t xml:space="preserve">rapportent </w:t>
            </w:r>
            <w:r>
              <w:rPr>
                <w:sz w:val="20"/>
              </w:rPr>
              <w:t xml:space="preserve">que </w:t>
            </w:r>
            <w:r>
              <w:rPr>
                <w:sz w:val="20"/>
              </w:rPr>
              <w:t xml:space="preserve">sur </w:t>
            </w:r>
            <w:r>
              <w:rPr>
                <w:sz w:val="20"/>
              </w:rPr>
              <w:t xml:space="preserve">15 </w:t>
            </w:r>
            <w:r>
              <w:rPr>
                <w:sz w:val="20"/>
              </w:rPr>
              <w:t xml:space="preserve">transmales </w:t>
            </w:r>
            <w:r>
              <w:rPr>
                <w:sz w:val="20"/>
              </w:rPr>
              <w:t xml:space="preserve">prenant des </w:t>
            </w:r>
            <w:r>
              <w:rPr>
                <w:sz w:val="20"/>
              </w:rPr>
              <w:t xml:space="preserve">analogues de la </w:t>
            </w:r>
            <w:r>
              <w:rPr>
                <w:sz w:val="20"/>
              </w:rPr>
              <w:t xml:space="preserve">GnRH </w:t>
            </w:r>
            <w:r>
              <w:rPr>
                <w:sz w:val="20"/>
              </w:rPr>
              <w:t xml:space="preserve">:</w:t>
            </w:r>
          </w:p>
          <w:p>
            <w:pPr>
              <w:pStyle w:val="TableParagraph"/>
              <w:numPr>
                <w:ilvl w:val="0"/>
                <w:numId w:val="26"/>
              </w:numPr>
              <w:tabs>
                <w:tab w:val="left" w:pos="466"/>
                <w:tab w:val="left" w:pos="467"/>
              </w:tabs>
              <w:spacing w:line="237" w:lineRule="auto"/>
              <w:ind w:end="617"/>
              <w:rPr>
                <w:sz w:val="20"/>
              </w:rPr>
            </w:pPr>
            <w:r>
              <w:rPr>
                <w:sz w:val="20"/>
              </w:rPr>
              <w:t xml:space="preserve">14 sont passés à un </w:t>
            </w:r>
            <w:r>
              <w:rPr>
                <w:sz w:val="20"/>
              </w:rPr>
              <w:t xml:space="preserve">traitement à la </w:t>
            </w:r>
            <w:r>
              <w:rPr>
                <w:sz w:val="20"/>
              </w:rPr>
              <w:t xml:space="preserve">testostérone </w:t>
            </w:r>
            <w:r>
              <w:rPr>
                <w:sz w:val="20"/>
              </w:rPr>
              <w:t xml:space="preserve">pendant la </w:t>
            </w:r>
            <w:r>
              <w:rPr>
                <w:sz w:val="20"/>
              </w:rPr>
              <w:t xml:space="preserve">période d'</w:t>
            </w:r>
            <w:r>
              <w:rPr>
                <w:sz w:val="20"/>
              </w:rPr>
              <w:t xml:space="preserve">observation</w:t>
            </w:r>
          </w:p>
          <w:p>
            <w:pPr>
              <w:pStyle w:val="TableParagraph"/>
              <w:numPr>
                <w:ilvl w:val="0"/>
                <w:numId w:val="26"/>
              </w:numPr>
              <w:tabs>
                <w:tab w:val="left" w:pos="466"/>
                <w:tab w:val="left" w:pos="467"/>
              </w:tabs>
              <w:spacing w:before="1" w:line="235" w:lineRule="auto"/>
              <w:ind w:end="280"/>
              <w:rPr>
                <w:sz w:val="20"/>
              </w:rPr>
            </w:pPr>
            <w:r>
              <w:rPr>
                <w:sz w:val="20"/>
              </w:rPr>
              <w:t xml:space="preserve">7 </w:t>
            </w:r>
            <w:r>
              <w:rPr>
                <w:sz w:val="20"/>
              </w:rPr>
              <w:t xml:space="preserve">ont continué à </w:t>
            </w:r>
            <w:r>
              <w:rPr>
                <w:sz w:val="20"/>
              </w:rPr>
              <w:t xml:space="preserve">prendre des </w:t>
            </w:r>
            <w:r>
              <w:rPr>
                <w:sz w:val="20"/>
              </w:rPr>
              <w:t xml:space="preserve">analogues de la </w:t>
            </w:r>
            <w:r>
              <w:rPr>
                <w:sz w:val="20"/>
              </w:rPr>
              <w:t xml:space="preserve">GnRH </w:t>
            </w:r>
            <w:r>
              <w:rPr>
                <w:sz w:val="20"/>
              </w:rPr>
              <w:t xml:space="preserve">après avoir </w:t>
            </w:r>
            <w:r>
              <w:rPr>
                <w:sz w:val="20"/>
              </w:rPr>
              <w:t xml:space="preserve">commencé la </w:t>
            </w:r>
            <w:r>
              <w:rPr>
                <w:sz w:val="20"/>
              </w:rPr>
              <w:t xml:space="preserve">testostérone.</w:t>
            </w:r>
          </w:p>
          <w:p>
            <w:pPr>
              <w:pStyle w:val="TableParagraph"/>
              <w:numPr>
                <w:ilvl w:val="0"/>
                <w:numId w:val="26"/>
              </w:numPr>
              <w:tabs>
                <w:tab w:val="left" w:pos="466"/>
                <w:tab w:val="left" w:pos="467"/>
              </w:tabs>
              <w:spacing w:before="3"/>
              <w:ind w:end="159"/>
              <w:rPr>
                <w:sz w:val="20"/>
              </w:rPr>
            </w:pPr>
            <w:r>
              <w:rPr>
                <w:sz w:val="20"/>
              </w:rPr>
              <w:t xml:space="preserve">7 </w:t>
            </w:r>
            <w:r>
              <w:rPr>
                <w:sz w:val="20"/>
              </w:rPr>
              <w:t xml:space="preserve">ont cessé de prendre des </w:t>
            </w:r>
            <w:r>
              <w:rPr>
                <w:sz w:val="20"/>
              </w:rPr>
              <w:t xml:space="preserve">analogues de la </w:t>
            </w:r>
            <w:r>
              <w:rPr>
                <w:sz w:val="20"/>
              </w:rPr>
              <w:t xml:space="preserve">GnRH </w:t>
            </w:r>
            <w:r>
              <w:rPr>
                <w:sz w:val="20"/>
              </w:rPr>
              <w:t xml:space="preserve">après </w:t>
            </w:r>
            <w:r>
              <w:rPr>
                <w:sz w:val="20"/>
              </w:rPr>
              <w:t xml:space="preserve">une période </w:t>
            </w:r>
            <w:r>
              <w:rPr>
                <w:sz w:val="20"/>
              </w:rPr>
              <w:t xml:space="preserve">médiane </w:t>
            </w:r>
            <w:r>
              <w:rPr>
                <w:sz w:val="20"/>
              </w:rPr>
              <w:t xml:space="preserve">de </w:t>
            </w:r>
            <w:r>
              <w:rPr>
                <w:sz w:val="20"/>
              </w:rPr>
              <w:t xml:space="preserve">3,0 </w:t>
            </w:r>
            <w:r>
              <w:rPr>
                <w:sz w:val="20"/>
              </w:rPr>
              <w:t xml:space="preserve">ans </w:t>
            </w:r>
            <w:r>
              <w:rPr>
                <w:sz w:val="20"/>
              </w:rPr>
              <w:t xml:space="preserve">(plage de </w:t>
            </w:r>
            <w:r>
              <w:rPr>
                <w:sz w:val="20"/>
              </w:rPr>
              <w:t xml:space="preserve">0,2 </w:t>
            </w:r>
            <w:r>
              <w:rPr>
                <w:sz w:val="20"/>
              </w:rPr>
              <w:t xml:space="preserve">à 2,5 ans).</w:t>
            </w:r>
          </w:p>
          <w:p>
            <w:pPr>
              <w:pStyle w:val="TableParagraph"/>
              <w:spacing w:line="229" w:lineRule="exact"/>
              <w:ind w:start="466"/>
              <w:rPr>
                <w:sz w:val="20"/>
              </w:rPr>
            </w:pPr>
            <w:r>
              <w:rPr>
                <w:sz w:val="20"/>
              </w:rPr>
              <w:t xml:space="preserve">9,2 </w:t>
            </w:r>
            <w:r>
              <w:rPr>
                <w:sz w:val="20"/>
              </w:rPr>
              <w:t xml:space="preserve">ans), </w:t>
            </w:r>
            <w:r>
              <w:rPr>
                <w:sz w:val="20"/>
              </w:rPr>
              <w:t xml:space="preserve">dont :</w:t>
            </w:r>
          </w:p>
          <w:p>
            <w:pPr>
              <w:pStyle w:val="TableParagraph"/>
              <w:numPr>
                <w:ilvl w:val="0"/>
                <w:numId w:val="25"/>
              </w:numPr>
              <w:tabs>
                <w:tab w:val="left" w:pos="827"/>
              </w:tabs>
              <w:spacing w:before="11" w:line="223" w:lineRule="auto"/>
              <w:ind w:end="147"/>
              <w:rPr>
                <w:sz w:val="20"/>
              </w:rPr>
            </w:pPr>
            <w:r>
              <w:rPr>
                <w:sz w:val="20"/>
              </w:rPr>
              <w:t xml:space="preserve">5 </w:t>
            </w:r>
            <w:r>
              <w:rPr>
                <w:sz w:val="20"/>
              </w:rPr>
              <w:t xml:space="preserve">abandonnées </w:t>
            </w:r>
            <w:r>
              <w:rPr>
                <w:sz w:val="20"/>
              </w:rPr>
              <w:t xml:space="preserve">après </w:t>
            </w:r>
            <w:r>
              <w:rPr>
                <w:sz w:val="20"/>
              </w:rPr>
              <w:t xml:space="preserve">hystérectomie </w:t>
            </w:r>
            <w:r>
              <w:rPr>
                <w:sz w:val="20"/>
              </w:rPr>
              <w:t xml:space="preserve">et </w:t>
            </w:r>
            <w:r>
              <w:rPr>
                <w:sz w:val="20"/>
              </w:rPr>
              <w:t xml:space="preserve">salpingo-ovariectomie</w:t>
            </w:r>
          </w:p>
          <w:p>
            <w:pPr>
              <w:pStyle w:val="TableParagraph"/>
              <w:numPr>
                <w:ilvl w:val="0"/>
                <w:numId w:val="25"/>
              </w:numPr>
              <w:tabs>
                <w:tab w:val="left" w:pos="827"/>
              </w:tabs>
              <w:spacing w:before="11" w:line="230" w:lineRule="auto"/>
              <w:ind w:end="298"/>
              <w:rPr>
                <w:sz w:val="20"/>
              </w:rPr>
            </w:pPr>
            <w:r>
              <w:rPr>
                <w:sz w:val="20"/>
              </w:rPr>
              <w:t xml:space="preserve">1 arrêt après 2,2 ans </w:t>
            </w:r>
            <w:r>
              <w:rPr>
                <w:sz w:val="20"/>
              </w:rPr>
              <w:t xml:space="preserve">(transition vers une </w:t>
            </w:r>
            <w:r>
              <w:rPr>
                <w:sz w:val="20"/>
              </w:rPr>
              <w:t xml:space="preserve">hormone </w:t>
            </w:r>
            <w:r>
              <w:rPr>
                <w:sz w:val="20"/>
              </w:rPr>
              <w:t xml:space="preserve">d'affirmation du genre</w:t>
            </w:r>
            <w:r>
              <w:rPr>
                <w:sz w:val="20"/>
              </w:rPr>
              <w:t xml:space="preserve">)</w:t>
            </w:r>
          </w:p>
          <w:p>
            <w:pPr>
              <w:pStyle w:val="TableParagraph"/>
              <w:numPr>
                <w:ilvl w:val="0"/>
                <w:numId w:val="25"/>
              </w:numPr>
              <w:tabs>
                <w:tab w:val="left" w:pos="827"/>
              </w:tabs>
              <w:spacing w:before="11" w:line="230" w:lineRule="auto"/>
              <w:ind w:end="398"/>
              <w:rPr>
                <w:sz w:val="20"/>
              </w:rPr>
            </w:pPr>
            <w:r>
              <w:rPr>
                <w:sz w:val="20"/>
              </w:rPr>
              <w:t xml:space="preserve">1 </w:t>
            </w:r>
            <w:r>
              <w:rPr>
                <w:sz w:val="20"/>
              </w:rPr>
              <w:t xml:space="preserve">arrêt </w:t>
            </w:r>
            <w:r>
              <w:rPr>
                <w:sz w:val="20"/>
              </w:rPr>
              <w:t xml:space="preserve">après </w:t>
            </w:r>
            <w:r>
              <w:rPr>
                <w:sz w:val="20"/>
              </w:rPr>
              <w:t xml:space="preserve">&lt;2 </w:t>
            </w:r>
            <w:r>
              <w:rPr>
                <w:sz w:val="20"/>
              </w:rPr>
              <w:t xml:space="preserve">mois en </w:t>
            </w:r>
            <w:r>
              <w:rPr>
                <w:spacing w:val="-53"/>
                <w:sz w:val="20"/>
              </w:rPr>
              <w:t xml:space="preserve">raison </w:t>
            </w:r>
            <w:r>
              <w:rPr>
                <w:sz w:val="20"/>
              </w:rPr>
              <w:t xml:space="preserve">de l'humeur et de la labilité émotionnelle.</w:t>
            </w:r>
          </w:p>
          <w:p>
            <w:pPr>
              <w:pStyle w:val="TableParagraph"/>
              <w:spacing w:before="2"/>
              <w:ind w:start="106"/>
              <w:rPr>
                <w:sz w:val="20"/>
              </w:rPr>
            </w:pPr>
            <w:r>
              <w:rPr>
                <w:sz w:val="20"/>
              </w:rPr>
              <w:t xml:space="preserve">Les </w:t>
            </w:r>
            <w:r>
              <w:rPr>
                <w:sz w:val="20"/>
              </w:rPr>
              <w:t xml:space="preserve">auteurs </w:t>
            </w:r>
            <w:r>
              <w:rPr>
                <w:sz w:val="20"/>
              </w:rPr>
              <w:t xml:space="preserve">rapportent </w:t>
            </w:r>
            <w:r>
              <w:rPr>
                <w:sz w:val="20"/>
              </w:rPr>
              <w:t xml:space="preserve">que </w:t>
            </w:r>
            <w:r>
              <w:rPr>
                <w:sz w:val="20"/>
              </w:rPr>
              <w:t xml:space="preserve">sur </w:t>
            </w:r>
            <w:r>
              <w:rPr>
                <w:sz w:val="20"/>
              </w:rPr>
              <w:t xml:space="preserve">11 </w:t>
            </w:r>
            <w:r>
              <w:rPr>
                <w:sz w:val="20"/>
              </w:rPr>
              <w:t xml:space="preserve">transfemmes </w:t>
            </w:r>
            <w:r>
              <w:rPr>
                <w:sz w:val="20"/>
              </w:rPr>
              <w:t xml:space="preserve">prenant des </w:t>
            </w:r>
            <w:r>
              <w:rPr>
                <w:sz w:val="20"/>
              </w:rPr>
              <w:t xml:space="preserve">analogues de la </w:t>
            </w:r>
            <w:r>
              <w:rPr>
                <w:sz w:val="20"/>
              </w:rPr>
              <w:t xml:space="preserve">GnRH </w:t>
            </w:r>
            <w:r>
              <w:rPr>
                <w:sz w:val="20"/>
              </w:rPr>
              <w:t xml:space="preserve">:</w:t>
            </w:r>
          </w:p>
          <w:p>
            <w:pPr>
              <w:pStyle w:val="TableParagraph"/>
              <w:numPr>
                <w:ilvl w:val="0"/>
                <w:numId w:val="24"/>
              </w:numPr>
              <w:tabs>
                <w:tab w:val="left" w:pos="466"/>
                <w:tab w:val="left" w:pos="467"/>
              </w:tabs>
              <w:spacing w:before="6" w:line="235" w:lineRule="auto"/>
              <w:ind w:end="118"/>
              <w:rPr>
                <w:sz w:val="20"/>
              </w:rPr>
            </w:pPr>
            <w:r>
              <w:rPr>
                <w:sz w:val="20"/>
              </w:rPr>
              <w:t xml:space="preserve">5 </w:t>
            </w:r>
            <w:r>
              <w:rPr>
                <w:sz w:val="20"/>
              </w:rPr>
              <w:t xml:space="preserve">ont reçu un </w:t>
            </w:r>
            <w:r>
              <w:rPr>
                <w:sz w:val="20"/>
              </w:rPr>
              <w:t xml:space="preserve">traitement </w:t>
            </w:r>
            <w:r>
              <w:rPr>
                <w:sz w:val="20"/>
              </w:rPr>
              <w:t xml:space="preserve">œstrogénique </w:t>
            </w:r>
            <w:r>
              <w:rPr>
                <w:sz w:val="20"/>
              </w:rPr>
              <w:t xml:space="preserve">pendant la </w:t>
            </w:r>
            <w:r>
              <w:rPr>
                <w:sz w:val="20"/>
              </w:rPr>
              <w:t xml:space="preserve">période d'</w:t>
            </w:r>
            <w:r>
              <w:rPr>
                <w:sz w:val="20"/>
              </w:rPr>
              <w:t xml:space="preserve">observation</w:t>
            </w:r>
          </w:p>
          <w:p>
            <w:pPr>
              <w:pStyle w:val="TableParagraph"/>
              <w:numPr>
                <w:ilvl w:val="0"/>
                <w:numId w:val="24"/>
              </w:numPr>
              <w:tabs>
                <w:tab w:val="left" w:pos="466"/>
                <w:tab w:val="left" w:pos="467"/>
              </w:tabs>
              <w:spacing w:before="7" w:line="235" w:lineRule="auto"/>
              <w:ind w:end="280"/>
              <w:rPr>
                <w:sz w:val="20"/>
              </w:rPr>
            </w:pPr>
            <w:r>
              <w:rPr>
                <w:sz w:val="20"/>
              </w:rPr>
              <w:t xml:space="preserve">4 </w:t>
            </w:r>
            <w:r>
              <w:rPr>
                <w:sz w:val="20"/>
              </w:rPr>
              <w:t xml:space="preserve">ont continué à </w:t>
            </w:r>
            <w:r>
              <w:rPr>
                <w:sz w:val="20"/>
              </w:rPr>
              <w:t xml:space="preserve">prendre des </w:t>
            </w:r>
            <w:r>
              <w:rPr>
                <w:sz w:val="20"/>
              </w:rPr>
              <w:t xml:space="preserve">analogues de la </w:t>
            </w:r>
            <w:r>
              <w:rPr>
                <w:sz w:val="20"/>
              </w:rPr>
              <w:t xml:space="preserve">GnRH </w:t>
            </w:r>
            <w:r>
              <w:rPr>
                <w:sz w:val="20"/>
              </w:rPr>
              <w:t xml:space="preserve">pendant le </w:t>
            </w:r>
            <w:r>
              <w:rPr>
                <w:sz w:val="20"/>
              </w:rPr>
              <w:t xml:space="preserve">traitement aux œstrogènes.</w:t>
            </w:r>
          </w:p>
          <w:p>
            <w:pPr>
              <w:pStyle w:val="TableParagraph"/>
              <w:numPr>
                <w:ilvl w:val="0"/>
                <w:numId w:val="24"/>
              </w:numPr>
              <w:tabs>
                <w:tab w:val="left" w:pos="466"/>
                <w:tab w:val="left" w:pos="467"/>
              </w:tabs>
              <w:spacing w:before="4"/>
              <w:ind w:end="616"/>
              <w:rPr>
                <w:sz w:val="20"/>
              </w:rPr>
            </w:pPr>
            <w:r>
              <w:rPr>
                <w:sz w:val="20"/>
              </w:rPr>
              <w:t xml:space="preserve">1 a </w:t>
            </w:r>
            <w:r>
              <w:rPr>
                <w:sz w:val="20"/>
              </w:rPr>
              <w:t xml:space="preserve">cessé de prendre des </w:t>
            </w:r>
            <w:r>
              <w:rPr>
                <w:sz w:val="20"/>
              </w:rPr>
              <w:t xml:space="preserve">analogues de la </w:t>
            </w:r>
            <w:r>
              <w:rPr>
                <w:sz w:val="20"/>
              </w:rPr>
              <w:t xml:space="preserve">GnRH </w:t>
            </w:r>
            <w:r>
              <w:rPr>
                <w:sz w:val="20"/>
              </w:rPr>
              <w:t xml:space="preserve">pendant le traitement aux œstrogènes (aucune </w:t>
            </w:r>
            <w:r>
              <w:rPr>
                <w:sz w:val="20"/>
              </w:rPr>
              <w:t xml:space="preserve">raison </w:t>
            </w:r>
            <w:r>
              <w:rPr>
                <w:sz w:val="20"/>
              </w:rPr>
              <w:t xml:space="preserve">signalée)</w:t>
            </w:r>
          </w:p>
          <w:p>
            <w:pPr>
              <w:pStyle w:val="TableParagraph"/>
              <w:numPr>
                <w:ilvl w:val="0"/>
                <w:numId w:val="24"/>
              </w:numPr>
              <w:tabs>
                <w:tab w:val="left" w:pos="466"/>
                <w:tab w:val="left" w:pos="467"/>
              </w:tabs>
              <w:ind w:end="327"/>
              <w:rPr>
                <w:sz w:val="20"/>
              </w:rPr>
            </w:pPr>
            <w:r>
              <w:rPr>
                <w:sz w:val="20"/>
              </w:rPr>
              <w:t xml:space="preserve">1 a arrêté les analogues de la GnRH après </w:t>
            </w:r>
            <w:r>
              <w:rPr>
                <w:sz w:val="20"/>
              </w:rPr>
              <w:t xml:space="preserve">quelques </w:t>
            </w:r>
            <w:r>
              <w:rPr>
                <w:sz w:val="20"/>
              </w:rPr>
              <w:t xml:space="preserve">mois </w:t>
            </w:r>
            <w:r>
              <w:rPr>
                <w:sz w:val="20"/>
              </w:rPr>
              <w:t xml:space="preserve">en raison d</w:t>
            </w:r>
            <w:r>
              <w:rPr>
                <w:sz w:val="20"/>
              </w:rPr>
              <w:t xml:space="preserve">'une </w:t>
            </w:r>
            <w:r>
              <w:rPr>
                <w:sz w:val="20"/>
              </w:rPr>
              <w:t xml:space="preserve">labilité </w:t>
            </w:r>
            <w:r>
              <w:rPr>
                <w:sz w:val="20"/>
              </w:rPr>
              <w:t xml:space="preserve">émotionnelle.</w:t>
            </w:r>
          </w:p>
          <w:p>
            <w:pPr>
              <w:pStyle w:val="TableParagraph"/>
              <w:numPr>
                <w:ilvl w:val="0"/>
                <w:numId w:val="24"/>
              </w:numPr>
              <w:tabs>
                <w:tab w:val="left" w:pos="466"/>
                <w:tab w:val="left" w:pos="467"/>
              </w:tabs>
              <w:spacing w:line="237" w:lineRule="auto"/>
              <w:ind w:end="285"/>
              <w:rPr>
                <w:sz w:val="20"/>
              </w:rPr>
            </w:pPr>
            <w:r>
              <w:rPr>
                <w:sz w:val="20"/>
              </w:rPr>
              <w:t xml:space="preserve">1 a arrêté les analogues de la GnRH avant le </w:t>
            </w:r>
            <w:r>
              <w:rPr>
                <w:sz w:val="20"/>
              </w:rPr>
              <w:t xml:space="preserve">traitement aux œstrogènes (l'</w:t>
            </w:r>
            <w:r>
              <w:rPr>
                <w:sz w:val="20"/>
              </w:rPr>
              <w:t xml:space="preserve">année </w:t>
            </w:r>
            <w:r>
              <w:rPr>
                <w:sz w:val="20"/>
              </w:rPr>
              <w:t xml:space="preserve">suivante, </w:t>
            </w:r>
            <w:r>
              <w:rPr>
                <w:sz w:val="20"/>
              </w:rPr>
              <w:t xml:space="preserve">retardé </w:t>
            </w:r>
            <w:r>
              <w:rPr>
                <w:sz w:val="20"/>
              </w:rPr>
              <w:t xml:space="preserve">en raison </w:t>
            </w:r>
            <w:r>
              <w:rPr>
                <w:sz w:val="20"/>
              </w:rPr>
              <w:t xml:space="preserve">d'un </w:t>
            </w:r>
            <w:r>
              <w:rPr>
                <w:sz w:val="20"/>
              </w:rPr>
              <w:t xml:space="preserve">tabagisme </w:t>
            </w:r>
            <w:r>
              <w:rPr>
                <w:sz w:val="20"/>
              </w:rPr>
              <w:t xml:space="preserve">important</w:t>
            </w:r>
            <w:r>
              <w:rPr>
                <w:sz w:val="20"/>
              </w:rPr>
              <w:t xml:space="preserve">)</w:t>
            </w:r>
          </w:p>
          <w:p>
            <w:pPr>
              <w:pStyle w:val="TableParagraph"/>
              <w:numPr>
                <w:ilvl w:val="0"/>
                <w:numId w:val="24"/>
              </w:numPr>
              <w:tabs>
                <w:tab w:val="left" w:pos="466"/>
                <w:tab w:val="left" w:pos="467"/>
              </w:tabs>
              <w:spacing w:before="6" w:line="237" w:lineRule="auto"/>
              <w:ind w:end="159"/>
              <w:rPr>
                <w:sz w:val="20"/>
              </w:rPr>
            </w:pPr>
            <w:r>
              <w:rPr>
                <w:sz w:val="20"/>
              </w:rPr>
              <w:t xml:space="preserve">1 a </w:t>
            </w:r>
            <w:r>
              <w:rPr>
                <w:sz w:val="20"/>
              </w:rPr>
              <w:t xml:space="preserve">cessé de prendre </w:t>
            </w:r>
            <w:r>
              <w:rPr>
                <w:sz w:val="20"/>
              </w:rPr>
              <w:t xml:space="preserve">des analogues de la </w:t>
            </w:r>
            <w:r>
              <w:rPr>
                <w:sz w:val="20"/>
              </w:rPr>
              <w:t xml:space="preserve">GnRH </w:t>
            </w:r>
            <w:r>
              <w:rPr>
                <w:sz w:val="20"/>
              </w:rPr>
              <w:t xml:space="preserve">après </w:t>
            </w:r>
            <w:r>
              <w:rPr>
                <w:sz w:val="20"/>
              </w:rPr>
              <w:t xml:space="preserve">13 mois parce qu'il a choisi de ne pas </w:t>
            </w:r>
            <w:r>
              <w:rPr>
                <w:sz w:val="20"/>
              </w:rPr>
              <w:t xml:space="preserve">poursuivre la </w:t>
            </w:r>
            <w:r>
              <w:rPr>
                <w:sz w:val="20"/>
              </w:rPr>
              <w:t xml:space="preserve">transition.</w:t>
            </w:r>
          </w:p>
          <w:p w:rsidR="00432386" w:rsidRDefault="00432386">
            <w:pPr>
              <w:pStyle w:val="TableParagraph"/>
              <w:spacing w:before="2"/>
              <w:rPr>
                <w:sz w:val="20"/>
              </w:rPr>
            </w:pPr>
          </w:p>
          <w:p>
            <w:pPr>
              <w:pStyle w:val="TableParagraph"/>
              <w:spacing w:before="1" w:line="229" w:lineRule="exact"/>
              <w:ind w:start="106"/>
              <w:rPr>
                <w:b/>
                <w:i/>
                <w:sz w:val="20"/>
              </w:rPr>
            </w:pPr>
            <w:r>
              <w:rPr>
                <w:b/>
                <w:i/>
                <w:sz w:val="20"/>
              </w:rPr>
              <w:t xml:space="preserve">Sécurité</w:t>
            </w:r>
          </w:p>
          <w:p>
            <w:pPr>
              <w:pStyle w:val="TableParagraph"/>
              <w:spacing w:line="230" w:lineRule="exact"/>
              <w:ind w:start="106" w:end="573"/>
              <w:rPr>
                <w:sz w:val="20"/>
              </w:rPr>
            </w:pPr>
            <w:r>
              <w:rPr>
                <w:sz w:val="20"/>
              </w:rPr>
              <w:t xml:space="preserve">Sur </w:t>
            </w:r>
            <w:r>
              <w:rPr>
                <w:sz w:val="20"/>
              </w:rPr>
              <w:t xml:space="preserve">les </w:t>
            </w:r>
            <w:r>
              <w:rPr>
                <w:sz w:val="20"/>
              </w:rPr>
              <w:t xml:space="preserve">27 </w:t>
            </w:r>
            <w:r>
              <w:rPr>
                <w:sz w:val="20"/>
              </w:rPr>
              <w:t xml:space="preserve">patients </w:t>
            </w:r>
            <w:r>
              <w:rPr>
                <w:sz w:val="20"/>
              </w:rPr>
              <w:t xml:space="preserve">traités </w:t>
            </w:r>
            <w:r>
              <w:rPr>
                <w:sz w:val="20"/>
              </w:rPr>
              <w:t xml:space="preserve">avec des </w:t>
            </w:r>
            <w:r>
              <w:rPr>
                <w:sz w:val="20"/>
              </w:rPr>
              <w:t xml:space="preserve">analogues de la </w:t>
            </w:r>
            <w:r>
              <w:rPr>
                <w:sz w:val="20"/>
              </w:rPr>
              <w:t xml:space="preserve">GnRH </w:t>
            </w:r>
            <w:r>
              <w:rPr>
                <w:sz w:val="20"/>
              </w:rPr>
              <w:t xml:space="preserve">:</w:t>
            </w:r>
          </w:p>
        </w:tc>
        <w:tc>
          <w:tcPr>
            <w:tcW w:w="3203" w:type="dxa"/>
          </w:tcPr>
          <w:p>
            <w:pPr>
              <w:pStyle w:val="TableParagraph"/>
              <w:numPr>
                <w:ilvl w:val="0"/>
                <w:numId w:val="23"/>
              </w:numPr>
              <w:tabs>
                <w:tab w:val="left" w:pos="466"/>
              </w:tabs>
              <w:spacing w:line="220" w:lineRule="exact"/>
              <w:rPr>
                <w:sz w:val="20"/>
              </w:rPr>
            </w:pPr>
            <w:r>
              <w:rPr>
                <w:sz w:val="20"/>
              </w:rPr>
              <w:t xml:space="preserve">non </w:t>
            </w:r>
            <w:r>
              <w:rPr>
                <w:sz w:val="20"/>
              </w:rPr>
              <w:t xml:space="preserve">signalé</w:t>
            </w:r>
          </w:p>
          <w:p>
            <w:pPr>
              <w:pStyle w:val="TableParagraph"/>
              <w:numPr>
                <w:ilvl w:val="0"/>
                <w:numId w:val="23"/>
              </w:numPr>
              <w:tabs>
                <w:tab w:val="left" w:pos="466"/>
              </w:tabs>
              <w:rPr>
                <w:sz w:val="20"/>
              </w:rPr>
            </w:pPr>
            <w:r>
              <w:rPr>
                <w:sz w:val="20"/>
              </w:rPr>
              <w:t xml:space="preserve">pas de </w:t>
            </w:r>
            <w:r>
              <w:rPr>
                <w:sz w:val="20"/>
              </w:rPr>
              <w:t xml:space="preserve">cohorte </w:t>
            </w:r>
            <w:r>
              <w:rPr>
                <w:sz w:val="20"/>
              </w:rPr>
              <w:t xml:space="preserve">non exposée</w:t>
            </w:r>
          </w:p>
          <w:p>
            <w:pPr>
              <w:pStyle w:val="TableParagraph"/>
              <w:numPr>
                <w:ilvl w:val="0"/>
                <w:numId w:val="23"/>
              </w:numPr>
              <w:tabs>
                <w:tab w:val="left" w:pos="466"/>
              </w:tabs>
              <w:spacing w:before="1"/>
              <w:rPr>
                <w:sz w:val="20"/>
              </w:rPr>
            </w:pPr>
            <w:r>
              <w:rPr>
                <w:sz w:val="20"/>
              </w:rPr>
              <w:t xml:space="preserve">dossier </w:t>
            </w:r>
            <w:r>
              <w:rPr>
                <w:sz w:val="20"/>
              </w:rPr>
              <w:t xml:space="preserve">sécurisé</w:t>
            </w:r>
          </w:p>
          <w:p>
            <w:pPr>
              <w:pStyle w:val="TableParagraph"/>
              <w:numPr>
                <w:ilvl w:val="0"/>
                <w:numId w:val="23"/>
              </w:numPr>
              <w:tabs>
                <w:tab w:val="left" w:pos="466"/>
              </w:tabs>
              <w:rPr>
                <w:sz w:val="20"/>
              </w:rPr>
            </w:pPr>
            <w:r>
              <w:rPr>
                <w:sz w:val="20"/>
              </w:rPr>
              <w:t xml:space="preserve">pas de</w:t>
            </w:r>
          </w:p>
          <w:p>
            <w:pPr>
              <w:pStyle w:val="TableParagraph"/>
              <w:spacing w:line="229" w:lineRule="exact"/>
              <w:ind w:start="105"/>
              <w:rPr>
                <w:b/>
                <w:sz w:val="20"/>
              </w:rPr>
            </w:pPr>
            <w:r>
              <w:rPr>
                <w:b/>
                <w:sz w:val="20"/>
              </w:rPr>
              <w:t xml:space="preserve">Domaine </w:t>
            </w:r>
            <w:r>
              <w:rPr>
                <w:b/>
                <w:sz w:val="20"/>
              </w:rPr>
              <w:t xml:space="preserve">2 : </w:t>
            </w:r>
            <w:r>
              <w:rPr>
                <w:b/>
                <w:sz w:val="20"/>
              </w:rPr>
              <w:t xml:space="preserve">Comparabilité</w:t>
            </w:r>
          </w:p>
          <w:p>
            <w:pPr>
              <w:pStyle w:val="TableParagraph"/>
              <w:spacing w:line="229" w:lineRule="exact"/>
              <w:ind w:start="105"/>
              <w:rPr>
                <w:sz w:val="20"/>
              </w:rPr>
            </w:pPr>
            <w:r>
              <w:rPr>
                <w:sz w:val="20"/>
              </w:rPr>
              <w:t xml:space="preserve">1. </w:t>
            </w:r>
            <w:r>
              <w:rPr>
                <w:sz w:val="20"/>
              </w:rPr>
              <w:t xml:space="preserve">non </w:t>
            </w:r>
            <w:r>
              <w:rPr>
                <w:sz w:val="20"/>
              </w:rPr>
              <w:t xml:space="preserve">applicable</w:t>
            </w:r>
          </w:p>
          <w:p>
            <w:pPr>
              <w:pStyle w:val="TableParagraph"/>
              <w:spacing w:before="1"/>
              <w:ind w:start="105"/>
              <w:rPr>
                <w:b/>
                <w:sz w:val="20"/>
              </w:rPr>
            </w:pPr>
            <w:r>
              <w:rPr>
                <w:b/>
                <w:sz w:val="20"/>
              </w:rPr>
              <w:t xml:space="preserve">Domaine </w:t>
            </w:r>
            <w:r>
              <w:rPr>
                <w:b/>
                <w:sz w:val="20"/>
              </w:rPr>
              <w:t xml:space="preserve">3 : </w:t>
            </w:r>
            <w:r>
              <w:rPr>
                <w:b/>
                <w:sz w:val="20"/>
              </w:rPr>
              <w:t xml:space="preserve">Résultat</w:t>
            </w:r>
          </w:p>
          <w:p>
            <w:pPr>
              <w:pStyle w:val="TableParagraph"/>
              <w:numPr>
                <w:ilvl w:val="0"/>
                <w:numId w:val="22"/>
              </w:numPr>
              <w:tabs>
                <w:tab w:val="left" w:pos="466"/>
              </w:tabs>
              <w:rPr>
                <w:sz w:val="20"/>
              </w:rPr>
            </w:pPr>
            <w:r>
              <w:rPr>
                <w:sz w:val="20"/>
              </w:rPr>
              <w:t xml:space="preserve">liaison de </w:t>
            </w:r>
            <w:r>
              <w:rPr>
                <w:sz w:val="20"/>
              </w:rPr>
              <w:t xml:space="preserve">documents</w:t>
            </w:r>
          </w:p>
          <w:p>
            <w:pPr>
              <w:pStyle w:val="TableParagraph"/>
              <w:numPr>
                <w:ilvl w:val="0"/>
                <w:numId w:val="22"/>
              </w:numPr>
              <w:tabs>
                <w:tab w:val="left" w:pos="466"/>
              </w:tabs>
              <w:spacing w:before="1"/>
              <w:rPr>
                <w:sz w:val="20"/>
              </w:rPr>
            </w:pPr>
            <w:r>
              <w:rPr>
                <w:sz w:val="20"/>
              </w:rPr>
              <w:t xml:space="preserve">oui</w:t>
            </w:r>
          </w:p>
          <w:p>
            <w:pPr>
              <w:pStyle w:val="TableParagraph"/>
              <w:numPr>
                <w:ilvl w:val="0"/>
                <w:numId w:val="22"/>
              </w:numPr>
              <w:tabs>
                <w:tab w:val="left" w:pos="466"/>
              </w:tabs>
              <w:rPr>
                <w:sz w:val="20"/>
              </w:rPr>
            </w:pPr>
            <w:r>
              <w:rPr>
                <w:sz w:val="20"/>
              </w:rPr>
              <w:t xml:space="preserve">en cas de </w:t>
            </w:r>
            <w:r>
              <w:rPr>
                <w:sz w:val="20"/>
              </w:rPr>
              <w:t xml:space="preserve">données </w:t>
            </w:r>
            <w:r>
              <w:rPr>
                <w:sz w:val="20"/>
              </w:rPr>
              <w:t xml:space="preserve">manquantes </w:t>
            </w:r>
            <w:r>
              <w:rPr>
                <w:sz w:val="20"/>
              </w:rPr>
              <w:t xml:space="preserve">complètes</w:t>
            </w:r>
          </w:p>
          <w:p w:rsidR="00432386" w:rsidRDefault="00432386">
            <w:pPr>
              <w:pStyle w:val="TableParagraph"/>
              <w:spacing w:before="10"/>
              <w:rPr>
                <w:sz w:val="19"/>
              </w:rPr>
            </w:pPr>
          </w:p>
          <w:p>
            <w:pPr>
              <w:pStyle w:val="TableParagraph"/>
              <w:spacing w:before="1"/>
              <w:ind w:start="105" w:end="249"/>
              <w:rPr>
                <w:b/>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p>
          <w:p w:rsidR="00432386" w:rsidRDefault="00432386">
            <w:pPr>
              <w:pStyle w:val="TableParagraph"/>
              <w:spacing w:before="1"/>
              <w:rPr>
                <w:sz w:val="20"/>
              </w:rPr>
            </w:pPr>
          </w:p>
          <w:p>
            <w:pPr>
              <w:pStyle w:val="TableParagraph"/>
              <w:ind w:start="105" w:end="161"/>
              <w:rPr>
                <w:sz w:val="20"/>
              </w:rPr>
            </w:pPr>
            <w:r>
              <w:rPr>
                <w:sz w:val="20"/>
              </w:rPr>
              <w:t xml:space="preserve">Autres commentaires : </w:t>
            </w:r>
            <w:r>
              <w:rPr>
                <w:sz w:val="20"/>
              </w:rPr>
              <w:t xml:space="preserve">la comorbidité de la </w:t>
            </w:r>
            <w:r>
              <w:rPr>
                <w:sz w:val="20"/>
              </w:rPr>
              <w:t xml:space="preserve">santé mentale </w:t>
            </w:r>
            <w:r>
              <w:rPr>
                <w:sz w:val="20"/>
              </w:rPr>
              <w:t xml:space="preserve">a été rapportée pour tous les </w:t>
            </w:r>
            <w:r>
              <w:rPr>
                <w:sz w:val="20"/>
              </w:rPr>
              <w:t xml:space="preserve">participants </w:t>
            </w:r>
            <w:r>
              <w:rPr>
                <w:sz w:val="20"/>
              </w:rPr>
              <w:t xml:space="preserve">mais </w:t>
            </w:r>
            <w:r>
              <w:rPr>
                <w:sz w:val="20"/>
              </w:rPr>
              <w:t xml:space="preserve">pas </w:t>
            </w:r>
            <w:r>
              <w:rPr>
                <w:sz w:val="20"/>
              </w:rPr>
              <w:t xml:space="preserve">pour </w:t>
            </w:r>
            <w:r>
              <w:rPr>
                <w:sz w:val="20"/>
              </w:rPr>
              <w:t xml:space="preserve">la </w:t>
            </w:r>
            <w:r>
              <w:rPr>
                <w:sz w:val="20"/>
              </w:rPr>
              <w:t xml:space="preserve">cohorte des </w:t>
            </w:r>
            <w:r>
              <w:rPr>
                <w:sz w:val="20"/>
              </w:rPr>
              <w:t xml:space="preserve">analogues de la </w:t>
            </w:r>
            <w:r>
              <w:rPr>
                <w:sz w:val="20"/>
              </w:rPr>
              <w:t xml:space="preserve">GnRH </w:t>
            </w:r>
            <w:r>
              <w:rPr>
                <w:sz w:val="20"/>
              </w:rPr>
              <w:t xml:space="preserve">séparément.</w:t>
            </w:r>
          </w:p>
          <w:p>
            <w:pPr>
              <w:pStyle w:val="TableParagraph"/>
              <w:ind w:start="105" w:end="583"/>
              <w:rPr>
                <w:sz w:val="20"/>
              </w:rPr>
            </w:pPr>
            <w:r>
              <w:rPr>
                <w:sz w:val="20"/>
              </w:rPr>
              <w:t xml:space="preserve">L</w:t>
            </w:r>
            <w:r>
              <w:rPr>
                <w:sz w:val="20"/>
              </w:rPr>
              <w:t xml:space="preserve">'</w:t>
            </w:r>
            <w:r>
              <w:rPr>
                <w:sz w:val="20"/>
              </w:rPr>
              <w:t xml:space="preserve">utilisation concomitante d'autres </w:t>
            </w:r>
            <w:r>
              <w:rPr>
                <w:sz w:val="20"/>
              </w:rPr>
              <w:t xml:space="preserve">médicaments </w:t>
            </w:r>
            <w:r>
              <w:rPr>
                <w:sz w:val="20"/>
              </w:rPr>
              <w:t xml:space="preserve">n'a pas </w:t>
            </w:r>
            <w:r>
              <w:rPr>
                <w:sz w:val="20"/>
              </w:rPr>
              <w:t xml:space="preserve">été </w:t>
            </w:r>
            <w:r>
              <w:rPr>
                <w:sz w:val="20"/>
              </w:rPr>
              <w:t xml:space="preserve">rapportée.</w:t>
            </w:r>
          </w:p>
          <w:p w:rsidR="00432386" w:rsidRDefault="00432386">
            <w:pPr>
              <w:pStyle w:val="TableParagraph"/>
              <w:spacing w:before="1"/>
              <w:rPr>
                <w:sz w:val="20"/>
              </w:rPr>
            </w:pPr>
          </w:p>
          <w:p>
            <w:pPr>
              <w:pStyle w:val="TableParagraph"/>
              <w:ind w:start="105" w:end="272"/>
              <w:rPr>
                <w:sz w:val="20"/>
              </w:rPr>
            </w:pPr>
            <w:r>
              <w:rPr>
                <w:sz w:val="20"/>
              </w:rPr>
              <w:t xml:space="preserve">Source </w:t>
            </w:r>
            <w:r>
              <w:rPr>
                <w:sz w:val="20"/>
              </w:rPr>
              <w:t xml:space="preserve">de </w:t>
            </w:r>
            <w:r>
              <w:rPr>
                <w:sz w:val="20"/>
              </w:rPr>
              <w:t xml:space="preserve">financement : Aucune </w:t>
            </w:r>
            <w:r>
              <w:rPr>
                <w:sz w:val="20"/>
              </w:rPr>
              <w:t xml:space="preserve">source </w:t>
            </w:r>
            <w:r>
              <w:rPr>
                <w:sz w:val="20"/>
              </w:rPr>
              <w:t xml:space="preserve">de </w:t>
            </w:r>
            <w:r>
              <w:rPr>
                <w:sz w:val="20"/>
              </w:rPr>
              <w:t xml:space="preserve">financement identifiée.</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3031"/>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numPr>
                <w:ilvl w:val="0"/>
                <w:numId w:val="21"/>
              </w:numPr>
              <w:tabs>
                <w:tab w:val="left" w:pos="466"/>
                <w:tab w:val="left" w:pos="467"/>
              </w:tabs>
              <w:ind w:end="149"/>
              <w:rPr>
                <w:sz w:val="20"/>
              </w:rPr>
            </w:pPr>
            <w:r>
              <w:rPr>
                <w:sz w:val="20"/>
              </w:rPr>
              <w:t xml:space="preserve">1 participant transmale a développé des </w:t>
            </w:r>
            <w:r>
              <w:rPr>
                <w:sz w:val="20"/>
              </w:rPr>
              <w:t xml:space="preserve">abcès </w:t>
            </w:r>
            <w:r>
              <w:rPr>
                <w:sz w:val="20"/>
              </w:rPr>
              <w:t xml:space="preserve">stériles </w:t>
            </w:r>
            <w:r>
              <w:rPr>
                <w:sz w:val="20"/>
              </w:rPr>
              <w:t xml:space="preserve">; </w:t>
            </w:r>
            <w:r>
              <w:rPr>
                <w:sz w:val="20"/>
              </w:rPr>
              <w:t xml:space="preserve">il a </w:t>
            </w:r>
            <w:r>
              <w:rPr>
                <w:sz w:val="20"/>
              </w:rPr>
              <w:t xml:space="preserve">été </w:t>
            </w:r>
            <w:r>
              <w:rPr>
                <w:sz w:val="20"/>
              </w:rPr>
              <w:t xml:space="preserve">changé de </w:t>
            </w:r>
            <w:r>
              <w:rPr>
                <w:sz w:val="20"/>
              </w:rPr>
              <w:t xml:space="preserve">l'acétate de leuprolide à la triptoréline</w:t>
            </w:r>
            <w:r>
              <w:rPr>
                <w:sz w:val="20"/>
              </w:rPr>
              <w:t xml:space="preserve">, ce </w:t>
            </w:r>
            <w:r>
              <w:rPr>
                <w:sz w:val="20"/>
              </w:rPr>
              <w:t xml:space="preserve">qui </w:t>
            </w:r>
            <w:r>
              <w:rPr>
                <w:sz w:val="20"/>
              </w:rPr>
              <w:t xml:space="preserve">a été </w:t>
            </w:r>
            <w:r>
              <w:rPr>
                <w:sz w:val="20"/>
              </w:rPr>
              <w:t xml:space="preserve">bien </w:t>
            </w:r>
            <w:r>
              <w:rPr>
                <w:sz w:val="20"/>
              </w:rPr>
              <w:t xml:space="preserve">toléré.</w:t>
            </w:r>
          </w:p>
          <w:p>
            <w:pPr>
              <w:pStyle w:val="TableParagraph"/>
              <w:numPr>
                <w:ilvl w:val="0"/>
                <w:numId w:val="21"/>
              </w:numPr>
              <w:tabs>
                <w:tab w:val="left" w:pos="466"/>
                <w:tab w:val="left" w:pos="467"/>
              </w:tabs>
              <w:ind w:end="170"/>
              <w:rPr>
                <w:sz w:val="20"/>
              </w:rPr>
            </w:pPr>
            <w:r>
              <w:rPr>
                <w:sz w:val="20"/>
              </w:rPr>
              <w:t xml:space="preserve">1 </w:t>
            </w:r>
            <w:r>
              <w:rPr>
                <w:sz w:val="20"/>
              </w:rPr>
              <w:t xml:space="preserve">participant </w:t>
            </w:r>
            <w:r>
              <w:rPr>
                <w:sz w:val="20"/>
              </w:rPr>
              <w:t xml:space="preserve">transmale </w:t>
            </w:r>
            <w:r>
              <w:rPr>
                <w:sz w:val="20"/>
              </w:rPr>
              <w:t xml:space="preserve">a développé des </w:t>
            </w:r>
            <w:r>
              <w:rPr>
                <w:sz w:val="20"/>
              </w:rPr>
              <w:t xml:space="preserve">douleurs aux </w:t>
            </w:r>
            <w:r>
              <w:rPr>
                <w:sz w:val="20"/>
              </w:rPr>
              <w:t xml:space="preserve">jambes </w:t>
            </w:r>
            <w:r>
              <w:rPr>
                <w:sz w:val="20"/>
              </w:rPr>
              <w:t xml:space="preserve">et des maux de tête sous </w:t>
            </w:r>
            <w:r>
              <w:rPr>
                <w:sz w:val="20"/>
              </w:rPr>
              <w:t xml:space="preserve">analogues de la </w:t>
            </w:r>
            <w:r>
              <w:rPr>
                <w:sz w:val="20"/>
              </w:rPr>
              <w:t xml:space="preserve">GnRH</w:t>
            </w:r>
            <w:r>
              <w:rPr>
                <w:sz w:val="20"/>
              </w:rPr>
              <w:t xml:space="preserve">, qui ont fini par disparaître </w:t>
            </w:r>
            <w:r>
              <w:rPr>
                <w:sz w:val="20"/>
              </w:rPr>
              <w:t xml:space="preserve">sans </w:t>
            </w:r>
            <w:r>
              <w:rPr>
                <w:sz w:val="20"/>
              </w:rPr>
              <w:t xml:space="preserve">traitement.</w:t>
            </w:r>
          </w:p>
          <w:p>
            <w:pPr>
              <w:pStyle w:val="TableParagraph"/>
              <w:numPr>
                <w:ilvl w:val="0"/>
                <w:numId w:val="21"/>
              </w:numPr>
              <w:tabs>
                <w:tab w:val="left" w:pos="466"/>
                <w:tab w:val="left" w:pos="467"/>
              </w:tabs>
              <w:ind w:end="180"/>
              <w:rPr>
                <w:sz w:val="20"/>
              </w:rPr>
            </w:pPr>
            <w:r>
              <w:rPr>
                <w:sz w:val="20"/>
              </w:rPr>
              <w:t xml:space="preserve">Un participant a pris 19 kg dans les 9 </w:t>
            </w:r>
            <w:r>
              <w:rPr>
                <w:sz w:val="20"/>
              </w:rPr>
              <w:t xml:space="preserve">mois qui ont suivi le début du traitement par les analogues de la GnRH, </w:t>
            </w:r>
            <w:r>
              <w:rPr>
                <w:sz w:val="20"/>
              </w:rPr>
              <w:t xml:space="preserve">bien que </w:t>
            </w:r>
            <w:r>
              <w:rPr>
                <w:sz w:val="20"/>
              </w:rPr>
              <w:t xml:space="preserve">son </w:t>
            </w:r>
            <w:r>
              <w:rPr>
                <w:sz w:val="20"/>
              </w:rPr>
              <w:t xml:space="preserve">indice de </w:t>
            </w:r>
            <w:r>
              <w:rPr>
                <w:sz w:val="20"/>
              </w:rPr>
              <w:t xml:space="preserve">masse </w:t>
            </w:r>
            <w:r>
              <w:rPr>
                <w:sz w:val="20"/>
              </w:rPr>
              <w:t xml:space="preserve">corporelle </w:t>
            </w:r>
            <w:r>
              <w:rPr>
                <w:sz w:val="20"/>
              </w:rPr>
              <w:t xml:space="preserve">ait été de 0,5 %.</w:t>
            </w:r>
          </w:p>
          <w:p>
            <w:pPr>
              <w:pStyle w:val="TableParagraph"/>
              <w:spacing w:line="230" w:lineRule="exact"/>
              <w:ind w:start="466" w:end="979"/>
              <w:rPr>
                <w:sz w:val="20"/>
              </w:rPr>
            </w:pPr>
            <w:r>
              <w:rPr>
                <w:sz w:val="20"/>
              </w:rPr>
              <w:t xml:space="preserve">&gt; 85 </w:t>
            </w:r>
            <w:r>
              <w:rPr>
                <w:sz w:val="20"/>
              </w:rPr>
              <w:t xml:space="preserve">percentile avant les </w:t>
            </w:r>
            <w:r>
              <w:rPr>
                <w:sz w:val="20"/>
              </w:rPr>
              <w:t xml:space="preserve">analogues de la</w:t>
            </w:r>
            <w:r>
              <w:rPr>
                <w:sz w:val="20"/>
              </w:rPr>
              <w:t xml:space="preserve"> GnRH</w:t>
            </w:r>
            <w:r>
              <w:rPr>
                <w:sz w:val="20"/>
              </w:rPr>
              <w:t xml:space="preserve">.</w:t>
            </w:r>
          </w:p>
        </w:tc>
        <w:tc>
          <w:tcPr>
            <w:tcW w:w="3203" w:type="dxa"/>
          </w:tcPr>
          <w:p w:rsidR="00432386" w:rsidRDefault="00432386">
            <w:pPr>
              <w:pStyle w:val="TableParagraph"/>
              <w:rPr>
                <w:rFonts w:ascii="Times New Roman"/>
                <w:sz w:val="18"/>
              </w:rPr>
            </w:pPr>
          </w:p>
        </w:tc>
      </w:tr>
    </w:tbl>
    <w:p w:rsidR="00432386" w:rsidRDefault="00432386">
      <w:pPr>
        <w:pStyle w:val="Corpsdetexte"/>
        <w:spacing w:before="0"/>
        <w:ind w:start="0"/>
        <w:rPr>
          <w:sz w:val="20"/>
        </w:rPr>
      </w:pPr>
    </w:p>
    <w:p w:rsidR="00432386" w:rsidRDefault="00432386">
      <w:pPr>
        <w:pStyle w:val="Corpsdetexte"/>
        <w:spacing w:before="5"/>
        <w:ind w:start="0"/>
        <w:rPr>
          <w:sz w:val="23"/>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5"/>
        <w:gridCol w:w="3121"/>
        <w:gridCol w:w="1985"/>
        <w:gridCol w:w="3829"/>
        <w:gridCol w:w="3203"/>
      </w:tblGrid>
      <w:tr w:rsidR="00432386">
        <w:trPr>
          <w:trHeight w:val="290"/>
        </w:trPr>
        <w:tc>
          <w:tcPr>
            <w:tcW w:w="3255"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21" w:type="dxa"/>
            <w:shd w:val="clear" w:color="auto" w:fill="8DB3E1"/>
          </w:tcPr>
          <w:p>
            <w:pPr>
              <w:pStyle w:val="TableParagraph"/>
              <w:spacing w:line="229" w:lineRule="exact"/>
              <w:ind w:start="107"/>
              <w:rPr>
                <w:b/>
                <w:sz w:val="20"/>
              </w:rPr>
            </w:pPr>
            <w:r>
              <w:rPr>
                <w:b/>
                <w:sz w:val="20"/>
              </w:rPr>
              <w:t xml:space="preserve">Population</w:t>
            </w:r>
          </w:p>
        </w:tc>
        <w:tc>
          <w:tcPr>
            <w:tcW w:w="1985" w:type="dxa"/>
            <w:shd w:val="clear" w:color="auto" w:fill="8DB3E1"/>
          </w:tcPr>
          <w:p>
            <w:pPr>
              <w:pStyle w:val="TableParagraph"/>
              <w:spacing w:line="229" w:lineRule="exact"/>
              <w:ind w:start="104"/>
              <w:rPr>
                <w:b/>
                <w:sz w:val="20"/>
              </w:rPr>
            </w:pPr>
            <w:r>
              <w:rPr>
                <w:b/>
                <w:sz w:val="20"/>
              </w:rPr>
              <w:t xml:space="preserve">Interventions</w:t>
            </w:r>
          </w:p>
        </w:tc>
        <w:tc>
          <w:tcPr>
            <w:tcW w:w="3829"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9" w:lineRule="exact"/>
              <w:ind w:start="106"/>
              <w:rPr>
                <w:b/>
                <w:sz w:val="20"/>
              </w:rPr>
            </w:pPr>
            <w:r>
              <w:rPr>
                <w:b/>
                <w:sz w:val="20"/>
              </w:rPr>
              <w:t xml:space="preserve">Évaluation </w:t>
            </w:r>
            <w:r>
              <w:rPr>
                <w:b/>
                <w:sz w:val="20"/>
              </w:rPr>
              <w:t xml:space="preserve">et </w:t>
            </w:r>
            <w:r>
              <w:rPr>
                <w:b/>
                <w:sz w:val="20"/>
              </w:rPr>
              <w:t xml:space="preserve">financement</w:t>
            </w:r>
          </w:p>
        </w:tc>
      </w:tr>
      <w:tr w:rsidR="00432386">
        <w:trPr>
          <w:trHeight w:val="5568"/>
        </w:trPr>
        <w:tc>
          <w:tcPr>
            <w:tcW w:w="3255" w:type="dxa"/>
          </w:tcPr>
          <w:p>
            <w:pPr>
              <w:pStyle w:val="TableParagraph"/>
              <w:ind w:start="107" w:end="127"/>
              <w:rPr>
                <w:sz w:val="20"/>
              </w:rPr>
            </w:pPr>
            <w:r>
              <w:rPr>
                <w:sz w:val="20"/>
              </w:rPr>
              <w:t xml:space="preserve">Klink D, Caris M, Heijboer A et al. </w:t>
            </w:r>
            <w:r>
              <w:rPr>
                <w:sz w:val="20"/>
              </w:rPr>
              <w:t xml:space="preserve">(2015) </w:t>
            </w:r>
            <w:hyperlink r:id="rId280">
              <w:r>
                <w:rPr>
                  <w:color w:val="0000FF"/>
                  <w:sz w:val="20"/>
                  <w:u w:val="single" w:color="0000FF"/>
                </w:rPr>
                <w:t xml:space="preserve">Masse osseuse chez le jeune </w:t>
              </w:r>
            </w:hyperlink>
            <w:hyperlink r:id="rId281">
              <w:r>
                <w:rPr>
                  <w:color w:val="0000FF"/>
                  <w:sz w:val="20"/>
                  <w:u w:val="single" w:color="0000FF"/>
                </w:rPr>
                <w:t xml:space="preserve">adulte</w:t>
              </w:r>
              <w:r>
                <w:rPr>
                  <w:color w:val="0000FF"/>
                  <w:sz w:val="20"/>
                  <w:u w:val="single" w:color="0000FF"/>
                </w:rPr>
                <w:t xml:space="preserve">après un </w:t>
              </w:r>
            </w:hyperlink>
            <w:hyperlink r:id="rId283">
              <w:r>
                <w:rPr>
                  <w:color w:val="0000FF"/>
                  <w:sz w:val="20"/>
                  <w:u w:val="single" w:color="0000FF"/>
                </w:rPr>
                <w:t xml:space="preserve">traitement par </w:t>
              </w:r>
            </w:hyperlink>
            <w:hyperlink r:id="rId282">
              <w:r>
                <w:rPr>
                  <w:color w:val="0000FF"/>
                  <w:sz w:val="20"/>
                  <w:u w:val="single" w:color="0000FF"/>
                </w:rPr>
                <w:t xml:space="preserve">analogue de l'hormone de libération de la </w:t>
              </w:r>
            </w:hyperlink>
            <w:hyperlink r:id="rId281">
              <w:r>
                <w:rPr>
                  <w:color w:val="0000FF"/>
                  <w:sz w:val="20"/>
                  <w:u w:val="single" w:color="0000FF"/>
                </w:rPr>
                <w:t xml:space="preserve">gonadotrophine </w:t>
              </w:r>
            </w:hyperlink>
            <w:hyperlink r:id="rId283">
              <w:r>
                <w:rPr>
                  <w:color w:val="0000FF"/>
                  <w:sz w:val="20"/>
                  <w:u w:val="single" w:color="0000FF"/>
                </w:rPr>
                <w:t xml:space="preserve">et un </w:t>
              </w:r>
            </w:hyperlink>
            <w:hyperlink r:id="rId284">
              <w:r>
                <w:rPr>
                  <w:color w:val="0000FF"/>
                  <w:sz w:val="20"/>
                  <w:u w:val="single" w:color="0000FF"/>
                </w:rPr>
                <w:t xml:space="preserve">traitement par </w:t>
              </w:r>
            </w:hyperlink>
            <w:hyperlink r:id="rId283">
              <w:r>
                <w:rPr>
                  <w:color w:val="0000FF"/>
                  <w:sz w:val="20"/>
                  <w:u w:val="single" w:color="0000FF"/>
                </w:rPr>
                <w:t xml:space="preserve">hormone transsexuelle </w:t>
              </w:r>
            </w:hyperlink>
            <w:hyperlink r:id="rId284">
              <w:r>
                <w:rPr>
                  <w:color w:val="0000FF"/>
                  <w:sz w:val="20"/>
                  <w:u w:val="single" w:color="0000FF"/>
                </w:rPr>
                <w:t xml:space="preserve">chez les adolescents atteints de </w:t>
              </w:r>
            </w:hyperlink>
            <w:hyperlink r:id="rId285">
              <w:r>
                <w:rPr>
                  <w:color w:val="0000FF"/>
                  <w:sz w:val="20"/>
                  <w:u w:val="single" w:color="0000FF"/>
                </w:rPr>
                <w:t xml:space="preserve">dysphorie de genre</w:t>
              </w:r>
              <w:r>
                <w:rPr>
                  <w:sz w:val="20"/>
                </w:rPr>
                <w:t xml:space="preserve">. </w:t>
              </w:r>
            </w:hyperlink>
            <w:r>
              <w:rPr>
                <w:sz w:val="20"/>
              </w:rPr>
              <w:t xml:space="preserve">Le Journal de l'</w:t>
            </w:r>
            <w:r>
              <w:rPr>
                <w:sz w:val="20"/>
              </w:rPr>
              <w:t xml:space="preserve">endocrinologie clinique et du </w:t>
            </w:r>
            <w:r>
              <w:rPr>
                <w:sz w:val="20"/>
              </w:rPr>
              <w:t xml:space="preserve">métabolisme </w:t>
            </w:r>
            <w:r>
              <w:rPr>
                <w:sz w:val="20"/>
              </w:rPr>
              <w:t xml:space="preserve">100(2) : e270-5</w:t>
            </w:r>
          </w:p>
          <w:p>
            <w:pPr>
              <w:pStyle w:val="TableParagraph"/>
              <w:spacing w:before="1" w:line="580" w:lineRule="atLeast"/>
              <w:ind w:start="107" w:end="848"/>
              <w:rPr>
                <w:sz w:val="20"/>
              </w:rPr>
            </w:pPr>
            <w:r>
              <w:rPr>
                <w:sz w:val="20"/>
              </w:rPr>
              <w:t xml:space="preserve">Pays-Bas </w:t>
            </w:r>
            <w:r>
              <w:rPr>
                <w:spacing w:val="-1"/>
                <w:sz w:val="20"/>
              </w:rPr>
              <w:t xml:space="preserve">Rétrospective </w:t>
            </w:r>
            <w:r>
              <w:rPr>
                <w:sz w:val="20"/>
              </w:rPr>
              <w:t xml:space="preserve">longitudinale</w:t>
            </w:r>
          </w:p>
          <w:p>
            <w:pPr>
              <w:pStyle w:val="TableParagraph"/>
              <w:spacing w:line="229" w:lineRule="exact"/>
              <w:ind w:start="107"/>
              <w:rPr>
                <w:sz w:val="20"/>
              </w:rPr>
            </w:pPr>
            <w:r>
              <w:rPr>
                <w:sz w:val="20"/>
              </w:rPr>
              <w:t xml:space="preserve">étude </w:t>
            </w:r>
            <w:r>
              <w:rPr>
                <w:sz w:val="20"/>
              </w:rPr>
              <w:t xml:space="preserve">observationnelle </w:t>
            </w:r>
            <w:r>
              <w:rPr>
                <w:sz w:val="20"/>
              </w:rPr>
              <w:t xml:space="preserve">dans </w:t>
            </w:r>
            <w:r>
              <w:rPr>
                <w:sz w:val="20"/>
              </w:rPr>
              <w:t xml:space="preserve">un seul </w:t>
            </w:r>
            <w:r>
              <w:rPr>
                <w:sz w:val="20"/>
              </w:rPr>
              <w:t xml:space="preserve">centre</w:t>
            </w:r>
          </w:p>
          <w:p w:rsidR="00432386" w:rsidRDefault="00432386">
            <w:pPr>
              <w:pStyle w:val="TableParagraph"/>
              <w:spacing w:before="6"/>
              <w:rPr>
                <w:sz w:val="30"/>
              </w:rPr>
            </w:pPr>
          </w:p>
          <w:p>
            <w:pPr>
              <w:pStyle w:val="TableParagraph"/>
              <w:ind w:start="107" w:end="237"/>
              <w:rPr>
                <w:sz w:val="20"/>
              </w:rPr>
            </w:pPr>
            <w:r>
              <w:rPr>
                <w:sz w:val="20"/>
              </w:rPr>
              <w:t xml:space="preserve">Évaluer le développement de la DMO </w:t>
            </w:r>
            <w:r>
              <w:rPr>
                <w:sz w:val="20"/>
              </w:rPr>
              <w:t xml:space="preserve">pendant les analogues de la GnRH et à l'</w:t>
            </w:r>
            <w:r>
              <w:rPr>
                <w:sz w:val="20"/>
              </w:rPr>
              <w:t xml:space="preserve">âge de </w:t>
            </w:r>
            <w:r>
              <w:rPr>
                <w:sz w:val="20"/>
              </w:rPr>
              <w:t xml:space="preserve">22 </w:t>
            </w:r>
            <w:r>
              <w:rPr>
                <w:sz w:val="20"/>
              </w:rPr>
              <w:t xml:space="preserve">ans </w:t>
            </w:r>
            <w:r>
              <w:rPr>
                <w:sz w:val="20"/>
              </w:rPr>
              <w:t xml:space="preserve">chez les </w:t>
            </w:r>
            <w:r>
              <w:rPr>
                <w:sz w:val="20"/>
              </w:rPr>
              <w:t xml:space="preserve">adolescents </w:t>
            </w:r>
            <w:r>
              <w:rPr>
                <w:sz w:val="20"/>
              </w:rPr>
              <w:t xml:space="preserve">souffrant de </w:t>
            </w:r>
            <w:r>
              <w:rPr>
                <w:sz w:val="20"/>
              </w:rPr>
              <w:t xml:space="preserve">dysphorie de genre qui ont commencé un </w:t>
            </w:r>
            <w:r>
              <w:rPr>
                <w:sz w:val="20"/>
              </w:rPr>
              <w:t xml:space="preserve">traitement pour la dysphorie de genre </w:t>
            </w:r>
            <w:r>
              <w:rPr>
                <w:sz w:val="20"/>
              </w:rPr>
              <w:t xml:space="preserve">pendant l'</w:t>
            </w:r>
            <w:r>
              <w:rPr>
                <w:sz w:val="20"/>
              </w:rPr>
              <w:t xml:space="preserve">adolescence.</w:t>
            </w:r>
          </w:p>
        </w:tc>
        <w:tc>
          <w:tcPr>
            <w:tcW w:w="3121" w:type="dxa"/>
          </w:tcPr>
          <w:p>
            <w:pPr>
              <w:pStyle w:val="TableParagraph"/>
              <w:ind w:start="107" w:end="196"/>
              <w:rPr>
                <w:sz w:val="20"/>
              </w:rPr>
            </w:pPr>
            <w:r>
              <w:rPr>
                <w:sz w:val="20"/>
              </w:rPr>
              <w:t xml:space="preserve">34 </w:t>
            </w:r>
            <w:r>
              <w:rPr>
                <w:sz w:val="20"/>
              </w:rPr>
              <w:t xml:space="preserve">adolescents </w:t>
            </w:r>
            <w:r>
              <w:rPr>
                <w:sz w:val="20"/>
              </w:rPr>
              <w:t xml:space="preserve">(</w:t>
            </w:r>
            <w:r>
              <w:rPr>
                <w:sz w:val="20"/>
              </w:rPr>
              <w:t xml:space="preserve">âge </w:t>
            </w:r>
            <w:r>
              <w:rPr>
                <w:sz w:val="20"/>
              </w:rPr>
              <w:t xml:space="preserve">moyen </w:t>
            </w:r>
            <w:r>
              <w:rPr>
                <w:sz w:val="20"/>
              </w:rPr>
              <w:t xml:space="preserve">±SD </w:t>
            </w:r>
            <w:r>
              <w:rPr>
                <w:sz w:val="20"/>
              </w:rPr>
              <w:t xml:space="preserve">14,9±1,9 pour les transfemmes et </w:t>
            </w:r>
            <w:r>
              <w:rPr>
                <w:sz w:val="20"/>
              </w:rPr>
              <w:t xml:space="preserve">15,0±2,0 pour les transmales au début du </w:t>
            </w:r>
            <w:r>
              <w:rPr>
                <w:sz w:val="20"/>
              </w:rPr>
              <w:t xml:space="preserve">traitement aux </w:t>
            </w:r>
            <w:r>
              <w:rPr>
                <w:sz w:val="20"/>
              </w:rPr>
              <w:t xml:space="preserve">analogues de la </w:t>
            </w:r>
            <w:r>
              <w:rPr>
                <w:sz w:val="20"/>
              </w:rPr>
              <w:t xml:space="preserve">GnRH</w:t>
            </w:r>
            <w:r>
              <w:rPr>
                <w:sz w:val="20"/>
              </w:rPr>
              <w:t xml:space="preserve">).</w:t>
            </w:r>
          </w:p>
          <w:p>
            <w:pPr>
              <w:pStyle w:val="TableParagraph"/>
              <w:spacing w:before="61"/>
              <w:ind w:start="107" w:end="193"/>
              <w:rPr>
                <w:sz w:val="20"/>
              </w:rPr>
            </w:pPr>
            <w:r>
              <w:rPr>
                <w:sz w:val="20"/>
              </w:rPr>
              <w:t xml:space="preserve">Les participants ont été inclus s'</w:t>
            </w:r>
            <w:r>
              <w:rPr>
                <w:sz w:val="20"/>
              </w:rPr>
              <w:t xml:space="preserve">ils </w:t>
            </w:r>
            <w:r>
              <w:rPr>
                <w:sz w:val="20"/>
              </w:rPr>
              <w:t xml:space="preserve">répondaient aux </w:t>
            </w:r>
            <w:r>
              <w:rPr>
                <w:sz w:val="20"/>
              </w:rPr>
              <w:t xml:space="preserve">critères du </w:t>
            </w:r>
            <w:r>
              <w:rPr>
                <w:sz w:val="20"/>
              </w:rPr>
              <w:t xml:space="preserve">DSM-IV-TR </w:t>
            </w:r>
            <w:r>
              <w:rPr>
                <w:sz w:val="20"/>
              </w:rPr>
              <w:t xml:space="preserve">pour le </w:t>
            </w:r>
            <w:r>
              <w:rPr>
                <w:sz w:val="20"/>
              </w:rPr>
              <w:t xml:space="preserve">trouble de l'identité sexuelle de l'</w:t>
            </w:r>
            <w:r>
              <w:rPr>
                <w:sz w:val="20"/>
              </w:rPr>
              <w:t xml:space="preserve">adolescence et s'ils avaient été </w:t>
            </w:r>
            <w:r>
              <w:rPr>
                <w:sz w:val="20"/>
              </w:rPr>
              <w:t xml:space="preserve">traités par des analogues de la GnRH </w:t>
            </w:r>
            <w:r>
              <w:rPr>
                <w:sz w:val="20"/>
              </w:rPr>
              <w:t xml:space="preserve">et des hormones d'affirmation du genre </w:t>
            </w:r>
            <w:r>
              <w:rPr>
                <w:sz w:val="20"/>
              </w:rPr>
              <w:t xml:space="preserve">pendant leurs années pubertaires. Aucun </w:t>
            </w:r>
            <w:r>
              <w:rPr>
                <w:sz w:val="20"/>
              </w:rPr>
              <w:t xml:space="preserve">traitement concomitant </w:t>
            </w:r>
            <w:r>
              <w:rPr>
                <w:sz w:val="20"/>
              </w:rPr>
              <w:t xml:space="preserve">n'a été </w:t>
            </w:r>
            <w:r>
              <w:rPr>
                <w:sz w:val="20"/>
              </w:rPr>
              <w:t xml:space="preserve">signalé.</w:t>
            </w:r>
          </w:p>
        </w:tc>
        <w:tc>
          <w:tcPr>
            <w:tcW w:w="1985" w:type="dxa"/>
          </w:tcPr>
          <w:p>
            <w:pPr>
              <w:pStyle w:val="TableParagraph"/>
              <w:ind w:start="104" w:end="139"/>
              <w:rPr>
                <w:sz w:val="20"/>
              </w:rPr>
            </w:pPr>
            <w:r>
              <w:rPr>
                <w:sz w:val="20"/>
              </w:rPr>
              <w:t xml:space="preserve">L'</w:t>
            </w:r>
            <w:r>
              <w:rPr>
                <w:sz w:val="20"/>
              </w:rPr>
              <w:t xml:space="preserve">intervention </w:t>
            </w:r>
            <w:r>
              <w:rPr>
                <w:sz w:val="20"/>
              </w:rPr>
              <w:t xml:space="preserve">consistait en une </w:t>
            </w:r>
            <w:r>
              <w:rPr>
                <w:sz w:val="20"/>
              </w:rPr>
              <w:t xml:space="preserve">monothérapie à base d'</w:t>
            </w:r>
            <w:r>
              <w:rPr>
                <w:sz w:val="20"/>
              </w:rPr>
              <w:t xml:space="preserve">analogues de la </w:t>
            </w:r>
            <w:r>
              <w:rPr>
                <w:sz w:val="20"/>
              </w:rPr>
              <w:t xml:space="preserve">GnRH </w:t>
            </w:r>
            <w:r>
              <w:rPr>
                <w:sz w:val="20"/>
              </w:rPr>
              <w:t xml:space="preserve">(</w:t>
            </w:r>
            <w:r>
              <w:rPr>
                <w:sz w:val="20"/>
              </w:rPr>
              <w:t xml:space="preserve">pamoate de </w:t>
            </w:r>
            <w:r>
              <w:rPr>
                <w:sz w:val="20"/>
              </w:rPr>
              <w:t xml:space="preserve">triptoreline</w:t>
            </w:r>
          </w:p>
          <w:p>
            <w:pPr>
              <w:pStyle w:val="TableParagraph"/>
              <w:ind w:start="104" w:end="115"/>
              <w:rPr>
                <w:sz w:val="20"/>
              </w:rPr>
            </w:pPr>
            <w:r>
              <w:rPr>
                <w:sz w:val="20"/>
              </w:rPr>
              <w:t xml:space="preserve">3,75 mg par </w:t>
            </w:r>
            <w:r>
              <w:rPr>
                <w:sz w:val="20"/>
              </w:rPr>
              <w:t xml:space="preserve">voie sous-cutanée </w:t>
            </w:r>
            <w:r>
              <w:rPr>
                <w:sz w:val="20"/>
              </w:rPr>
              <w:t xml:space="preserve">toutes les 4 semaines) </w:t>
            </w:r>
            <w:r>
              <w:rPr>
                <w:sz w:val="20"/>
              </w:rPr>
              <w:t xml:space="preserve">suivi </w:t>
            </w:r>
            <w:r>
              <w:rPr>
                <w:sz w:val="20"/>
              </w:rPr>
              <w:t xml:space="preserve">d'</w:t>
            </w:r>
            <w:r>
              <w:rPr>
                <w:sz w:val="20"/>
              </w:rPr>
              <w:t xml:space="preserve">hormones d'affirmation du </w:t>
            </w:r>
            <w:r>
              <w:rPr>
                <w:sz w:val="20"/>
              </w:rPr>
              <w:t xml:space="preserve">genre </w:t>
            </w:r>
            <w:r>
              <w:rPr>
                <w:sz w:val="20"/>
              </w:rPr>
              <w:t xml:space="preserve">à partir de 16 ans avec </w:t>
            </w:r>
            <w:r>
              <w:rPr>
                <w:sz w:val="20"/>
              </w:rPr>
              <w:t xml:space="preserve">arrêt de l'</w:t>
            </w:r>
            <w:r>
              <w:rPr>
                <w:sz w:val="20"/>
              </w:rPr>
              <w:t xml:space="preserve">analogue de la GnRH </w:t>
            </w:r>
            <w:r>
              <w:rPr>
                <w:sz w:val="20"/>
              </w:rPr>
              <w:t xml:space="preserve">après </w:t>
            </w:r>
            <w:r>
              <w:rPr>
                <w:sz w:val="20"/>
              </w:rPr>
              <w:t xml:space="preserve">gonadectomie.</w:t>
            </w:r>
          </w:p>
          <w:p w:rsidR="00432386" w:rsidRDefault="00432386">
            <w:pPr>
              <w:pStyle w:val="TableParagraph"/>
              <w:spacing w:before="6"/>
              <w:rPr>
                <w:sz w:val="30"/>
              </w:rPr>
            </w:pPr>
          </w:p>
          <w:p>
            <w:pPr>
              <w:pStyle w:val="TableParagraph"/>
              <w:spacing w:before="1"/>
              <w:ind w:start="104" w:end="207"/>
              <w:rPr>
                <w:sz w:val="20"/>
              </w:rPr>
            </w:pPr>
            <w:r>
              <w:rPr>
                <w:sz w:val="20"/>
              </w:rPr>
              <w:t xml:space="preserve">La </w:t>
            </w:r>
            <w:r>
              <w:rPr>
                <w:sz w:val="20"/>
              </w:rPr>
              <w:t xml:space="preserve">durée </w:t>
            </w:r>
            <w:r>
              <w:rPr>
                <w:sz w:val="20"/>
              </w:rPr>
              <w:t xml:space="preserve">médiane </w:t>
            </w:r>
            <w:r>
              <w:rPr>
                <w:sz w:val="20"/>
              </w:rPr>
              <w:t xml:space="preserve">de la </w:t>
            </w:r>
            <w:r>
              <w:rPr>
                <w:sz w:val="20"/>
              </w:rPr>
              <w:t xml:space="preserve">monothérapie par </w:t>
            </w:r>
            <w:r>
              <w:rPr>
                <w:sz w:val="20"/>
              </w:rPr>
              <w:t xml:space="preserve">analogue de la GnRH </w:t>
            </w:r>
            <w:r>
              <w:rPr>
                <w:sz w:val="20"/>
              </w:rPr>
              <w:t xml:space="preserve">chez les </w:t>
            </w:r>
            <w:r>
              <w:rPr>
                <w:sz w:val="20"/>
              </w:rPr>
              <w:t xml:space="preserve">transfemmes </w:t>
            </w:r>
            <w:r>
              <w:rPr>
                <w:sz w:val="20"/>
              </w:rPr>
              <w:t xml:space="preserve">était de</w:t>
            </w:r>
          </w:p>
          <w:p>
            <w:pPr>
              <w:pStyle w:val="TableParagraph"/>
              <w:spacing w:line="229" w:lineRule="exact"/>
              <w:ind w:start="104"/>
              <w:rPr>
                <w:sz w:val="20"/>
              </w:rPr>
            </w:pPr>
            <w:r>
              <w:rPr>
                <w:sz w:val="20"/>
              </w:rPr>
              <w:t xml:space="preserve">1,3 </w:t>
            </w:r>
            <w:r>
              <w:rPr>
                <w:sz w:val="20"/>
              </w:rPr>
              <w:t xml:space="preserve">ans </w:t>
            </w:r>
            <w:r>
              <w:rPr>
                <w:sz w:val="20"/>
              </w:rPr>
              <w:t xml:space="preserve">(fourchette,</w:t>
            </w:r>
          </w:p>
          <w:p>
            <w:pPr>
              <w:pStyle w:val="TableParagraph"/>
              <w:ind w:start="104" w:end="285"/>
              <w:rPr>
                <w:sz w:val="20"/>
              </w:rPr>
            </w:pPr>
            <w:r>
              <w:rPr>
                <w:sz w:val="20"/>
              </w:rPr>
              <w:t xml:space="preserve">0,5 à 3,8 ans), </w:t>
            </w:r>
            <w:r>
              <w:rPr>
                <w:sz w:val="20"/>
              </w:rPr>
              <w:t xml:space="preserve">et </w:t>
            </w:r>
            <w:r>
              <w:rPr>
                <w:sz w:val="20"/>
              </w:rPr>
              <w:t xml:space="preserve">chez les </w:t>
            </w:r>
            <w:r>
              <w:rPr>
                <w:sz w:val="20"/>
              </w:rPr>
              <w:t xml:space="preserve">transmales </w:t>
            </w:r>
            <w:r>
              <w:rPr>
                <w:sz w:val="20"/>
              </w:rPr>
              <w:t xml:space="preserve">était de </w:t>
            </w:r>
            <w:r>
              <w:rPr>
                <w:sz w:val="20"/>
              </w:rPr>
              <w:t xml:space="preserve">1,5 </w:t>
            </w:r>
            <w:r>
              <w:rPr>
                <w:sz w:val="20"/>
              </w:rPr>
              <w:t xml:space="preserve">ans</w:t>
            </w:r>
          </w:p>
        </w:tc>
        <w:tc>
          <w:tcPr>
            <w:tcW w:w="3829" w:type="dxa"/>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ind w:start="106"/>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
              <w:rPr>
                <w:sz w:val="20"/>
              </w:rPr>
            </w:pPr>
          </w:p>
          <w:p>
            <w:pPr>
              <w:pStyle w:val="TableParagraph"/>
              <w:ind w:start="106"/>
              <w:rPr>
                <w:b/>
                <w:sz w:val="20"/>
              </w:rPr>
            </w:pPr>
            <w:r>
              <w:rPr>
                <w:b/>
                <w:sz w:val="20"/>
              </w:rPr>
              <w:t xml:space="preserve">Résultats </w:t>
            </w:r>
            <w:r>
              <w:rPr>
                <w:b/>
                <w:sz w:val="20"/>
              </w:rPr>
              <w:t xml:space="preserve">importants</w:t>
            </w:r>
          </w:p>
          <w:p>
            <w:pPr>
              <w:pStyle w:val="TableParagraph"/>
              <w:spacing w:before="1" w:line="229" w:lineRule="exact"/>
              <w:ind w:start="106"/>
              <w:rPr>
                <w:b/>
                <w:i/>
                <w:sz w:val="20"/>
              </w:rPr>
            </w:pPr>
            <w:r>
              <w:rPr>
                <w:b/>
                <w:i/>
                <w:sz w:val="20"/>
              </w:rPr>
              <w:t xml:space="preserve">Densité </w:t>
            </w:r>
            <w:r>
              <w:rPr>
                <w:b/>
                <w:i/>
                <w:sz w:val="20"/>
              </w:rPr>
              <w:t xml:space="preserve">osseuse </w:t>
            </w:r>
            <w:r>
              <w:rPr>
                <w:b/>
                <w:i/>
                <w:sz w:val="20"/>
              </w:rPr>
              <w:t xml:space="preserve">: </w:t>
            </w:r>
            <w:r>
              <w:rPr>
                <w:b/>
                <w:i/>
                <w:sz w:val="20"/>
              </w:rPr>
              <w:t xml:space="preserve">lombaire</w:t>
            </w:r>
          </w:p>
          <w:p>
            <w:pPr>
              <w:pStyle w:val="TableParagraph"/>
              <w:ind w:start="106"/>
              <w:rPr>
                <w:b/>
                <w:sz w:val="20"/>
              </w:rPr>
            </w:pPr>
            <w:r>
              <w:rPr>
                <w:b/>
                <w:sz w:val="20"/>
              </w:rPr>
              <w:t xml:space="preserve">Densité </w:t>
            </w:r>
            <w:r>
              <w:rPr>
                <w:b/>
                <w:sz w:val="20"/>
              </w:rPr>
              <w:t xml:space="preserve">minérale </w:t>
            </w:r>
            <w:r>
              <w:rPr>
                <w:b/>
                <w:sz w:val="20"/>
              </w:rPr>
              <w:t xml:space="preserve">apparente </w:t>
            </w:r>
            <w:r>
              <w:rPr>
                <w:b/>
                <w:sz w:val="20"/>
              </w:rPr>
              <w:t xml:space="preserve">osseuse </w:t>
            </w:r>
            <w:r>
              <w:rPr>
                <w:b/>
                <w:sz w:val="20"/>
              </w:rPr>
              <w:t xml:space="preserve">du rachis </w:t>
            </w:r>
            <w:r>
              <w:rPr>
                <w:b/>
                <w:sz w:val="20"/>
              </w:rPr>
              <w:t xml:space="preserve">lombaire </w:t>
            </w:r>
            <w:r>
              <w:rPr>
                <w:b/>
                <w:sz w:val="20"/>
              </w:rPr>
              <w:t xml:space="preserve">(DMAO)</w:t>
            </w:r>
            <w:r>
              <w:rPr>
                <w:b/>
                <w:sz w:val="20"/>
                <w:vertAlign w:val="superscript"/>
              </w:rPr>
              <w:t xml:space="preserve">1</w:t>
            </w:r>
          </w:p>
          <w:p>
            <w:pPr>
              <w:pStyle w:val="TableParagraph"/>
              <w:ind w:start="106" w:end="145"/>
              <w:rPr>
                <w:sz w:val="20"/>
              </w:rPr>
            </w:pPr>
            <w:r>
              <w:rPr>
                <w:sz w:val="20"/>
              </w:rPr>
              <w:t xml:space="preserve">Changement entre le début de l'administration d'un analogue de la GnRH </w:t>
            </w:r>
            <w:r>
              <w:rPr>
                <w:sz w:val="20"/>
              </w:rPr>
              <w:t xml:space="preserve">(âge moyen 14,9±1,9) et le début de l'administration d'</w:t>
            </w:r>
            <w:r>
              <w:rPr>
                <w:sz w:val="20"/>
              </w:rPr>
              <w:t xml:space="preserve">hormones d'affirmation du </w:t>
            </w:r>
            <w:r>
              <w:rPr>
                <w:sz w:val="20"/>
              </w:rPr>
              <w:t xml:space="preserve">genre </w:t>
            </w:r>
            <w:r>
              <w:rPr>
                <w:sz w:val="20"/>
              </w:rPr>
              <w:t xml:space="preserve">(âge moyen </w:t>
            </w:r>
            <w:r>
              <w:rPr>
                <w:sz w:val="20"/>
              </w:rPr>
              <w:t xml:space="preserve">16,6±1,4) chez les transfemmes (moyenne [±SD]) : </w:t>
            </w:r>
            <w:r>
              <w:rPr>
                <w:sz w:val="20"/>
              </w:rPr>
              <w:t xml:space="preserve">Analogue de la </w:t>
            </w:r>
            <w:r>
              <w:rPr>
                <w:sz w:val="20"/>
              </w:rPr>
              <w:t xml:space="preserve">GnRH </w:t>
            </w:r>
            <w:r>
              <w:rPr>
                <w:sz w:val="20"/>
              </w:rPr>
              <w:t xml:space="preserve">: </w:t>
            </w:r>
            <w:r>
              <w:rPr>
                <w:sz w:val="20"/>
              </w:rPr>
              <w:t xml:space="preserve">0,22 </w:t>
            </w:r>
            <w:r>
              <w:rPr>
                <w:sz w:val="20"/>
              </w:rPr>
              <w:t xml:space="preserve">(0,03) </w:t>
            </w:r>
            <w:r>
              <w:rPr>
                <w:sz w:val="20"/>
              </w:rPr>
              <w:t xml:space="preserve">g/cm3,</w:t>
            </w:r>
          </w:p>
          <w:p>
            <w:pPr>
              <w:pStyle w:val="TableParagraph"/>
              <w:ind w:start="106" w:end="213"/>
              <w:rPr>
                <w:sz w:val="20"/>
              </w:rPr>
            </w:pPr>
            <w:r>
              <w:rPr>
                <w:sz w:val="20"/>
              </w:rPr>
              <w:t xml:space="preserve">hormones d'affirmation du genre : 0,22 (0,02) </w:t>
            </w:r>
            <w:r>
              <w:rPr>
                <w:sz w:val="20"/>
              </w:rPr>
              <w:t xml:space="preserve">g/cm3 </w:t>
            </w:r>
            <w:r>
              <w:rPr>
                <w:sz w:val="20"/>
              </w:rPr>
              <w:t xml:space="preserve">(NS) ;</w:t>
            </w:r>
          </w:p>
          <w:p>
            <w:pPr>
              <w:pStyle w:val="TableParagraph"/>
              <w:spacing w:before="1"/>
              <w:ind w:start="106"/>
              <w:rPr>
                <w:sz w:val="20"/>
              </w:rPr>
            </w:pPr>
            <w:r>
              <w:rPr>
                <w:sz w:val="20"/>
              </w:rPr>
              <w:t xml:space="preserve">z-score </w:t>
            </w:r>
            <w:r>
              <w:rPr>
                <w:sz w:val="20"/>
              </w:rPr>
              <w:t xml:space="preserve">GnRH </w:t>
            </w:r>
            <w:r>
              <w:rPr>
                <w:sz w:val="20"/>
              </w:rPr>
              <w:t xml:space="preserve">analogue : </w:t>
            </w:r>
            <w:r>
              <w:rPr>
                <w:sz w:val="20"/>
              </w:rPr>
              <w:t xml:space="preserve">−0.44 </w:t>
            </w:r>
            <w:r>
              <w:rPr>
                <w:sz w:val="20"/>
              </w:rPr>
              <w:t xml:space="preserve">(1.10),</w:t>
            </w:r>
          </w:p>
          <w:p>
            <w:pPr>
              <w:pStyle w:val="TableParagraph"/>
              <w:spacing w:line="229" w:lineRule="exact"/>
              <w:ind w:start="106"/>
              <w:rPr>
                <w:sz w:val="20"/>
              </w:rPr>
            </w:pPr>
            <w:r>
              <w:rPr>
                <w:sz w:val="20"/>
              </w:rPr>
              <w:t xml:space="preserve">hormones d'</w:t>
            </w:r>
            <w:r>
              <w:rPr>
                <w:sz w:val="20"/>
              </w:rPr>
              <w:t xml:space="preserve">affirmation du genre </w:t>
            </w:r>
            <w:r>
              <w:rPr>
                <w:sz w:val="20"/>
              </w:rPr>
              <w:t xml:space="preserve">: </w:t>
            </w:r>
            <w:r>
              <w:rPr>
                <w:sz w:val="20"/>
              </w:rPr>
              <w:t xml:space="preserve">−0.90 </w:t>
            </w:r>
            <w:r>
              <w:rPr>
                <w:sz w:val="20"/>
              </w:rPr>
              <w:t xml:space="preserve">(0.80)</w:t>
            </w:r>
          </w:p>
          <w:p>
            <w:pPr>
              <w:pStyle w:val="TableParagraph"/>
              <w:spacing w:line="229" w:lineRule="exact"/>
              <w:ind w:start="106"/>
              <w:rPr>
                <w:sz w:val="20"/>
              </w:rPr>
            </w:pPr>
            <w:r>
              <w:rPr>
                <w:sz w:val="20"/>
              </w:rPr>
              <w:t xml:space="preserve">(p=NS)</w:t>
            </w:r>
          </w:p>
          <w:p>
            <w:pPr>
              <w:pStyle w:val="TableParagraph"/>
              <w:spacing w:before="1"/>
              <w:ind w:start="106" w:end="165"/>
              <w:rPr>
                <w:sz w:val="20"/>
              </w:rPr>
            </w:pPr>
            <w:r>
              <w:rPr>
                <w:sz w:val="20"/>
              </w:rPr>
              <w:t xml:space="preserve">Changement entre le début de l'administration d'un analogue de la GnRH </w:t>
            </w:r>
            <w:r>
              <w:rPr>
                <w:sz w:val="20"/>
              </w:rPr>
              <w:t xml:space="preserve">(</w:t>
            </w:r>
            <w:r>
              <w:rPr>
                <w:sz w:val="20"/>
              </w:rPr>
              <w:t xml:space="preserve">âge </w:t>
            </w:r>
            <w:r>
              <w:rPr>
                <w:sz w:val="20"/>
              </w:rPr>
              <w:t xml:space="preserve">moyen </w:t>
            </w:r>
            <w:r>
              <w:rPr>
                <w:sz w:val="20"/>
              </w:rPr>
              <w:t xml:space="preserve">15,0±2,0) </w:t>
            </w:r>
            <w:r>
              <w:rPr>
                <w:sz w:val="20"/>
              </w:rPr>
              <w:t xml:space="preserve">et le </w:t>
            </w:r>
            <w:r>
              <w:rPr>
                <w:sz w:val="20"/>
              </w:rPr>
              <w:t xml:space="preserve">début de l'administration d'</w:t>
            </w:r>
            <w:r>
              <w:rPr>
                <w:sz w:val="20"/>
              </w:rPr>
              <w:t xml:space="preserve">hormones d'affirmation du </w:t>
            </w:r>
            <w:r>
              <w:rPr>
                <w:sz w:val="20"/>
              </w:rPr>
              <w:t xml:space="preserve">genre </w:t>
            </w:r>
            <w:r>
              <w:rPr>
                <w:sz w:val="20"/>
              </w:rPr>
              <w:t xml:space="preserve">(âge moyen </w:t>
            </w:r>
            <w:r>
              <w:rPr>
                <w:sz w:val="20"/>
              </w:rPr>
              <w:t xml:space="preserve">16,4±2,3) chez les transmaliens (moyenne [±SD] : </w:t>
            </w:r>
            <w:r>
              <w:rPr>
                <w:sz w:val="20"/>
              </w:rPr>
              <w:t xml:space="preserve">analogue de la </w:t>
            </w:r>
            <w:r>
              <w:rPr>
                <w:sz w:val="20"/>
              </w:rPr>
              <w:t xml:space="preserve">GnRH </w:t>
            </w:r>
            <w:r>
              <w:rPr>
                <w:sz w:val="20"/>
              </w:rPr>
              <w:t xml:space="preserve">: </w:t>
            </w:r>
            <w:r>
              <w:rPr>
                <w:sz w:val="20"/>
              </w:rPr>
              <w:t xml:space="preserve">0,25 </w:t>
            </w:r>
            <w:r>
              <w:rPr>
                <w:sz w:val="20"/>
              </w:rPr>
              <w:t xml:space="preserve">(0,03) </w:t>
            </w:r>
            <w:r>
              <w:rPr>
                <w:sz w:val="20"/>
              </w:rPr>
              <w:t xml:space="preserve">g/cm3,</w:t>
            </w:r>
          </w:p>
          <w:p>
            <w:pPr>
              <w:pStyle w:val="TableParagraph"/>
              <w:ind w:start="106" w:end="213"/>
              <w:rPr>
                <w:sz w:val="20"/>
              </w:rPr>
            </w:pPr>
            <w:r>
              <w:rPr>
                <w:sz w:val="20"/>
              </w:rPr>
              <w:t xml:space="preserve">hormones d'affirmation du genre : 0,24 (0,02) </w:t>
            </w:r>
            <w:r>
              <w:rPr>
                <w:sz w:val="20"/>
              </w:rPr>
              <w:t xml:space="preserve">g/cm3 </w:t>
            </w:r>
            <w:r>
              <w:rPr>
                <w:sz w:val="20"/>
              </w:rPr>
              <w:t xml:space="preserve">(NS) ;</w:t>
            </w:r>
          </w:p>
        </w:tc>
        <w:tc>
          <w:tcPr>
            <w:tcW w:w="3203" w:type="dxa"/>
          </w:tcPr>
          <w:p>
            <w:pPr>
              <w:pStyle w:val="TableParagraph"/>
              <w:ind w:start="106" w:end="293"/>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la </w:t>
            </w:r>
            <w:r>
              <w:rPr>
                <w:sz w:val="20"/>
              </w:rPr>
              <w:t xml:space="preserve">liste de contrôle d'</w:t>
            </w:r>
            <w:r>
              <w:rPr>
                <w:sz w:val="20"/>
              </w:rPr>
              <w:t xml:space="preserve">évaluation de la </w:t>
            </w:r>
            <w:r>
              <w:rPr>
                <w:sz w:val="20"/>
              </w:rPr>
              <w:t xml:space="preserve">qualité de Newcastle-Ottawa </w:t>
            </w:r>
            <w:r>
              <w:rPr>
                <w:sz w:val="20"/>
              </w:rPr>
              <w:t xml:space="preserve">pour les </w:t>
            </w:r>
            <w:r>
              <w:rPr>
                <w:sz w:val="20"/>
              </w:rPr>
              <w:t xml:space="preserve">études de </w:t>
            </w:r>
            <w:r>
              <w:rPr>
                <w:sz w:val="20"/>
              </w:rPr>
              <w:t xml:space="preserve">cohorte</w:t>
            </w:r>
            <w:r>
              <w:rPr>
                <w:sz w:val="20"/>
              </w:rPr>
              <w:t xml:space="preserve">.</w:t>
            </w:r>
          </w:p>
          <w:p w:rsidR="00432386" w:rsidRDefault="00432386">
            <w:pPr>
              <w:pStyle w:val="TableParagraph"/>
              <w:spacing w:before="11"/>
              <w:rPr>
                <w:sz w:val="19"/>
              </w:rPr>
            </w:pPr>
          </w:p>
          <w:p>
            <w:pPr>
              <w:pStyle w:val="TableParagraph"/>
              <w:ind w:start="106"/>
              <w:jc w:val="both"/>
              <w:rPr>
                <w:b/>
                <w:sz w:val="20"/>
              </w:rPr>
            </w:pPr>
            <w:r>
              <w:rPr>
                <w:b/>
                <w:sz w:val="20"/>
              </w:rPr>
              <w:t xml:space="preserve">Domaine </w:t>
            </w:r>
            <w:r>
              <w:rPr>
                <w:b/>
                <w:sz w:val="20"/>
              </w:rPr>
              <w:t xml:space="preserve">1 : </w:t>
            </w:r>
            <w:r>
              <w:rPr>
                <w:b/>
                <w:sz w:val="20"/>
              </w:rPr>
              <w:t xml:space="preserve">Sélection</w:t>
            </w:r>
          </w:p>
          <w:p>
            <w:pPr>
              <w:pStyle w:val="TableParagraph"/>
              <w:numPr>
                <w:ilvl w:val="0"/>
                <w:numId w:val="20"/>
              </w:numPr>
              <w:tabs>
                <w:tab w:val="left" w:pos="328"/>
              </w:tabs>
              <w:ind w:end="409" w:firstLine="0"/>
              <w:jc w:val="both"/>
              <w:rPr>
                <w:sz w:val="20"/>
              </w:rPr>
            </w:pPr>
            <w:r>
              <w:rPr>
                <w:sz w:val="20"/>
              </w:rPr>
              <w:t xml:space="preserve">quelque peu représentatifs des </w:t>
            </w:r>
            <w:r>
              <w:rPr>
                <w:sz w:val="20"/>
              </w:rPr>
              <w:t xml:space="preserve">enfants et des adolescents qui </w:t>
            </w:r>
            <w:r>
              <w:rPr>
                <w:sz w:val="20"/>
              </w:rPr>
              <w:t xml:space="preserve">souffrent de </w:t>
            </w:r>
            <w:r>
              <w:rPr>
                <w:sz w:val="20"/>
              </w:rPr>
              <w:t xml:space="preserve">dysphorie de </w:t>
            </w:r>
            <w:r>
              <w:rPr>
                <w:sz w:val="20"/>
              </w:rPr>
              <w:t xml:space="preserve">genre</w:t>
            </w:r>
          </w:p>
          <w:p>
            <w:pPr>
              <w:pStyle w:val="TableParagraph"/>
              <w:numPr>
                <w:ilvl w:val="0"/>
                <w:numId w:val="20"/>
              </w:numPr>
              <w:tabs>
                <w:tab w:val="left" w:pos="328"/>
              </w:tabs>
              <w:spacing w:before="1" w:line="229" w:lineRule="exact"/>
              <w:ind w:start="327" w:hanging="222"/>
              <w:jc w:val="both"/>
              <w:rPr>
                <w:sz w:val="20"/>
              </w:rPr>
            </w:pPr>
            <w:r>
              <w:rPr>
                <w:sz w:val="20"/>
              </w:rPr>
              <w:t xml:space="preserve">sans </w:t>
            </w:r>
            <w:r>
              <w:rPr>
                <w:sz w:val="20"/>
              </w:rPr>
              <w:t xml:space="preserve">objet</w:t>
            </w:r>
          </w:p>
          <w:p>
            <w:pPr>
              <w:pStyle w:val="TableParagraph"/>
              <w:numPr>
                <w:ilvl w:val="0"/>
                <w:numId w:val="20"/>
              </w:numPr>
              <w:tabs>
                <w:tab w:val="left" w:pos="328"/>
              </w:tabs>
              <w:spacing w:line="229" w:lineRule="exact"/>
              <w:ind w:start="327" w:hanging="222"/>
              <w:jc w:val="both"/>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20"/>
              </w:numPr>
              <w:tabs>
                <w:tab w:val="left" w:pos="328"/>
              </w:tabs>
              <w:spacing w:before="1"/>
              <w:ind w:start="327" w:hanging="222"/>
              <w:jc w:val="both"/>
              <w:rPr>
                <w:sz w:val="20"/>
              </w:rPr>
            </w:pPr>
            <w:r>
              <w:rPr>
                <w:sz w:val="20"/>
              </w:rPr>
              <w:t xml:space="preserve">pas de</w:t>
            </w:r>
          </w:p>
          <w:p>
            <w:pPr>
              <w:pStyle w:val="TableParagraph"/>
              <w:ind w:start="106"/>
              <w:jc w:val="both"/>
              <w:rPr>
                <w:b/>
                <w:sz w:val="20"/>
              </w:rPr>
            </w:pPr>
            <w:r>
              <w:rPr>
                <w:b/>
                <w:sz w:val="20"/>
              </w:rPr>
              <w:t xml:space="preserve">Domaine </w:t>
            </w:r>
            <w:r>
              <w:rPr>
                <w:b/>
                <w:sz w:val="20"/>
              </w:rPr>
              <w:t xml:space="preserve">2 : </w:t>
            </w:r>
            <w:r>
              <w:rPr>
                <w:b/>
                <w:sz w:val="20"/>
              </w:rPr>
              <w:t xml:space="preserve">Comparabilité</w:t>
            </w:r>
          </w:p>
          <w:p>
            <w:pPr>
              <w:pStyle w:val="TableParagraph"/>
              <w:spacing w:before="1"/>
              <w:ind w:start="106"/>
              <w:jc w:val="both"/>
              <w:rPr>
                <w:sz w:val="20"/>
              </w:rPr>
            </w:pPr>
            <w:r>
              <w:rPr>
                <w:sz w:val="20"/>
              </w:rPr>
              <w:t xml:space="preserve">1. </w:t>
            </w:r>
            <w:r>
              <w:rPr>
                <w:sz w:val="20"/>
              </w:rPr>
              <w:t xml:space="preserve">pas de </w:t>
            </w:r>
            <w:r>
              <w:rPr>
                <w:sz w:val="20"/>
              </w:rPr>
              <w:t xml:space="preserve">groupe de </w:t>
            </w:r>
            <w:r>
              <w:rPr>
                <w:sz w:val="20"/>
              </w:rPr>
              <w:t xml:space="preserve">contrôle</w:t>
            </w:r>
          </w:p>
          <w:p>
            <w:pPr>
              <w:pStyle w:val="TableParagraph"/>
              <w:spacing w:before="1"/>
              <w:ind w:start="106"/>
              <w:jc w:val="both"/>
              <w:rPr>
                <w:b/>
                <w:sz w:val="20"/>
              </w:rPr>
            </w:pPr>
            <w:r>
              <w:rPr>
                <w:b/>
                <w:sz w:val="20"/>
              </w:rPr>
              <w:t xml:space="preserve">Domaine </w:t>
            </w:r>
            <w:r>
              <w:rPr>
                <w:b/>
                <w:sz w:val="20"/>
              </w:rPr>
              <w:t xml:space="preserve">3 : </w:t>
            </w:r>
            <w:r>
              <w:rPr>
                <w:b/>
                <w:sz w:val="20"/>
              </w:rPr>
              <w:t xml:space="preserve">Résultat</w:t>
            </w:r>
          </w:p>
          <w:p>
            <w:pPr>
              <w:pStyle w:val="TableParagraph"/>
              <w:numPr>
                <w:ilvl w:val="0"/>
                <w:numId w:val="19"/>
              </w:numPr>
              <w:tabs>
                <w:tab w:val="left" w:pos="328"/>
              </w:tabs>
              <w:spacing w:line="229" w:lineRule="exact"/>
              <w:ind w:hanging="222"/>
              <w:jc w:val="both"/>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19"/>
              </w:numPr>
              <w:tabs>
                <w:tab w:val="left" w:pos="328"/>
              </w:tabs>
              <w:spacing w:line="229" w:lineRule="exact"/>
              <w:ind w:hanging="222"/>
              <w:jc w:val="both"/>
              <w:rPr>
                <w:sz w:val="20"/>
              </w:rPr>
            </w:pPr>
            <w:r>
              <w:rPr>
                <w:sz w:val="20"/>
              </w:rPr>
              <w:t xml:space="preserve">oui</w:t>
            </w:r>
          </w:p>
          <w:p>
            <w:pPr>
              <w:pStyle w:val="TableParagraph"/>
              <w:numPr>
                <w:ilvl w:val="0"/>
                <w:numId w:val="19"/>
              </w:numPr>
              <w:tabs>
                <w:tab w:val="left" w:pos="328"/>
              </w:tabs>
              <w:ind w:start="106" w:end="262" w:firstLine="0"/>
              <w:jc w:val="both"/>
              <w:rPr>
                <w:sz w:val="20"/>
              </w:rPr>
            </w:pPr>
            <w:r>
              <w:rPr>
                <w:sz w:val="20"/>
              </w:rPr>
              <w:t xml:space="preserve">taux de suivi variable selon les </w:t>
            </w:r>
            <w:r>
              <w:rPr>
                <w:sz w:val="20"/>
              </w:rPr>
              <w:t xml:space="preserve">points de temps et aucune description des </w:t>
            </w:r>
            <w:r>
              <w:rPr>
                <w:sz w:val="20"/>
              </w:rPr>
              <w:t xml:space="preserve">personnes perdues de vue</w:t>
            </w:r>
          </w:p>
          <w:p w:rsidR="00432386" w:rsidRDefault="00432386">
            <w:pPr>
              <w:pStyle w:val="TableParagraph"/>
              <w:spacing w:before="4"/>
              <w:rPr>
                <w:sz w:val="20"/>
              </w:rPr>
            </w:pPr>
          </w:p>
          <w:p>
            <w:pPr>
              <w:pStyle w:val="TableParagraph"/>
              <w:spacing w:line="237" w:lineRule="auto"/>
              <w:ind w:start="106" w:end="248"/>
              <w:rPr>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r>
              <w:rPr>
                <w:sz w:val="20"/>
              </w:rPr>
              <w:t xml:space="preserve">.</w:t>
            </w:r>
          </w:p>
        </w:tc>
      </w:tr>
    </w:tbl>
    <w:p w:rsidR="00432386" w:rsidRDefault="00432386">
      <w:pPr>
        <w:spacing w:line="237" w:lineRule="auto"/>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5"/>
        <w:gridCol w:w="3121"/>
        <w:gridCol w:w="1985"/>
        <w:gridCol w:w="3829"/>
        <w:gridCol w:w="3203"/>
      </w:tblGrid>
      <w:tr w:rsidR="00432386">
        <w:trPr>
          <w:trHeight w:val="290"/>
        </w:trPr>
        <w:tc>
          <w:tcPr>
            <w:tcW w:w="3255"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21" w:type="dxa"/>
            <w:shd w:val="clear" w:color="auto" w:fill="8DB3E1"/>
          </w:tcPr>
          <w:p>
            <w:pPr>
              <w:pStyle w:val="TableParagraph"/>
              <w:spacing w:line="220" w:lineRule="exact"/>
              <w:ind w:start="107"/>
              <w:rPr>
                <w:b/>
                <w:sz w:val="20"/>
              </w:rPr>
            </w:pPr>
            <w:r>
              <w:rPr>
                <w:b/>
                <w:sz w:val="20"/>
              </w:rPr>
              <w:t xml:space="preserve">Population</w:t>
            </w:r>
          </w:p>
        </w:tc>
        <w:tc>
          <w:tcPr>
            <w:tcW w:w="1985" w:type="dxa"/>
            <w:shd w:val="clear" w:color="auto" w:fill="8DB3E1"/>
          </w:tcPr>
          <w:p>
            <w:pPr>
              <w:pStyle w:val="TableParagraph"/>
              <w:spacing w:line="220" w:lineRule="exact"/>
              <w:ind w:start="104"/>
              <w:rPr>
                <w:b/>
                <w:sz w:val="20"/>
              </w:rPr>
            </w:pPr>
            <w:r>
              <w:rPr>
                <w:b/>
                <w:sz w:val="20"/>
              </w:rPr>
              <w:t xml:space="preserve">Interventions</w:t>
            </w:r>
          </w:p>
        </w:tc>
        <w:tc>
          <w:tcPr>
            <w:tcW w:w="3829" w:type="dxa"/>
            <w:shd w:val="clear" w:color="auto" w:fill="8DB3E1"/>
          </w:tcPr>
          <w:p>
            <w:pPr>
              <w:pStyle w:val="TableParagraph"/>
              <w:spacing w:line="220"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0" w:lineRule="exact"/>
              <w:ind w:start="106"/>
              <w:rPr>
                <w:b/>
                <w:sz w:val="20"/>
              </w:rPr>
            </w:pPr>
            <w:r>
              <w:rPr>
                <w:b/>
                <w:sz w:val="20"/>
              </w:rPr>
              <w:t xml:space="preserve">Évaluation </w:t>
            </w:r>
            <w:r>
              <w:rPr>
                <w:b/>
                <w:sz w:val="20"/>
              </w:rPr>
              <w:t xml:space="preserve">et </w:t>
            </w:r>
            <w:r>
              <w:rPr>
                <w:b/>
                <w:sz w:val="20"/>
              </w:rPr>
              <w:t xml:space="preserve">financement</w:t>
            </w:r>
          </w:p>
        </w:tc>
      </w:tr>
      <w:tr w:rsidR="00432386">
        <w:trPr>
          <w:trHeight w:val="8972"/>
        </w:trPr>
        <w:tc>
          <w:tcPr>
            <w:tcW w:w="3255" w:type="dxa"/>
          </w:tcPr>
          <w:p>
            <w:pPr>
              <w:pStyle w:val="TableParagraph"/>
              <w:spacing w:line="220" w:lineRule="exact"/>
              <w:ind w:start="107"/>
              <w:rPr>
                <w:sz w:val="20"/>
              </w:rPr>
            </w:pPr>
            <w:r>
              <w:rPr>
                <w:sz w:val="20"/>
              </w:rPr>
              <w:t xml:space="preserve">1998 </w:t>
            </w:r>
            <w:r>
              <w:rPr>
                <w:sz w:val="20"/>
              </w:rPr>
              <w:t xml:space="preserve">à </w:t>
            </w:r>
            <w:r>
              <w:rPr>
                <w:sz w:val="20"/>
              </w:rPr>
              <w:t xml:space="preserve">2012</w:t>
            </w:r>
          </w:p>
        </w:tc>
        <w:tc>
          <w:tcPr>
            <w:tcW w:w="3121" w:type="dxa"/>
          </w:tcPr>
          <w:p w:rsidR="00432386" w:rsidRDefault="00432386">
            <w:pPr>
              <w:pStyle w:val="TableParagraph"/>
              <w:rPr>
                <w:rFonts w:ascii="Times New Roman"/>
                <w:sz w:val="18"/>
              </w:rPr>
            </w:pPr>
          </w:p>
        </w:tc>
        <w:tc>
          <w:tcPr>
            <w:tcW w:w="1985" w:type="dxa"/>
          </w:tcPr>
          <w:p>
            <w:pPr>
              <w:pStyle w:val="TableParagraph"/>
              <w:spacing w:line="220" w:lineRule="exact"/>
              <w:ind w:start="104"/>
              <w:rPr>
                <w:sz w:val="20"/>
              </w:rPr>
            </w:pPr>
            <w:r>
              <w:rPr>
                <w:sz w:val="20"/>
              </w:rPr>
              <w:t xml:space="preserve">(fourchette, </w:t>
            </w:r>
            <w:r>
              <w:rPr>
                <w:sz w:val="20"/>
              </w:rPr>
              <w:t xml:space="preserve">0,25 </w:t>
            </w:r>
            <w:r>
              <w:rPr>
                <w:sz w:val="20"/>
              </w:rPr>
              <w:t xml:space="preserve">à</w:t>
            </w:r>
          </w:p>
          <w:p>
            <w:pPr>
              <w:pStyle w:val="TableParagraph"/>
              <w:ind w:start="104"/>
              <w:rPr>
                <w:sz w:val="20"/>
              </w:rPr>
            </w:pPr>
            <w:r>
              <w:rPr>
                <w:sz w:val="20"/>
              </w:rPr>
              <w:t xml:space="preserve">5,2 </w:t>
            </w:r>
            <w:r>
              <w:rPr>
                <w:sz w:val="20"/>
              </w:rPr>
              <w:t xml:space="preserve">ans).</w:t>
            </w:r>
          </w:p>
        </w:tc>
        <w:tc>
          <w:tcPr>
            <w:tcW w:w="3829" w:type="dxa"/>
          </w:tcPr>
          <w:p>
            <w:pPr>
              <w:pStyle w:val="TableParagraph"/>
              <w:spacing w:line="220" w:lineRule="exact"/>
              <w:ind w:start="106"/>
              <w:rPr>
                <w:sz w:val="20"/>
              </w:rPr>
            </w:pPr>
            <w:r>
              <w:rPr>
                <w:sz w:val="20"/>
              </w:rPr>
              <w:t xml:space="preserve">z-score </w:t>
            </w:r>
            <w:r>
              <w:rPr>
                <w:sz w:val="20"/>
              </w:rPr>
              <w:t xml:space="preserve">GnRH </w:t>
            </w:r>
            <w:r>
              <w:rPr>
                <w:sz w:val="20"/>
              </w:rPr>
              <w:t xml:space="preserve">analogue : </w:t>
            </w:r>
            <w:r>
              <w:rPr>
                <w:sz w:val="20"/>
              </w:rPr>
              <w:t xml:space="preserve">0.28 </w:t>
            </w:r>
            <w:r>
              <w:rPr>
                <w:sz w:val="20"/>
              </w:rPr>
              <w:t xml:space="preserve">(0.90),</w:t>
            </w:r>
          </w:p>
          <w:p>
            <w:pPr>
              <w:pStyle w:val="TableParagraph"/>
              <w:ind w:start="106"/>
              <w:rPr>
                <w:sz w:val="20"/>
              </w:rPr>
            </w:pPr>
            <w:r>
              <w:rPr>
                <w:sz w:val="20"/>
              </w:rPr>
              <w:t xml:space="preserve">hormones d'</w:t>
            </w:r>
            <w:r>
              <w:rPr>
                <w:sz w:val="20"/>
              </w:rPr>
              <w:t xml:space="preserve">affirmation du genre </w:t>
            </w:r>
            <w:r>
              <w:rPr>
                <w:sz w:val="20"/>
              </w:rPr>
              <w:t xml:space="preserve">: </w:t>
            </w:r>
            <w:r>
              <w:rPr>
                <w:sz w:val="20"/>
              </w:rPr>
              <w:t xml:space="preserve">−0.50 </w:t>
            </w:r>
            <w:r>
              <w:rPr>
                <w:sz w:val="20"/>
              </w:rPr>
              <w:t xml:space="preserve">(0.81)</w:t>
            </w:r>
          </w:p>
          <w:p>
            <w:pPr>
              <w:pStyle w:val="TableParagraph"/>
              <w:spacing w:before="1"/>
              <w:ind w:start="106"/>
              <w:rPr>
                <w:sz w:val="20"/>
              </w:rPr>
            </w:pPr>
            <w:r>
              <w:rPr>
                <w:sz w:val="20"/>
              </w:rPr>
              <w:t xml:space="preserve">(p=0.004)</w:t>
            </w:r>
          </w:p>
          <w:p>
            <w:pPr>
              <w:pStyle w:val="TableParagraph"/>
              <w:ind w:start="106"/>
              <w:rPr>
                <w:b/>
                <w:sz w:val="20"/>
              </w:rPr>
            </w:pPr>
            <w:r>
              <w:rPr>
                <w:b/>
                <w:sz w:val="20"/>
              </w:rPr>
              <w:t xml:space="preserve">Densité </w:t>
            </w:r>
            <w:r>
              <w:rPr>
                <w:b/>
                <w:sz w:val="20"/>
              </w:rPr>
              <w:t xml:space="preserve">minérale </w:t>
            </w:r>
            <w:r>
              <w:rPr>
                <w:b/>
                <w:sz w:val="20"/>
              </w:rPr>
              <w:t xml:space="preserve">osseuse </w:t>
            </w:r>
            <w:r>
              <w:rPr>
                <w:b/>
                <w:sz w:val="20"/>
              </w:rPr>
              <w:t xml:space="preserve">(DMO) </w:t>
            </w:r>
            <w:r>
              <w:rPr>
                <w:b/>
                <w:sz w:val="20"/>
              </w:rPr>
              <w:t xml:space="preserve">de la colonne </w:t>
            </w:r>
            <w:r>
              <w:rPr>
                <w:b/>
                <w:sz w:val="20"/>
                <w:vertAlign w:val="superscript"/>
              </w:rPr>
              <w:t xml:space="preserve">lombaire1</w:t>
            </w:r>
          </w:p>
          <w:p>
            <w:pPr>
              <w:pStyle w:val="TableParagraph"/>
              <w:ind w:start="106" w:end="155"/>
              <w:rPr>
                <w:sz w:val="20"/>
              </w:rPr>
            </w:pPr>
            <w:r>
              <w:rPr>
                <w:sz w:val="20"/>
              </w:rPr>
              <w:t xml:space="preserve">Changement entre le début de l'administration d'un analogue de la GnRH </w:t>
            </w:r>
            <w:r>
              <w:rPr>
                <w:sz w:val="20"/>
              </w:rPr>
              <w:t xml:space="preserve">(âge moyen 14,9±1,9) et le début de l'administration d'</w:t>
            </w:r>
            <w:r>
              <w:rPr>
                <w:sz w:val="20"/>
              </w:rPr>
              <w:t xml:space="preserve">hormones d'affirmation du </w:t>
            </w:r>
            <w:r>
              <w:rPr>
                <w:sz w:val="20"/>
              </w:rPr>
              <w:t xml:space="preserve">genre </w:t>
            </w:r>
            <w:r>
              <w:rPr>
                <w:sz w:val="20"/>
              </w:rPr>
              <w:t xml:space="preserve">(âge moyen </w:t>
            </w:r>
            <w:r>
              <w:rPr>
                <w:sz w:val="20"/>
              </w:rPr>
              <w:t xml:space="preserve">16,6±1,4) </w:t>
            </w:r>
            <w:r>
              <w:rPr>
                <w:sz w:val="20"/>
              </w:rPr>
              <w:t xml:space="preserve">chez les </w:t>
            </w:r>
            <w:r>
              <w:rPr>
                <w:sz w:val="20"/>
              </w:rPr>
              <w:t xml:space="preserve">transfemmes </w:t>
            </w:r>
            <w:r>
              <w:rPr>
                <w:sz w:val="20"/>
              </w:rPr>
              <w:t xml:space="preserve">(moyenne </w:t>
            </w:r>
            <w:r>
              <w:rPr>
                <w:sz w:val="20"/>
              </w:rPr>
              <w:t xml:space="preserve">[±SD]) : </w:t>
            </w:r>
            <w:r>
              <w:rPr>
                <w:sz w:val="20"/>
              </w:rPr>
              <w:t xml:space="preserve">Analogue de la </w:t>
            </w:r>
            <w:r>
              <w:rPr>
                <w:sz w:val="20"/>
              </w:rPr>
              <w:t xml:space="preserve">GnRH </w:t>
            </w:r>
            <w:r>
              <w:rPr>
                <w:sz w:val="20"/>
              </w:rPr>
              <w:t xml:space="preserve">: </w:t>
            </w:r>
            <w:r>
              <w:rPr>
                <w:sz w:val="20"/>
              </w:rPr>
              <w:t xml:space="preserve">0,84 </w:t>
            </w:r>
            <w:r>
              <w:rPr>
                <w:sz w:val="20"/>
              </w:rPr>
              <w:t xml:space="preserve">(0,13) </w:t>
            </w:r>
            <w:r>
              <w:rPr>
                <w:sz w:val="20"/>
              </w:rPr>
              <w:t xml:space="preserve">g/m2,</w:t>
            </w:r>
          </w:p>
          <w:p>
            <w:pPr>
              <w:pStyle w:val="TableParagraph"/>
              <w:spacing w:before="1"/>
              <w:ind w:start="106" w:end="213"/>
              <w:rPr>
                <w:sz w:val="20"/>
              </w:rPr>
            </w:pPr>
            <w:r>
              <w:rPr>
                <w:sz w:val="20"/>
              </w:rPr>
              <w:t xml:space="preserve">hormones d'affirmation du genre : 0,84 (0,11) </w:t>
            </w:r>
            <w:r>
              <w:rPr>
                <w:sz w:val="20"/>
              </w:rPr>
              <w:t xml:space="preserve">g/m2 </w:t>
            </w:r>
            <w:r>
              <w:rPr>
                <w:sz w:val="20"/>
              </w:rPr>
              <w:t xml:space="preserve">(NS) ;</w:t>
            </w:r>
          </w:p>
          <w:p>
            <w:pPr>
              <w:pStyle w:val="TableParagraph"/>
              <w:spacing w:line="228" w:lineRule="exact"/>
              <w:ind w:start="106"/>
              <w:rPr>
                <w:sz w:val="20"/>
              </w:rPr>
            </w:pPr>
            <w:r>
              <w:rPr>
                <w:sz w:val="20"/>
              </w:rPr>
              <w:t xml:space="preserve">z-score </w:t>
            </w:r>
            <w:r>
              <w:rPr>
                <w:sz w:val="20"/>
              </w:rPr>
              <w:t xml:space="preserve">GnRH </w:t>
            </w:r>
            <w:r>
              <w:rPr>
                <w:sz w:val="20"/>
              </w:rPr>
              <w:t xml:space="preserve">analogue : </w:t>
            </w:r>
            <w:r>
              <w:rPr>
                <w:sz w:val="20"/>
              </w:rPr>
              <w:t xml:space="preserve">−0.77 </w:t>
            </w:r>
            <w:r>
              <w:rPr>
                <w:sz w:val="20"/>
              </w:rPr>
              <w:t xml:space="preserve">(0.89),</w:t>
            </w:r>
          </w:p>
          <w:p>
            <w:pPr>
              <w:pStyle w:val="TableParagraph"/>
              <w:spacing w:before="1"/>
              <w:ind w:start="106"/>
              <w:rPr>
                <w:sz w:val="20"/>
              </w:rPr>
            </w:pPr>
            <w:r>
              <w:rPr>
                <w:sz w:val="20"/>
              </w:rPr>
              <w:t xml:space="preserve">hormones d'</w:t>
            </w:r>
            <w:r>
              <w:rPr>
                <w:sz w:val="20"/>
              </w:rPr>
              <w:t xml:space="preserve">affirmation du genre </w:t>
            </w:r>
            <w:r>
              <w:rPr>
                <w:sz w:val="20"/>
              </w:rPr>
              <w:t xml:space="preserve">: </w:t>
            </w:r>
            <w:r>
              <w:rPr>
                <w:sz w:val="20"/>
              </w:rPr>
              <w:t xml:space="preserve">−1.01 </w:t>
            </w:r>
            <w:r>
              <w:rPr>
                <w:sz w:val="20"/>
              </w:rPr>
              <w:t xml:space="preserve">(0.98)</w:t>
            </w:r>
          </w:p>
          <w:p>
            <w:pPr>
              <w:pStyle w:val="TableParagraph"/>
              <w:ind w:start="106"/>
              <w:rPr>
                <w:sz w:val="20"/>
              </w:rPr>
            </w:pPr>
            <w:r>
              <w:rPr>
                <w:sz w:val="20"/>
              </w:rPr>
              <w:t xml:space="preserve">(NS)</w:t>
            </w:r>
          </w:p>
          <w:p>
            <w:pPr>
              <w:pStyle w:val="TableParagraph"/>
              <w:ind w:start="106" w:end="165"/>
              <w:rPr>
                <w:sz w:val="20"/>
              </w:rPr>
            </w:pPr>
            <w:r>
              <w:rPr>
                <w:sz w:val="20"/>
              </w:rPr>
              <w:t xml:space="preserve">Changement entre le début de l'administration d'un analogue de la GnRH </w:t>
            </w:r>
            <w:r>
              <w:rPr>
                <w:sz w:val="20"/>
              </w:rPr>
              <w:t xml:space="preserve">(</w:t>
            </w:r>
            <w:r>
              <w:rPr>
                <w:sz w:val="20"/>
              </w:rPr>
              <w:t xml:space="preserve">âge </w:t>
            </w:r>
            <w:r>
              <w:rPr>
                <w:sz w:val="20"/>
              </w:rPr>
              <w:t xml:space="preserve">moyen </w:t>
            </w:r>
            <w:r>
              <w:rPr>
                <w:sz w:val="20"/>
              </w:rPr>
              <w:t xml:space="preserve">15,0±2,0) </w:t>
            </w:r>
            <w:r>
              <w:rPr>
                <w:sz w:val="20"/>
              </w:rPr>
              <w:t xml:space="preserve">et le </w:t>
            </w:r>
            <w:r>
              <w:rPr>
                <w:sz w:val="20"/>
              </w:rPr>
              <w:t xml:space="preserve">début de l'administration d'</w:t>
            </w:r>
            <w:r>
              <w:rPr>
                <w:sz w:val="20"/>
              </w:rPr>
              <w:t xml:space="preserve">hormones d'affirmation du </w:t>
            </w:r>
            <w:r>
              <w:rPr>
                <w:sz w:val="20"/>
              </w:rPr>
              <w:t xml:space="preserve">genre </w:t>
            </w:r>
            <w:r>
              <w:rPr>
                <w:sz w:val="20"/>
              </w:rPr>
              <w:t xml:space="preserve">(âge moyen </w:t>
            </w:r>
            <w:r>
              <w:rPr>
                <w:sz w:val="20"/>
              </w:rPr>
              <w:t xml:space="preserve">16,4±2,3) chez les transmaliens (moyenne [±SD]) : </w:t>
            </w:r>
            <w:r>
              <w:rPr>
                <w:sz w:val="20"/>
              </w:rPr>
              <w:t xml:space="preserve">Analogue de la </w:t>
            </w:r>
            <w:r>
              <w:rPr>
                <w:sz w:val="20"/>
              </w:rPr>
              <w:t xml:space="preserve">GnRH </w:t>
            </w:r>
            <w:r>
              <w:rPr>
                <w:sz w:val="20"/>
              </w:rPr>
              <w:t xml:space="preserve">: </w:t>
            </w:r>
            <w:r>
              <w:rPr>
                <w:sz w:val="20"/>
              </w:rPr>
              <w:t xml:space="preserve">0,95 </w:t>
            </w:r>
            <w:r>
              <w:rPr>
                <w:sz w:val="20"/>
              </w:rPr>
              <w:t xml:space="preserve">(0,12) </w:t>
            </w:r>
            <w:r>
              <w:rPr>
                <w:sz w:val="20"/>
              </w:rPr>
              <w:t xml:space="preserve">g/m2,</w:t>
            </w:r>
          </w:p>
          <w:p>
            <w:pPr>
              <w:pStyle w:val="TableParagraph"/>
              <w:ind w:start="106" w:end="213"/>
              <w:rPr>
                <w:sz w:val="20"/>
              </w:rPr>
            </w:pPr>
            <w:r>
              <w:rPr>
                <w:sz w:val="20"/>
              </w:rPr>
              <w:t xml:space="preserve">hormones d'affirmation du genre : 0,91 (0,10) </w:t>
            </w:r>
            <w:r>
              <w:rPr>
                <w:sz w:val="20"/>
              </w:rPr>
              <w:t xml:space="preserve">g/m2 </w:t>
            </w:r>
            <w:r>
              <w:rPr>
                <w:sz w:val="20"/>
              </w:rPr>
              <w:t xml:space="preserve">(p=0,006) ;</w:t>
            </w:r>
          </w:p>
          <w:p>
            <w:pPr>
              <w:pStyle w:val="TableParagraph"/>
              <w:spacing w:line="228" w:lineRule="exact"/>
              <w:ind w:start="106"/>
              <w:rPr>
                <w:sz w:val="20"/>
              </w:rPr>
            </w:pPr>
            <w:r>
              <w:rPr>
                <w:sz w:val="20"/>
              </w:rPr>
              <w:t xml:space="preserve">z-score </w:t>
            </w:r>
            <w:r>
              <w:rPr>
                <w:sz w:val="20"/>
              </w:rPr>
              <w:t xml:space="preserve">GnRH </w:t>
            </w:r>
            <w:r>
              <w:rPr>
                <w:sz w:val="20"/>
              </w:rPr>
              <w:t xml:space="preserve">analogue : </w:t>
            </w:r>
            <w:r>
              <w:rPr>
                <w:sz w:val="20"/>
              </w:rPr>
              <w:t xml:space="preserve">0.</w:t>
            </w:r>
            <w:r>
              <w:rPr>
                <w:sz w:val="20"/>
              </w:rPr>
              <w:t xml:space="preserve">17 </w:t>
            </w:r>
            <w:r>
              <w:rPr>
                <w:sz w:val="20"/>
              </w:rPr>
              <w:t xml:space="preserve">(1.18),</w:t>
            </w:r>
          </w:p>
          <w:p>
            <w:pPr>
              <w:pStyle w:val="TableParagraph"/>
              <w:spacing w:before="1"/>
              <w:ind w:start="106"/>
              <w:rPr>
                <w:sz w:val="20"/>
              </w:rPr>
            </w:pPr>
            <w:r>
              <w:rPr>
                <w:sz w:val="20"/>
              </w:rPr>
              <w:t xml:space="preserve">hormones d'</w:t>
            </w:r>
            <w:r>
              <w:rPr>
                <w:sz w:val="20"/>
              </w:rPr>
              <w:t xml:space="preserve">affirmation du genre </w:t>
            </w:r>
            <w:r>
              <w:rPr>
                <w:sz w:val="20"/>
              </w:rPr>
              <w:t xml:space="preserve">: </w:t>
            </w:r>
            <w:r>
              <w:rPr>
                <w:sz w:val="20"/>
              </w:rPr>
              <w:t xml:space="preserve">−0.72 </w:t>
            </w:r>
            <w:r>
              <w:rPr>
                <w:sz w:val="20"/>
              </w:rPr>
              <w:t xml:space="preserve">(0.99)</w:t>
            </w:r>
          </w:p>
          <w:p>
            <w:pPr>
              <w:pStyle w:val="TableParagraph"/>
              <w:ind w:start="106"/>
              <w:rPr>
                <w:sz w:val="20"/>
              </w:rPr>
            </w:pPr>
            <w:r>
              <w:rPr>
                <w:sz w:val="20"/>
              </w:rPr>
              <w:t xml:space="preserve">(p&lt;0.001)</w:t>
            </w:r>
          </w:p>
          <w:p w:rsidR="00432386" w:rsidRDefault="00432386">
            <w:pPr>
              <w:pStyle w:val="TableParagraph"/>
              <w:spacing w:before="1"/>
              <w:rPr>
                <w:sz w:val="20"/>
              </w:rPr>
            </w:pPr>
          </w:p>
          <w:p>
            <w:pPr>
              <w:pStyle w:val="TableParagraph"/>
              <w:ind w:start="106"/>
              <w:rPr>
                <w:b/>
                <w:i/>
                <w:sz w:val="20"/>
              </w:rPr>
            </w:pPr>
            <w:r>
              <w:rPr>
                <w:b/>
                <w:i/>
                <w:sz w:val="20"/>
              </w:rPr>
              <w:t xml:space="preserve">Densité </w:t>
            </w:r>
            <w:r>
              <w:rPr>
                <w:b/>
                <w:i/>
                <w:sz w:val="20"/>
              </w:rPr>
              <w:t xml:space="preserve">osseuse </w:t>
            </w:r>
            <w:r>
              <w:rPr>
                <w:b/>
                <w:i/>
                <w:sz w:val="20"/>
              </w:rPr>
              <w:t xml:space="preserve">; </w:t>
            </w:r>
            <w:r>
              <w:rPr>
                <w:b/>
                <w:i/>
                <w:sz w:val="20"/>
              </w:rPr>
              <w:t xml:space="preserve">fémorale</w:t>
            </w:r>
          </w:p>
          <w:p>
            <w:pPr>
              <w:pStyle w:val="TableParagraph"/>
              <w:spacing w:before="1" w:line="229" w:lineRule="exact"/>
              <w:ind w:start="106"/>
              <w:rPr>
                <w:b/>
                <w:sz w:val="20"/>
              </w:rPr>
            </w:pPr>
            <w:r>
              <w:rPr>
                <w:b/>
                <w:sz w:val="20"/>
              </w:rPr>
              <w:t xml:space="preserve">Zone </w:t>
            </w:r>
            <w:r>
              <w:rPr>
                <w:b/>
                <w:sz w:val="20"/>
              </w:rPr>
              <w:t xml:space="preserve">fémorale </w:t>
            </w:r>
            <w:r>
              <w:rPr>
                <w:b/>
                <w:sz w:val="20"/>
              </w:rPr>
              <w:t xml:space="preserve">BMAD1</w:t>
            </w:r>
          </w:p>
          <w:p>
            <w:pPr>
              <w:pStyle w:val="TableParagraph"/>
              <w:ind w:start="106" w:end="155"/>
              <w:rPr>
                <w:sz w:val="20"/>
              </w:rPr>
            </w:pPr>
            <w:r>
              <w:rPr>
                <w:sz w:val="20"/>
              </w:rPr>
              <w:t xml:space="preserve">Changement entre le début de l'administration d'un analogue de la GnRH </w:t>
            </w:r>
            <w:r>
              <w:rPr>
                <w:sz w:val="20"/>
              </w:rPr>
              <w:t xml:space="preserve">(âge moyen 14,9±1,9) et le début de l'administration d'</w:t>
            </w:r>
            <w:r>
              <w:rPr>
                <w:sz w:val="20"/>
              </w:rPr>
              <w:t xml:space="preserve">hormones d'affirmation du </w:t>
            </w:r>
            <w:r>
              <w:rPr>
                <w:sz w:val="20"/>
              </w:rPr>
              <w:t xml:space="preserve">genre </w:t>
            </w:r>
            <w:r>
              <w:rPr>
                <w:sz w:val="20"/>
              </w:rPr>
              <w:t xml:space="preserve">(âge moyen </w:t>
            </w:r>
            <w:r>
              <w:rPr>
                <w:sz w:val="20"/>
              </w:rPr>
              <w:t xml:space="preserve">16,6±1,4) </w:t>
            </w:r>
            <w:r>
              <w:rPr>
                <w:sz w:val="20"/>
              </w:rPr>
              <w:t xml:space="preserve">chez les </w:t>
            </w:r>
            <w:r>
              <w:rPr>
                <w:sz w:val="20"/>
              </w:rPr>
              <w:t xml:space="preserve">transfemmes </w:t>
            </w:r>
            <w:r>
              <w:rPr>
                <w:sz w:val="20"/>
              </w:rPr>
              <w:t xml:space="preserve">(moyenne </w:t>
            </w:r>
            <w:r>
              <w:rPr>
                <w:sz w:val="20"/>
              </w:rPr>
              <w:t xml:space="preserve">[±SD]), </w:t>
            </w:r>
            <w:r>
              <w:rPr>
                <w:sz w:val="20"/>
              </w:rPr>
              <w:t xml:space="preserve">analogue de la </w:t>
            </w:r>
            <w:r>
              <w:rPr>
                <w:sz w:val="20"/>
              </w:rPr>
              <w:t xml:space="preserve">GnRH </w:t>
            </w:r>
            <w:r>
              <w:rPr>
                <w:sz w:val="20"/>
              </w:rPr>
              <w:t xml:space="preserve">: </w:t>
            </w:r>
            <w:r>
              <w:rPr>
                <w:sz w:val="20"/>
              </w:rPr>
              <w:t xml:space="preserve">0,28 </w:t>
            </w:r>
            <w:r>
              <w:rPr>
                <w:sz w:val="20"/>
              </w:rPr>
              <w:t xml:space="preserve">(0,04) </w:t>
            </w:r>
            <w:r>
              <w:rPr>
                <w:sz w:val="20"/>
              </w:rPr>
              <w:t xml:space="preserve">g/cm3,</w:t>
            </w:r>
          </w:p>
          <w:p>
            <w:pPr>
              <w:pStyle w:val="TableParagraph"/>
              <w:spacing w:before="1"/>
              <w:ind w:start="106" w:end="213"/>
              <w:rPr>
                <w:sz w:val="20"/>
              </w:rPr>
            </w:pPr>
            <w:r>
              <w:rPr>
                <w:sz w:val="20"/>
              </w:rPr>
              <w:t xml:space="preserve">hormones d'affirmation du genre : 0,26 (0,04) </w:t>
            </w:r>
            <w:r>
              <w:rPr>
                <w:sz w:val="20"/>
              </w:rPr>
              <w:t xml:space="preserve">g/cm3 </w:t>
            </w:r>
            <w:r>
              <w:rPr>
                <w:sz w:val="20"/>
              </w:rPr>
              <w:t xml:space="preserve">(NS) ;</w:t>
            </w:r>
          </w:p>
          <w:p>
            <w:pPr>
              <w:pStyle w:val="TableParagraph"/>
              <w:spacing w:line="228" w:lineRule="exact"/>
              <w:ind w:start="106"/>
              <w:rPr>
                <w:sz w:val="20"/>
              </w:rPr>
            </w:pPr>
            <w:r>
              <w:rPr>
                <w:sz w:val="20"/>
              </w:rPr>
              <w:t xml:space="preserve">z-score </w:t>
            </w:r>
            <w:r>
              <w:rPr>
                <w:sz w:val="20"/>
              </w:rPr>
              <w:t xml:space="preserve">GnRH </w:t>
            </w:r>
            <w:r>
              <w:rPr>
                <w:sz w:val="20"/>
              </w:rPr>
              <w:t xml:space="preserve">analogue : </w:t>
            </w:r>
            <w:r>
              <w:rPr>
                <w:sz w:val="20"/>
              </w:rPr>
              <w:t xml:space="preserve">−0.93 </w:t>
            </w:r>
            <w:r>
              <w:rPr>
                <w:sz w:val="20"/>
              </w:rPr>
              <w:t xml:space="preserve">(1.22),</w:t>
            </w:r>
          </w:p>
          <w:p>
            <w:pPr>
              <w:pStyle w:val="TableParagraph"/>
              <w:spacing w:before="1"/>
              <w:ind w:start="106"/>
              <w:rPr>
                <w:sz w:val="20"/>
              </w:rPr>
            </w:pPr>
            <w:r>
              <w:rPr>
                <w:sz w:val="20"/>
              </w:rPr>
              <w:t xml:space="preserve">hormones d'</w:t>
            </w:r>
            <w:r>
              <w:rPr>
                <w:sz w:val="20"/>
              </w:rPr>
              <w:t xml:space="preserve">affirmation du genre </w:t>
            </w:r>
            <w:r>
              <w:rPr>
                <w:sz w:val="20"/>
              </w:rPr>
              <w:t xml:space="preserve">: </w:t>
            </w:r>
            <w:r>
              <w:rPr>
                <w:sz w:val="20"/>
              </w:rPr>
              <w:t xml:space="preserve">−1.57 </w:t>
            </w:r>
            <w:r>
              <w:rPr>
                <w:sz w:val="20"/>
              </w:rPr>
              <w:t xml:space="preserve">(1.74)</w:t>
            </w:r>
          </w:p>
          <w:p>
            <w:pPr>
              <w:pStyle w:val="TableParagraph"/>
              <w:ind w:start="106"/>
              <w:rPr>
                <w:sz w:val="20"/>
              </w:rPr>
            </w:pPr>
            <w:r>
              <w:rPr>
                <w:sz w:val="20"/>
              </w:rPr>
              <w:t xml:space="preserve">(p=NS)</w:t>
            </w:r>
          </w:p>
          <w:p>
            <w:pPr>
              <w:pStyle w:val="TableParagraph"/>
              <w:spacing w:line="220" w:lineRule="exact"/>
              <w:ind w:start="106"/>
              <w:rPr>
                <w:sz w:val="20"/>
              </w:rPr>
            </w:pPr>
            <w:r>
              <w:rPr>
                <w:sz w:val="20"/>
              </w:rPr>
              <w:t xml:space="preserve">Changement </w:t>
            </w:r>
            <w:r>
              <w:rPr>
                <w:sz w:val="20"/>
              </w:rPr>
              <w:t xml:space="preserve">depuis le </w:t>
            </w:r>
            <w:r>
              <w:rPr>
                <w:sz w:val="20"/>
              </w:rPr>
              <w:t xml:space="preserve">début de la prise d'un </w:t>
            </w:r>
            <w:r>
              <w:rPr>
                <w:sz w:val="20"/>
              </w:rPr>
              <w:t xml:space="preserve">analogue de la </w:t>
            </w:r>
            <w:r>
              <w:rPr>
                <w:sz w:val="20"/>
              </w:rPr>
              <w:t xml:space="preserve">GnRH</w:t>
            </w:r>
          </w:p>
        </w:tc>
        <w:tc>
          <w:tcPr>
            <w:tcW w:w="3203" w:type="dxa"/>
          </w:tcPr>
          <w:p>
            <w:pPr>
              <w:pStyle w:val="TableParagraph"/>
              <w:ind w:start="106" w:end="105"/>
              <w:rPr>
                <w:sz w:val="20"/>
              </w:rPr>
            </w:pPr>
            <w:r>
              <w:rPr>
                <w:sz w:val="20"/>
              </w:rPr>
              <w:t xml:space="preserve">Autres commentaires : </w:t>
            </w:r>
            <w:r>
              <w:rPr>
                <w:sz w:val="20"/>
              </w:rPr>
              <w:t xml:space="preserve">Comparaison </w:t>
            </w:r>
            <w:r>
              <w:rPr>
                <w:sz w:val="20"/>
              </w:rPr>
              <w:t xml:space="preserve">au sein d'une même personne</w:t>
            </w:r>
            <w:r>
              <w:rPr>
                <w:sz w:val="20"/>
              </w:rPr>
              <w:t xml:space="preserve">. Petit nombre de </w:t>
            </w:r>
            <w:r>
              <w:rPr>
                <w:sz w:val="20"/>
              </w:rPr>
              <w:t xml:space="preserve">participants </w:t>
            </w:r>
            <w:r>
              <w:rPr>
                <w:sz w:val="20"/>
              </w:rPr>
              <w:t xml:space="preserve">dans </w:t>
            </w:r>
            <w:r>
              <w:rPr>
                <w:sz w:val="20"/>
              </w:rPr>
              <w:t xml:space="preserve">chaque </w:t>
            </w:r>
            <w:r>
              <w:rPr>
                <w:sz w:val="20"/>
              </w:rPr>
              <w:t xml:space="preserve">sous-groupe. </w:t>
            </w:r>
            <w:r>
              <w:rPr>
                <w:sz w:val="20"/>
              </w:rPr>
              <w:t xml:space="preserve">Aucun </w:t>
            </w:r>
            <w:r>
              <w:rPr>
                <w:sz w:val="20"/>
              </w:rPr>
              <w:t xml:space="preserve">traitement concomitant ou </w:t>
            </w:r>
            <w:r>
              <w:rPr>
                <w:sz w:val="20"/>
              </w:rPr>
              <w:t xml:space="preserve">comorbidité </w:t>
            </w:r>
            <w:r>
              <w:rPr>
                <w:sz w:val="20"/>
              </w:rPr>
              <w:t xml:space="preserve">n'a </w:t>
            </w:r>
            <w:r>
              <w:rPr>
                <w:sz w:val="20"/>
              </w:rPr>
              <w:t xml:space="preserve">été </w:t>
            </w:r>
            <w:r>
              <w:rPr>
                <w:sz w:val="20"/>
              </w:rPr>
              <w:t xml:space="preserve">signalé.</w:t>
            </w:r>
          </w:p>
          <w:p w:rsidR="00432386" w:rsidRDefault="00432386">
            <w:pPr>
              <w:pStyle w:val="TableParagraph"/>
              <w:spacing w:before="1"/>
              <w:rPr>
                <w:sz w:val="19"/>
              </w:rPr>
            </w:pPr>
          </w:p>
          <w:p>
            <w:pPr>
              <w:pStyle w:val="TableParagraph"/>
              <w:ind w:start="106" w:end="923"/>
              <w:rPr>
                <w:sz w:val="20"/>
              </w:rPr>
            </w:pPr>
            <w:r>
              <w:rPr>
                <w:sz w:val="20"/>
              </w:rPr>
              <w:t xml:space="preserve">Source </w:t>
            </w:r>
            <w:r>
              <w:rPr>
                <w:sz w:val="20"/>
              </w:rPr>
              <w:t xml:space="preserve">de </w:t>
            </w:r>
            <w:r>
              <w:rPr>
                <w:sz w:val="20"/>
              </w:rPr>
              <w:t xml:space="preserve">financement : </w:t>
            </w:r>
            <w:r>
              <w:rPr>
                <w:sz w:val="20"/>
              </w:rPr>
              <w:t xml:space="preserve">Non </w:t>
            </w:r>
            <w:r>
              <w:rPr>
                <w:sz w:val="20"/>
              </w:rPr>
              <w:t xml:space="preserve">divulgué</w:t>
            </w:r>
          </w:p>
        </w:tc>
      </w:tr>
    </w:tbl>
    <w:p w:rsidR="00432386" w:rsidRDefault="00432386">
      <w:pPr>
        <w:rPr>
          <w:sz w:val="20"/>
        </w:rPr>
        <w:sectPr w:rsidR="00432386">
          <w:type w:val="continuous"/>
          <w:pgSz w:w="16840" w:h="11910" w:orient="landscape"/>
          <w:pgMar w:top="980" w:right="500" w:bottom="1492"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3255"/>
        <w:gridCol w:w="3121"/>
        <w:gridCol w:w="1985"/>
        <w:gridCol w:w="3829"/>
        <w:gridCol w:w="3203"/>
      </w:tblGrid>
      <w:tr w:rsidR="00432386">
        <w:trPr>
          <w:trHeight w:val="290"/>
        </w:trPr>
        <w:tc>
          <w:tcPr>
            <w:tcW w:w="3255"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21" w:type="dxa"/>
            <w:shd w:val="clear" w:color="auto" w:fill="8DB3E1"/>
          </w:tcPr>
          <w:p>
            <w:pPr>
              <w:pStyle w:val="TableParagraph"/>
              <w:spacing w:line="220" w:lineRule="exact"/>
              <w:ind w:start="107"/>
              <w:rPr>
                <w:b/>
                <w:sz w:val="20"/>
              </w:rPr>
            </w:pPr>
            <w:r>
              <w:rPr>
                <w:b/>
                <w:sz w:val="20"/>
              </w:rPr>
              <w:t xml:space="preserve">Population</w:t>
            </w:r>
          </w:p>
        </w:tc>
        <w:tc>
          <w:tcPr>
            <w:tcW w:w="1985" w:type="dxa"/>
            <w:shd w:val="clear" w:color="auto" w:fill="8DB3E1"/>
          </w:tcPr>
          <w:p>
            <w:pPr>
              <w:pStyle w:val="TableParagraph"/>
              <w:spacing w:line="220" w:lineRule="exact"/>
              <w:ind w:start="104"/>
              <w:rPr>
                <w:b/>
                <w:sz w:val="20"/>
              </w:rPr>
            </w:pPr>
            <w:r>
              <w:rPr>
                <w:b/>
                <w:sz w:val="20"/>
              </w:rPr>
              <w:t xml:space="preserve">Interventions</w:t>
            </w:r>
          </w:p>
        </w:tc>
        <w:tc>
          <w:tcPr>
            <w:tcW w:w="3829" w:type="dxa"/>
            <w:shd w:val="clear" w:color="auto" w:fill="8DB3E1"/>
          </w:tcPr>
          <w:p>
            <w:pPr>
              <w:pStyle w:val="TableParagraph"/>
              <w:spacing w:line="220"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0" w:lineRule="exact"/>
              <w:ind w:start="106"/>
              <w:rPr>
                <w:b/>
                <w:sz w:val="20"/>
              </w:rPr>
            </w:pPr>
            <w:r>
              <w:rPr>
                <w:b/>
                <w:sz w:val="20"/>
              </w:rPr>
              <w:t xml:space="preserve">Évaluation </w:t>
            </w:r>
            <w:r>
              <w:rPr>
                <w:b/>
                <w:sz w:val="20"/>
              </w:rPr>
              <w:t xml:space="preserve">et </w:t>
            </w:r>
            <w:r>
              <w:rPr>
                <w:b/>
                <w:sz w:val="20"/>
              </w:rPr>
              <w:t xml:space="preserve">financement</w:t>
            </w:r>
          </w:p>
        </w:tc>
      </w:tr>
      <w:tr w:rsidR="00432386">
        <w:trPr>
          <w:trHeight w:val="6901"/>
        </w:trPr>
        <w:tc>
          <w:tcPr>
            <w:tcW w:w="3255"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1985" w:type="dxa"/>
          </w:tcPr>
          <w:p w:rsidR="00432386" w:rsidRDefault="00432386">
            <w:pPr>
              <w:pStyle w:val="TableParagraph"/>
              <w:rPr>
                <w:rFonts w:ascii="Times New Roman"/>
                <w:sz w:val="18"/>
              </w:rPr>
            </w:pPr>
          </w:p>
        </w:tc>
        <w:tc>
          <w:tcPr>
            <w:tcW w:w="3829" w:type="dxa"/>
          </w:tcPr>
          <w:p>
            <w:pPr>
              <w:pStyle w:val="TableParagraph"/>
              <w:ind w:start="106" w:end="165"/>
              <w:rPr>
                <w:sz w:val="20"/>
              </w:rPr>
            </w:pPr>
            <w:r>
              <w:rPr>
                <w:sz w:val="20"/>
              </w:rPr>
              <w:t xml:space="preserve">(</w:t>
            </w:r>
            <w:r>
              <w:rPr>
                <w:sz w:val="20"/>
              </w:rPr>
              <w:t xml:space="preserve">âge </w:t>
            </w:r>
            <w:r>
              <w:rPr>
                <w:sz w:val="20"/>
              </w:rPr>
              <w:t xml:space="preserve">moyen </w:t>
            </w:r>
            <w:r>
              <w:rPr>
                <w:sz w:val="20"/>
              </w:rPr>
              <w:t xml:space="preserve">15,0±2,0) </w:t>
            </w:r>
            <w:r>
              <w:rPr>
                <w:sz w:val="20"/>
              </w:rPr>
              <w:t xml:space="preserve">au </w:t>
            </w:r>
            <w:r>
              <w:rPr>
                <w:sz w:val="20"/>
              </w:rPr>
              <w:t xml:space="preserve">début de la prise d'</w:t>
            </w:r>
            <w:r>
              <w:rPr>
                <w:sz w:val="20"/>
              </w:rPr>
              <w:t xml:space="preserve">hormones d'affirmation du </w:t>
            </w:r>
            <w:r>
              <w:rPr>
                <w:sz w:val="20"/>
              </w:rPr>
              <w:t xml:space="preserve">genre </w:t>
            </w:r>
            <w:r>
              <w:rPr>
                <w:sz w:val="20"/>
              </w:rPr>
              <w:t xml:space="preserve">(âge moyen </w:t>
            </w:r>
            <w:r>
              <w:rPr>
                <w:sz w:val="20"/>
              </w:rPr>
              <w:t xml:space="preserve">16,4±2,3) chez les transmales (moyenne [±SD]), </w:t>
            </w:r>
            <w:r>
              <w:rPr>
                <w:sz w:val="20"/>
              </w:rPr>
              <w:t xml:space="preserve">analogue de la </w:t>
            </w:r>
            <w:r>
              <w:rPr>
                <w:sz w:val="20"/>
              </w:rPr>
              <w:t xml:space="preserve">GnRH </w:t>
            </w:r>
            <w:r>
              <w:rPr>
                <w:sz w:val="20"/>
              </w:rPr>
              <w:t xml:space="preserve">: </w:t>
            </w:r>
            <w:r>
              <w:rPr>
                <w:sz w:val="20"/>
              </w:rPr>
              <w:t xml:space="preserve">0,32 </w:t>
            </w:r>
            <w:r>
              <w:rPr>
                <w:sz w:val="20"/>
              </w:rPr>
              <w:t xml:space="preserve">(0,04) </w:t>
            </w:r>
            <w:r>
              <w:rPr>
                <w:sz w:val="20"/>
              </w:rPr>
              <w:t xml:space="preserve">g/cm3,</w:t>
            </w:r>
          </w:p>
          <w:p>
            <w:pPr>
              <w:pStyle w:val="TableParagraph"/>
              <w:ind w:start="106" w:end="213"/>
              <w:rPr>
                <w:sz w:val="20"/>
              </w:rPr>
            </w:pPr>
            <w:r>
              <w:rPr>
                <w:sz w:val="20"/>
              </w:rPr>
              <w:t xml:space="preserve">hormones d'affirmation du genre : 0,31 (0,04) </w:t>
            </w:r>
            <w:r>
              <w:rPr>
                <w:sz w:val="20"/>
              </w:rPr>
              <w:t xml:space="preserve">(NS) ;</w:t>
            </w:r>
          </w:p>
          <w:p>
            <w:pPr>
              <w:pStyle w:val="TableParagraph"/>
              <w:spacing w:line="228" w:lineRule="exact"/>
              <w:ind w:start="106"/>
              <w:rPr>
                <w:sz w:val="20"/>
              </w:rPr>
            </w:pPr>
            <w:r>
              <w:rPr>
                <w:sz w:val="20"/>
              </w:rPr>
              <w:t xml:space="preserve">z-score </w:t>
            </w:r>
            <w:r>
              <w:rPr>
                <w:sz w:val="20"/>
              </w:rPr>
              <w:t xml:space="preserve">analogue de la </w:t>
            </w:r>
            <w:r>
              <w:rPr>
                <w:sz w:val="20"/>
              </w:rPr>
              <w:t xml:space="preserve">GnRH </w:t>
            </w:r>
            <w:r>
              <w:rPr>
                <w:sz w:val="20"/>
              </w:rPr>
              <w:t xml:space="preserve">: </w:t>
            </w:r>
            <w:r>
              <w:rPr>
                <w:sz w:val="20"/>
              </w:rPr>
              <w:t xml:space="preserve">0.01 </w:t>
            </w:r>
            <w:r>
              <w:rPr>
                <w:sz w:val="20"/>
              </w:rPr>
              <w:t xml:space="preserve">(0.70),</w:t>
            </w:r>
          </w:p>
          <w:p>
            <w:pPr>
              <w:pStyle w:val="TableParagraph"/>
              <w:ind w:start="106"/>
              <w:rPr>
                <w:sz w:val="20"/>
              </w:rPr>
            </w:pPr>
            <w:r>
              <w:rPr>
                <w:sz w:val="20"/>
              </w:rPr>
              <w:t xml:space="preserve">hormones d'</w:t>
            </w:r>
            <w:r>
              <w:rPr>
                <w:sz w:val="20"/>
              </w:rPr>
              <w:t xml:space="preserve">affirmation du genre </w:t>
            </w:r>
            <w:r>
              <w:rPr>
                <w:sz w:val="20"/>
              </w:rPr>
              <w:t xml:space="preserve">: </w:t>
            </w:r>
            <w:r>
              <w:rPr>
                <w:sz w:val="20"/>
              </w:rPr>
              <w:t xml:space="preserve">−0.28 </w:t>
            </w:r>
            <w:r>
              <w:rPr>
                <w:sz w:val="20"/>
              </w:rPr>
              <w:t xml:space="preserve">(0.74)</w:t>
            </w:r>
          </w:p>
          <w:p>
            <w:pPr>
              <w:pStyle w:val="TableParagraph"/>
              <w:ind w:start="106"/>
              <w:rPr>
                <w:sz w:val="20"/>
              </w:rPr>
            </w:pPr>
            <w:r>
              <w:rPr>
                <w:sz w:val="20"/>
              </w:rPr>
              <w:t xml:space="preserve">(NS)</w:t>
            </w:r>
          </w:p>
          <w:p>
            <w:pPr>
              <w:pStyle w:val="TableParagraph"/>
              <w:ind w:start="106"/>
              <w:rPr>
                <w:b/>
                <w:sz w:val="20"/>
              </w:rPr>
            </w:pPr>
            <w:r>
              <w:rPr>
                <w:b/>
                <w:sz w:val="20"/>
              </w:rPr>
              <w:t xml:space="preserve">Surface </w:t>
            </w:r>
            <w:r>
              <w:rPr>
                <w:b/>
                <w:sz w:val="20"/>
              </w:rPr>
              <w:t xml:space="preserve">fémorale </w:t>
            </w:r>
            <w:r>
              <w:rPr>
                <w:b/>
                <w:sz w:val="20"/>
              </w:rPr>
              <w:t xml:space="preserve">BMD1</w:t>
            </w:r>
          </w:p>
          <w:p>
            <w:pPr>
              <w:pStyle w:val="TableParagraph"/>
              <w:ind w:start="106" w:end="155"/>
              <w:rPr>
                <w:sz w:val="20"/>
              </w:rPr>
            </w:pPr>
            <w:r>
              <w:rPr>
                <w:sz w:val="20"/>
              </w:rPr>
              <w:t xml:space="preserve">Changement entre le début de l'administration d'un analogue de la GnRH </w:t>
            </w:r>
            <w:r>
              <w:rPr>
                <w:sz w:val="20"/>
              </w:rPr>
              <w:t xml:space="preserve">(âge moyen 14,9±1,9) et le début de l'administration d'</w:t>
            </w:r>
            <w:r>
              <w:rPr>
                <w:sz w:val="20"/>
              </w:rPr>
              <w:t xml:space="preserve">hormones d'affirmation du </w:t>
            </w:r>
            <w:r>
              <w:rPr>
                <w:sz w:val="20"/>
              </w:rPr>
              <w:t xml:space="preserve">genre </w:t>
            </w:r>
            <w:r>
              <w:rPr>
                <w:sz w:val="20"/>
              </w:rPr>
              <w:t xml:space="preserve">(âge moyen </w:t>
            </w:r>
            <w:r>
              <w:rPr>
                <w:sz w:val="20"/>
              </w:rPr>
              <w:t xml:space="preserve">16,6±1,4) </w:t>
            </w:r>
            <w:r>
              <w:rPr>
                <w:sz w:val="20"/>
              </w:rPr>
              <w:t xml:space="preserve">chez les </w:t>
            </w:r>
            <w:r>
              <w:rPr>
                <w:sz w:val="20"/>
              </w:rPr>
              <w:t xml:space="preserve">transfemmes </w:t>
            </w:r>
            <w:r>
              <w:rPr>
                <w:sz w:val="20"/>
              </w:rPr>
              <w:t xml:space="preserve">(moyenne </w:t>
            </w:r>
            <w:r>
              <w:rPr>
                <w:sz w:val="20"/>
              </w:rPr>
              <w:t xml:space="preserve">[±SD]), </w:t>
            </w:r>
            <w:r>
              <w:rPr>
                <w:sz w:val="20"/>
              </w:rPr>
              <w:t xml:space="preserve">analogue de la </w:t>
            </w:r>
            <w:r>
              <w:rPr>
                <w:sz w:val="20"/>
              </w:rPr>
              <w:t xml:space="preserve">GnRH </w:t>
            </w:r>
            <w:r>
              <w:rPr>
                <w:sz w:val="20"/>
              </w:rPr>
              <w:t xml:space="preserve">: </w:t>
            </w:r>
            <w:r>
              <w:rPr>
                <w:sz w:val="20"/>
              </w:rPr>
              <w:t xml:space="preserve">0,88 </w:t>
            </w:r>
            <w:r>
              <w:rPr>
                <w:sz w:val="20"/>
              </w:rPr>
              <w:t xml:space="preserve">(0,12) </w:t>
            </w:r>
            <w:r>
              <w:rPr>
                <w:sz w:val="20"/>
              </w:rPr>
              <w:t xml:space="preserve">g/m2,</w:t>
            </w:r>
          </w:p>
          <w:p>
            <w:pPr>
              <w:pStyle w:val="TableParagraph"/>
              <w:ind w:start="106" w:end="213"/>
              <w:rPr>
                <w:sz w:val="20"/>
              </w:rPr>
            </w:pPr>
            <w:r>
              <w:rPr>
                <w:sz w:val="20"/>
              </w:rPr>
              <w:t xml:space="preserve">hormones d'affirmation du genre : 0,87 (0,08) </w:t>
            </w:r>
            <w:r>
              <w:rPr>
                <w:sz w:val="20"/>
              </w:rPr>
              <w:t xml:space="preserve">(NS) ;</w:t>
            </w:r>
          </w:p>
          <w:p>
            <w:pPr>
              <w:pStyle w:val="TableParagraph"/>
              <w:spacing w:line="228" w:lineRule="exact"/>
              <w:ind w:start="106"/>
              <w:rPr>
                <w:sz w:val="20"/>
              </w:rPr>
            </w:pPr>
            <w:r>
              <w:rPr>
                <w:sz w:val="20"/>
              </w:rPr>
              <w:t xml:space="preserve">z-score </w:t>
            </w:r>
            <w:r>
              <w:rPr>
                <w:sz w:val="20"/>
              </w:rPr>
              <w:t xml:space="preserve">GnRH </w:t>
            </w:r>
            <w:r>
              <w:rPr>
                <w:sz w:val="20"/>
              </w:rPr>
              <w:t xml:space="preserve">analogue : </w:t>
            </w:r>
            <w:r>
              <w:rPr>
                <w:sz w:val="20"/>
              </w:rPr>
              <w:t xml:space="preserve">−0.66 </w:t>
            </w:r>
            <w:r>
              <w:rPr>
                <w:sz w:val="20"/>
              </w:rPr>
              <w:t xml:space="preserve">(0.77),</w:t>
            </w:r>
          </w:p>
          <w:p>
            <w:pPr>
              <w:pStyle w:val="TableParagraph"/>
              <w:ind w:start="106"/>
              <w:rPr>
                <w:sz w:val="20"/>
              </w:rPr>
            </w:pPr>
            <w:r>
              <w:rPr>
                <w:sz w:val="20"/>
              </w:rPr>
              <w:t xml:space="preserve">hormones d'</w:t>
            </w:r>
            <w:r>
              <w:rPr>
                <w:sz w:val="20"/>
              </w:rPr>
              <w:t xml:space="preserve">affirmation du genre </w:t>
            </w:r>
            <w:r>
              <w:rPr>
                <w:sz w:val="20"/>
              </w:rPr>
              <w:t xml:space="preserve">: </w:t>
            </w:r>
            <w:r>
              <w:rPr>
                <w:sz w:val="20"/>
              </w:rPr>
              <w:t xml:space="preserve">−0.95 </w:t>
            </w:r>
            <w:r>
              <w:rPr>
                <w:sz w:val="20"/>
              </w:rPr>
              <w:t xml:space="preserve">(0.63)</w:t>
            </w:r>
          </w:p>
          <w:p>
            <w:pPr>
              <w:pStyle w:val="TableParagraph"/>
              <w:ind w:start="106"/>
              <w:rPr>
                <w:sz w:val="20"/>
              </w:rPr>
            </w:pPr>
            <w:r>
              <w:rPr>
                <w:sz w:val="20"/>
              </w:rPr>
              <w:t xml:space="preserve">(NS)</w:t>
            </w:r>
          </w:p>
          <w:p>
            <w:pPr>
              <w:pStyle w:val="TableParagraph"/>
              <w:ind w:start="106" w:end="165"/>
              <w:rPr>
                <w:sz w:val="20"/>
              </w:rPr>
            </w:pPr>
            <w:r>
              <w:rPr>
                <w:sz w:val="20"/>
              </w:rPr>
              <w:t xml:space="preserve">Changement entre le début de l'administration d'un analogue de la GnRH </w:t>
            </w:r>
            <w:r>
              <w:rPr>
                <w:sz w:val="20"/>
              </w:rPr>
              <w:t xml:space="preserve">(</w:t>
            </w:r>
            <w:r>
              <w:rPr>
                <w:sz w:val="20"/>
              </w:rPr>
              <w:t xml:space="preserve">âge </w:t>
            </w:r>
            <w:r>
              <w:rPr>
                <w:sz w:val="20"/>
              </w:rPr>
              <w:t xml:space="preserve">moyen </w:t>
            </w:r>
            <w:r>
              <w:rPr>
                <w:sz w:val="20"/>
              </w:rPr>
              <w:t xml:space="preserve">15,0±2,0) </w:t>
            </w:r>
            <w:r>
              <w:rPr>
                <w:sz w:val="20"/>
              </w:rPr>
              <w:t xml:space="preserve">et le </w:t>
            </w:r>
            <w:r>
              <w:rPr>
                <w:sz w:val="20"/>
              </w:rPr>
              <w:t xml:space="preserve">début de l'administration d'</w:t>
            </w:r>
            <w:r>
              <w:rPr>
                <w:sz w:val="20"/>
              </w:rPr>
              <w:t xml:space="preserve">hormones d'affirmation du </w:t>
            </w:r>
            <w:r>
              <w:rPr>
                <w:sz w:val="20"/>
              </w:rPr>
              <w:t xml:space="preserve">genre </w:t>
            </w:r>
            <w:r>
              <w:rPr>
                <w:sz w:val="20"/>
              </w:rPr>
              <w:t xml:space="preserve">(âge moyen </w:t>
            </w:r>
            <w:r>
              <w:rPr>
                <w:sz w:val="20"/>
              </w:rPr>
              <w:t xml:space="preserve">16,4±2,3) chez les transmaliens (moyenne [±SD]), </w:t>
            </w:r>
            <w:r>
              <w:rPr>
                <w:sz w:val="20"/>
              </w:rPr>
              <w:t xml:space="preserve">analogue de la </w:t>
            </w:r>
            <w:r>
              <w:rPr>
                <w:sz w:val="20"/>
              </w:rPr>
              <w:t xml:space="preserve">GnRH </w:t>
            </w:r>
            <w:r>
              <w:rPr>
                <w:sz w:val="20"/>
              </w:rPr>
              <w:t xml:space="preserve">: </w:t>
            </w:r>
            <w:r>
              <w:rPr>
                <w:sz w:val="20"/>
              </w:rPr>
              <w:t xml:space="preserve">0,92 </w:t>
            </w:r>
            <w:r>
              <w:rPr>
                <w:sz w:val="20"/>
              </w:rPr>
              <w:t xml:space="preserve">(0,10) </w:t>
            </w:r>
            <w:r>
              <w:rPr>
                <w:sz w:val="20"/>
              </w:rPr>
              <w:t xml:space="preserve">g/m2,</w:t>
            </w:r>
          </w:p>
          <w:p>
            <w:pPr>
              <w:pStyle w:val="TableParagraph"/>
              <w:ind w:start="106" w:end="213"/>
              <w:rPr>
                <w:sz w:val="20"/>
              </w:rPr>
            </w:pPr>
            <w:r>
              <w:rPr>
                <w:sz w:val="20"/>
              </w:rPr>
              <w:t xml:space="preserve">hormones d'affirmation du genre : 0.88 (0.09) </w:t>
            </w:r>
            <w:r>
              <w:rPr>
                <w:sz w:val="20"/>
              </w:rPr>
              <w:t xml:space="preserve">(p=0.005) ;</w:t>
            </w:r>
          </w:p>
          <w:p>
            <w:pPr>
              <w:pStyle w:val="TableParagraph"/>
              <w:spacing w:line="229" w:lineRule="exact"/>
              <w:ind w:start="106"/>
              <w:rPr>
                <w:sz w:val="20"/>
              </w:rPr>
            </w:pPr>
            <w:r>
              <w:rPr>
                <w:sz w:val="20"/>
              </w:rPr>
              <w:t xml:space="preserve">z-score </w:t>
            </w:r>
            <w:r>
              <w:rPr>
                <w:sz w:val="20"/>
              </w:rPr>
              <w:t xml:space="preserve">GnRH </w:t>
            </w:r>
            <w:r>
              <w:rPr>
                <w:sz w:val="20"/>
              </w:rPr>
              <w:t xml:space="preserve">analogue : </w:t>
            </w:r>
            <w:r>
              <w:rPr>
                <w:sz w:val="20"/>
              </w:rPr>
              <w:t xml:space="preserve">0.36 </w:t>
            </w:r>
            <w:r>
              <w:rPr>
                <w:sz w:val="20"/>
              </w:rPr>
              <w:t xml:space="preserve">(0.88),</w:t>
            </w:r>
          </w:p>
          <w:p>
            <w:pPr>
              <w:pStyle w:val="TableParagraph"/>
              <w:spacing w:line="229" w:lineRule="exact"/>
              <w:ind w:start="106"/>
              <w:rPr>
                <w:sz w:val="20"/>
              </w:rPr>
            </w:pPr>
            <w:r>
              <w:rPr>
                <w:sz w:val="20"/>
              </w:rPr>
              <w:t xml:space="preserve">hormones d'</w:t>
            </w:r>
            <w:r>
              <w:rPr>
                <w:sz w:val="20"/>
              </w:rPr>
              <w:t xml:space="preserve">affirmation du genre </w:t>
            </w:r>
            <w:r>
              <w:rPr>
                <w:sz w:val="20"/>
              </w:rPr>
              <w:t xml:space="preserve">: </w:t>
            </w:r>
            <w:r>
              <w:rPr>
                <w:sz w:val="20"/>
              </w:rPr>
              <w:t xml:space="preserve">−0.35 </w:t>
            </w:r>
            <w:r>
              <w:rPr>
                <w:sz w:val="20"/>
              </w:rPr>
              <w:t xml:space="preserve">(0.79)</w:t>
            </w:r>
          </w:p>
          <w:p>
            <w:pPr>
              <w:pStyle w:val="TableParagraph"/>
              <w:spacing w:line="220" w:lineRule="exact"/>
              <w:ind w:start="106"/>
              <w:rPr>
                <w:sz w:val="20"/>
              </w:rPr>
            </w:pPr>
            <w:r>
              <w:rPr>
                <w:sz w:val="20"/>
              </w:rPr>
              <w:t xml:space="preserve">(p=0.001)</w:t>
            </w:r>
          </w:p>
        </w:tc>
        <w:tc>
          <w:tcPr>
            <w:tcW w:w="3203" w:type="dxa"/>
          </w:tcPr>
          <w:p w:rsidR="00432386" w:rsidRDefault="00432386">
            <w:pPr>
              <w:pStyle w:val="TableParagraph"/>
              <w:rPr>
                <w:rFonts w:ascii="Times New Roman"/>
                <w:sz w:val="18"/>
              </w:rPr>
            </w:pPr>
          </w:p>
        </w:tc>
      </w:tr>
    </w:tbl>
    <w:p>
      <w:pPr>
        <w:spacing w:line="197" w:lineRule="exact"/>
        <w:ind w:start="100"/>
        <w:rPr>
          <w:sz w:val="18"/>
        </w:rPr>
      </w:pPr>
      <w:r>
        <w:rPr>
          <w:position w:val="6"/>
          <w:sz w:val="12"/>
        </w:rPr>
        <w:t xml:space="preserve">1 </w:t>
      </w:r>
      <w:r>
        <w:rPr>
          <w:sz w:val="18"/>
        </w:rPr>
        <w:t xml:space="preserve">BMD </w:t>
      </w:r>
      <w:r>
        <w:rPr>
          <w:sz w:val="18"/>
        </w:rPr>
        <w:t xml:space="preserve">et </w:t>
      </w:r>
      <w:r>
        <w:rPr>
          <w:sz w:val="18"/>
        </w:rPr>
        <w:t xml:space="preserve">BMAD </w:t>
      </w:r>
      <w:r>
        <w:rPr>
          <w:sz w:val="18"/>
        </w:rPr>
        <w:t xml:space="preserve">de la </w:t>
      </w:r>
      <w:r>
        <w:rPr>
          <w:sz w:val="18"/>
        </w:rPr>
        <w:t xml:space="preserve">colonne </w:t>
      </w:r>
      <w:r>
        <w:rPr>
          <w:sz w:val="18"/>
        </w:rPr>
        <w:t xml:space="preserve">lombaire </w:t>
      </w:r>
      <w:r>
        <w:rPr>
          <w:sz w:val="18"/>
        </w:rPr>
        <w:t xml:space="preserve">et de la </w:t>
      </w:r>
      <w:r>
        <w:rPr>
          <w:sz w:val="18"/>
        </w:rPr>
        <w:t xml:space="preserve">région </w:t>
      </w:r>
      <w:r>
        <w:rPr>
          <w:sz w:val="18"/>
        </w:rPr>
        <w:t xml:space="preserve">fémorale </w:t>
      </w:r>
      <w:r>
        <w:rPr>
          <w:sz w:val="18"/>
        </w:rPr>
        <w:t xml:space="preserve">(</w:t>
      </w:r>
      <w:r>
        <w:rPr>
          <w:sz w:val="18"/>
        </w:rPr>
        <w:t xml:space="preserve">côté </w:t>
      </w:r>
      <w:r>
        <w:rPr>
          <w:sz w:val="18"/>
        </w:rPr>
        <w:t xml:space="preserve">non dominant</w:t>
      </w:r>
      <w:r>
        <w:rPr>
          <w:sz w:val="18"/>
        </w:rPr>
        <w:t xml:space="preserve">) </w:t>
      </w:r>
      <w:r>
        <w:rPr>
          <w:sz w:val="18"/>
        </w:rPr>
        <w:t xml:space="preserve">mesurées </w:t>
      </w:r>
      <w:r>
        <w:rPr>
          <w:sz w:val="18"/>
        </w:rPr>
        <w:t xml:space="preserve">par des </w:t>
      </w:r>
      <w:r>
        <w:rPr>
          <w:sz w:val="18"/>
        </w:rPr>
        <w:t xml:space="preserve">scanners </w:t>
      </w:r>
      <w:r>
        <w:rPr>
          <w:sz w:val="18"/>
        </w:rPr>
        <w:t xml:space="preserve">DXA </w:t>
      </w:r>
      <w:r>
        <w:rPr>
          <w:sz w:val="18"/>
        </w:rPr>
        <w:t xml:space="preserve">au </w:t>
      </w:r>
      <w:r>
        <w:rPr>
          <w:sz w:val="18"/>
        </w:rPr>
        <w:t xml:space="preserve">début du </w:t>
      </w:r>
      <w:r>
        <w:rPr>
          <w:sz w:val="18"/>
        </w:rPr>
        <w:t xml:space="preserve">traitement aux </w:t>
      </w:r>
      <w:r>
        <w:rPr>
          <w:sz w:val="18"/>
        </w:rPr>
        <w:t xml:space="preserve">analogues de la </w:t>
      </w:r>
      <w:r>
        <w:rPr>
          <w:sz w:val="18"/>
        </w:rPr>
        <w:t xml:space="preserve">GnRH </w:t>
      </w:r>
      <w:r>
        <w:rPr>
          <w:sz w:val="18"/>
        </w:rPr>
        <w:t xml:space="preserve">(n=32), au </w:t>
      </w:r>
      <w:r>
        <w:rPr>
          <w:sz w:val="18"/>
        </w:rPr>
        <w:t xml:space="preserve">début </w:t>
      </w:r>
      <w:r>
        <w:rPr>
          <w:sz w:val="18"/>
        </w:rPr>
        <w:t xml:space="preserve">du traitement aux </w:t>
      </w:r>
      <w:r>
        <w:rPr>
          <w:sz w:val="18"/>
        </w:rPr>
        <w:t xml:space="preserve">hormones </w:t>
      </w:r>
      <w:r>
        <w:rPr>
          <w:sz w:val="18"/>
        </w:rPr>
        <w:t xml:space="preserve">d'affirmation du genre </w:t>
      </w:r>
      <w:r>
        <w:rPr>
          <w:sz w:val="18"/>
        </w:rPr>
        <w:t xml:space="preserve">(n=34) </w:t>
      </w:r>
      <w:r>
        <w:rPr>
          <w:sz w:val="18"/>
        </w:rPr>
        <w:t xml:space="preserve">et </w:t>
      </w:r>
      <w:r>
        <w:rPr>
          <w:sz w:val="18"/>
        </w:rPr>
        <w:t xml:space="preserve">à </w:t>
      </w:r>
      <w:r>
        <w:rPr>
          <w:sz w:val="18"/>
        </w:rPr>
        <w:t xml:space="preserve">22 ans.</w:t>
      </w:r>
    </w:p>
    <w:p>
      <w:pPr>
        <w:spacing w:before="2"/>
        <w:ind w:start="100"/>
        <w:rPr>
          <w:sz w:val="18"/>
        </w:rPr>
      </w:pPr>
      <w:r>
        <w:rPr>
          <w:sz w:val="18"/>
        </w:rPr>
        <w:t xml:space="preserve">ans </w:t>
      </w:r>
      <w:r>
        <w:rPr>
          <w:sz w:val="18"/>
        </w:rPr>
        <w:t xml:space="preserve">(n=34).</w:t>
      </w:r>
    </w:p>
    <w:p w:rsidR="00432386" w:rsidRDefault="00432386">
      <w:pPr>
        <w:pStyle w:val="Corpsdetexte"/>
        <w:spacing w:before="0"/>
        <w:ind w:start="0"/>
        <w:rPr>
          <w:sz w:val="20"/>
        </w:rPr>
      </w:pPr>
    </w:p>
    <w:p w:rsidR="00432386" w:rsidRDefault="00432386">
      <w:pPr>
        <w:pStyle w:val="Corpsdetexte"/>
        <w:spacing w:before="2" w:after="1"/>
        <w:ind w:start="0"/>
        <w:rPr>
          <w:sz w:val="24"/>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453"/>
        <w:gridCol w:w="3639"/>
        <w:gridCol w:w="2126"/>
        <w:gridCol w:w="3970"/>
        <w:gridCol w:w="3202"/>
      </w:tblGrid>
      <w:tr w:rsidR="00432386">
        <w:trPr>
          <w:trHeight w:val="289"/>
        </w:trPr>
        <w:tc>
          <w:tcPr>
            <w:tcW w:w="2453"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639" w:type="dxa"/>
            <w:shd w:val="clear" w:color="auto" w:fill="8DB3E1"/>
          </w:tcPr>
          <w:p>
            <w:pPr>
              <w:pStyle w:val="TableParagraph"/>
              <w:spacing w:line="229" w:lineRule="exact"/>
              <w:ind w:start="108"/>
              <w:rPr>
                <w:b/>
                <w:sz w:val="20"/>
              </w:rPr>
            </w:pPr>
            <w:r>
              <w:rPr>
                <w:b/>
                <w:sz w:val="20"/>
              </w:rPr>
              <w:t xml:space="preserve">Population</w:t>
            </w:r>
          </w:p>
        </w:tc>
        <w:tc>
          <w:tcPr>
            <w:tcW w:w="2126" w:type="dxa"/>
            <w:shd w:val="clear" w:color="auto" w:fill="8DB3E1"/>
          </w:tcPr>
          <w:p>
            <w:pPr>
              <w:pStyle w:val="TableParagraph"/>
              <w:spacing w:line="229" w:lineRule="exact"/>
              <w:ind w:start="107"/>
              <w:rPr>
                <w:b/>
                <w:sz w:val="20"/>
              </w:rPr>
            </w:pPr>
            <w:r>
              <w:rPr>
                <w:b/>
                <w:sz w:val="20"/>
              </w:rPr>
              <w:t xml:space="preserve">Interventions</w:t>
            </w:r>
          </w:p>
        </w:tc>
        <w:tc>
          <w:tcPr>
            <w:tcW w:w="3970" w:type="dxa"/>
            <w:shd w:val="clear" w:color="auto" w:fill="8DB3E1"/>
          </w:tcPr>
          <w:p>
            <w:pPr>
              <w:pStyle w:val="TableParagraph"/>
              <w:spacing w:line="229" w:lineRule="exact"/>
              <w:ind w:start="108"/>
              <w:rPr>
                <w:b/>
                <w:sz w:val="20"/>
              </w:rPr>
            </w:pPr>
            <w:r>
              <w:rPr>
                <w:b/>
                <w:sz w:val="20"/>
              </w:rPr>
              <w:t xml:space="preserve">Résultats de l'</w:t>
            </w:r>
            <w:r>
              <w:rPr>
                <w:b/>
                <w:sz w:val="20"/>
              </w:rPr>
              <w:t xml:space="preserve">étude</w:t>
            </w:r>
          </w:p>
        </w:tc>
        <w:tc>
          <w:tcPr>
            <w:tcW w:w="3202" w:type="dxa"/>
            <w:shd w:val="clear" w:color="auto" w:fill="8DB3E1"/>
          </w:tcPr>
          <w:p>
            <w:pPr>
              <w:pStyle w:val="TableParagraph"/>
              <w:spacing w:line="229" w:lineRule="exact"/>
              <w:ind w:start="108"/>
              <w:rPr>
                <w:b/>
                <w:sz w:val="20"/>
              </w:rPr>
            </w:pPr>
            <w:r>
              <w:rPr>
                <w:b/>
                <w:sz w:val="20"/>
              </w:rPr>
              <w:t xml:space="preserve">Évaluation </w:t>
            </w:r>
            <w:r>
              <w:rPr>
                <w:b/>
                <w:sz w:val="20"/>
              </w:rPr>
              <w:t xml:space="preserve">et </w:t>
            </w:r>
            <w:r>
              <w:rPr>
                <w:b/>
                <w:sz w:val="20"/>
              </w:rPr>
              <w:t xml:space="preserve">financement</w:t>
            </w:r>
          </w:p>
        </w:tc>
      </w:tr>
      <w:tr w:rsidR="00432386">
        <w:trPr>
          <w:trHeight w:val="981"/>
        </w:trPr>
        <w:tc>
          <w:tcPr>
            <w:tcW w:w="2453" w:type="dxa"/>
          </w:tcPr>
          <w:p>
            <w:pPr>
              <w:pStyle w:val="TableParagraph"/>
              <w:ind w:start="107" w:end="184"/>
              <w:rPr>
                <w:sz w:val="20"/>
              </w:rPr>
            </w:pPr>
            <w:r>
              <w:rPr>
                <w:sz w:val="20"/>
              </w:rPr>
              <w:t xml:space="preserve">Schagen SEE, Cohen- </w:t>
            </w:r>
            <w:r>
              <w:rPr>
                <w:sz w:val="20"/>
              </w:rPr>
              <w:t xml:space="preserve">Kettenis </w:t>
            </w:r>
            <w:r>
              <w:rPr>
                <w:sz w:val="20"/>
              </w:rPr>
              <w:t xml:space="preserve">PT, </w:t>
            </w:r>
            <w:r>
              <w:rPr>
                <w:sz w:val="20"/>
              </w:rPr>
              <w:t xml:space="preserve">Delemarre- </w:t>
            </w:r>
            <w:r>
              <w:rPr>
                <w:sz w:val="20"/>
              </w:rPr>
              <w:t xml:space="preserve">van de Waal HA et al. </w:t>
            </w:r>
            <w:r>
              <w:rPr>
                <w:sz w:val="20"/>
              </w:rPr>
              <w:t xml:space="preserve">(2016)</w:t>
            </w:r>
          </w:p>
        </w:tc>
        <w:tc>
          <w:tcPr>
            <w:tcW w:w="3639" w:type="dxa"/>
          </w:tcPr>
          <w:p>
            <w:pPr>
              <w:pStyle w:val="TableParagraph"/>
              <w:ind w:start="108" w:end="420"/>
              <w:rPr>
                <w:sz w:val="20"/>
              </w:rPr>
            </w:pPr>
            <w:r>
              <w:rPr>
                <w:sz w:val="20"/>
              </w:rPr>
              <w:t xml:space="preserve">Adolescents </w:t>
            </w:r>
            <w:r>
              <w:rPr>
                <w:sz w:val="20"/>
              </w:rPr>
              <w:t xml:space="preserve">souffrant de </w:t>
            </w:r>
            <w:r>
              <w:rPr>
                <w:sz w:val="20"/>
              </w:rPr>
              <w:t xml:space="preserve">dysphorie de </w:t>
            </w:r>
            <w:r>
              <w:rPr>
                <w:sz w:val="20"/>
              </w:rPr>
              <w:t xml:space="preserve">genre </w:t>
            </w:r>
            <w:r>
              <w:rPr>
                <w:sz w:val="20"/>
              </w:rPr>
              <w:t xml:space="preserve">(n=116), </w:t>
            </w:r>
            <w:r>
              <w:rPr>
                <w:sz w:val="20"/>
              </w:rPr>
              <w:t xml:space="preserve">âge </w:t>
            </w:r>
            <w:r>
              <w:rPr>
                <w:sz w:val="20"/>
              </w:rPr>
              <w:t xml:space="preserve">médian </w:t>
            </w:r>
            <w:r>
              <w:rPr>
                <w:sz w:val="20"/>
              </w:rPr>
              <w:t xml:space="preserve">(fourchette)</w:t>
            </w:r>
          </w:p>
          <w:p>
            <w:pPr>
              <w:pStyle w:val="TableParagraph"/>
              <w:ind w:start="108" w:end="258"/>
              <w:rPr>
                <w:sz w:val="20"/>
              </w:rPr>
            </w:pPr>
            <w:r>
              <w:rPr>
                <w:sz w:val="20"/>
              </w:rPr>
              <w:t xml:space="preserve">13,6 ans (11,6 à 17,9) chez les </w:t>
            </w:r>
            <w:r>
              <w:rPr>
                <w:sz w:val="20"/>
              </w:rPr>
              <w:t xml:space="preserve">femmes transfemmes </w:t>
            </w:r>
            <w:r>
              <w:rPr>
                <w:sz w:val="20"/>
              </w:rPr>
              <w:t xml:space="preserve">et </w:t>
            </w:r>
            <w:r>
              <w:rPr>
                <w:sz w:val="20"/>
              </w:rPr>
              <w:t xml:space="preserve">14,2 </w:t>
            </w:r>
            <w:r>
              <w:rPr>
                <w:sz w:val="20"/>
              </w:rPr>
              <w:t xml:space="preserve">ans </w:t>
            </w:r>
            <w:r>
              <w:rPr>
                <w:sz w:val="20"/>
              </w:rPr>
              <w:t xml:space="preserve">(11,1 </w:t>
            </w:r>
            <w:r>
              <w:rPr>
                <w:sz w:val="20"/>
              </w:rPr>
              <w:t xml:space="preserve">à 17</w:t>
            </w:r>
            <w:r>
              <w:rPr>
                <w:sz w:val="20"/>
              </w:rPr>
              <w:t xml:space="preserve">,9) chez les hommes </w:t>
            </w:r>
            <w:r>
              <w:rPr>
                <w:sz w:val="20"/>
              </w:rPr>
              <w:t xml:space="preserve">transfemmes.</w:t>
            </w:r>
          </w:p>
        </w:tc>
        <w:tc>
          <w:tcPr>
            <w:tcW w:w="2126" w:type="dxa"/>
          </w:tcPr>
          <w:p>
            <w:pPr>
              <w:pStyle w:val="TableParagraph"/>
              <w:ind w:start="107" w:end="275"/>
              <w:rPr>
                <w:sz w:val="20"/>
              </w:rPr>
            </w:pPr>
            <w:r>
              <w:rPr>
                <w:sz w:val="20"/>
              </w:rPr>
              <w:t xml:space="preserve">Monothérapie par </w:t>
            </w:r>
            <w:r>
              <w:rPr>
                <w:sz w:val="20"/>
              </w:rPr>
              <w:t xml:space="preserve">analogue de la GnRH </w:t>
            </w:r>
            <w:r>
              <w:rPr>
                <w:sz w:val="20"/>
              </w:rPr>
              <w:t xml:space="preserve">(</w:t>
            </w:r>
            <w:r>
              <w:rPr>
                <w:sz w:val="20"/>
              </w:rPr>
              <w:t xml:space="preserve">pamoate de </w:t>
            </w:r>
            <w:r>
              <w:rPr>
                <w:sz w:val="20"/>
              </w:rPr>
              <w:t xml:space="preserve">triptoréline)</w:t>
            </w:r>
          </w:p>
          <w:p>
            <w:pPr>
              <w:pStyle w:val="TableParagraph"/>
              <w:spacing w:line="229" w:lineRule="exact"/>
              <w:ind w:start="107"/>
              <w:rPr>
                <w:sz w:val="20"/>
              </w:rPr>
            </w:pPr>
            <w:r>
              <w:rPr>
                <w:sz w:val="20"/>
              </w:rPr>
              <w:t xml:space="preserve">3,75 </w:t>
            </w:r>
            <w:r>
              <w:rPr>
                <w:sz w:val="20"/>
              </w:rPr>
              <w:t xml:space="preserve">mg </w:t>
            </w:r>
            <w:r>
              <w:rPr>
                <w:sz w:val="20"/>
              </w:rPr>
              <w:t xml:space="preserve">à </w:t>
            </w:r>
            <w:r>
              <w:rPr>
                <w:sz w:val="20"/>
              </w:rPr>
              <w:t xml:space="preserve">0, </w:t>
            </w:r>
            <w:r>
              <w:rPr>
                <w:sz w:val="20"/>
              </w:rPr>
              <w:t xml:space="preserve">2 </w:t>
            </w:r>
            <w:r>
              <w:rPr>
                <w:sz w:val="20"/>
              </w:rPr>
              <w:t xml:space="preserve">et </w:t>
            </w:r>
            <w:r>
              <w:rPr>
                <w:sz w:val="20"/>
              </w:rPr>
              <w:t xml:space="preserve">4 ans</w:t>
            </w:r>
          </w:p>
        </w:tc>
        <w:tc>
          <w:tcPr>
            <w:tcW w:w="3970" w:type="dxa"/>
          </w:tcPr>
          <w:p>
            <w:pPr>
              <w:pStyle w:val="TableParagraph"/>
              <w:spacing w:line="229" w:lineRule="exact"/>
              <w:ind w:start="108"/>
              <w:rPr>
                <w:b/>
                <w:sz w:val="20"/>
              </w:rPr>
            </w:pPr>
            <w:r>
              <w:rPr>
                <w:b/>
                <w:sz w:val="20"/>
              </w:rPr>
              <w:t xml:space="preserve">Résultats </w:t>
            </w:r>
            <w:r>
              <w:rPr>
                <w:b/>
                <w:sz w:val="20"/>
              </w:rPr>
              <w:t xml:space="preserve">critiques</w:t>
            </w:r>
          </w:p>
          <w:p>
            <w:pPr>
              <w:pStyle w:val="TableParagraph"/>
              <w:ind w:start="108"/>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0"/>
              <w:rPr>
                <w:sz w:val="19"/>
              </w:rPr>
            </w:pPr>
          </w:p>
          <w:p>
            <w:pPr>
              <w:pStyle w:val="TableParagraph"/>
              <w:ind w:start="108"/>
              <w:rPr>
                <w:b/>
                <w:sz w:val="20"/>
              </w:rPr>
            </w:pPr>
            <w:r>
              <w:rPr>
                <w:b/>
                <w:sz w:val="20"/>
              </w:rPr>
              <w:t xml:space="preserve">Résultats </w:t>
            </w:r>
            <w:r>
              <w:rPr>
                <w:b/>
                <w:sz w:val="20"/>
              </w:rPr>
              <w:t xml:space="preserve">importants</w:t>
            </w:r>
          </w:p>
        </w:tc>
        <w:tc>
          <w:tcPr>
            <w:tcW w:w="3202" w:type="dxa"/>
          </w:tcPr>
          <w:p>
            <w:pPr>
              <w:pStyle w:val="TableParagraph"/>
              <w:ind w:start="108" w:end="288"/>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la </w:t>
            </w:r>
            <w:r>
              <w:rPr>
                <w:sz w:val="20"/>
              </w:rPr>
              <w:t xml:space="preserve">liste de contrôle d'</w:t>
            </w:r>
            <w:r>
              <w:rPr>
                <w:sz w:val="20"/>
              </w:rPr>
              <w:t xml:space="preserve">évaluation de la </w:t>
            </w:r>
            <w:r>
              <w:rPr>
                <w:sz w:val="20"/>
              </w:rPr>
              <w:t xml:space="preserve">qualité de Newcastle-Ottawa </w:t>
            </w:r>
            <w:r>
              <w:rPr>
                <w:sz w:val="20"/>
              </w:rPr>
              <w:t xml:space="preserve">pour les </w:t>
            </w:r>
            <w:r>
              <w:rPr>
                <w:sz w:val="20"/>
              </w:rPr>
              <w:t xml:space="preserve">études de </w:t>
            </w:r>
            <w:r>
              <w:rPr>
                <w:sz w:val="20"/>
              </w:rPr>
              <w:t xml:space="preserve">cohorte</w:t>
            </w:r>
            <w:r>
              <w:rPr>
                <w:sz w:val="20"/>
              </w:rPr>
              <w:t xml:space="preserve">.</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453"/>
        <w:gridCol w:w="3639"/>
        <w:gridCol w:w="2126"/>
        <w:gridCol w:w="3970"/>
        <w:gridCol w:w="3202"/>
      </w:tblGrid>
      <w:tr w:rsidR="00432386">
        <w:trPr>
          <w:trHeight w:val="290"/>
        </w:trPr>
        <w:tc>
          <w:tcPr>
            <w:tcW w:w="2453"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639" w:type="dxa"/>
            <w:shd w:val="clear" w:color="auto" w:fill="8DB3E1"/>
          </w:tcPr>
          <w:p>
            <w:pPr>
              <w:pStyle w:val="TableParagraph"/>
              <w:spacing w:line="220" w:lineRule="exact"/>
              <w:ind w:start="108"/>
              <w:rPr>
                <w:b/>
                <w:sz w:val="20"/>
              </w:rPr>
            </w:pPr>
            <w:r>
              <w:rPr>
                <w:b/>
                <w:sz w:val="20"/>
              </w:rPr>
              <w:t xml:space="preserve">Population</w:t>
            </w:r>
          </w:p>
        </w:tc>
        <w:tc>
          <w:tcPr>
            <w:tcW w:w="2126" w:type="dxa"/>
            <w:shd w:val="clear" w:color="auto" w:fill="8DB3E1"/>
          </w:tcPr>
          <w:p>
            <w:pPr>
              <w:pStyle w:val="TableParagraph"/>
              <w:spacing w:line="220" w:lineRule="exact"/>
              <w:ind w:start="107"/>
              <w:rPr>
                <w:b/>
                <w:sz w:val="20"/>
              </w:rPr>
            </w:pPr>
            <w:r>
              <w:rPr>
                <w:b/>
                <w:sz w:val="20"/>
              </w:rPr>
              <w:t xml:space="preserve">Interventions</w:t>
            </w:r>
          </w:p>
        </w:tc>
        <w:tc>
          <w:tcPr>
            <w:tcW w:w="3970" w:type="dxa"/>
            <w:shd w:val="clear" w:color="auto" w:fill="8DB3E1"/>
          </w:tcPr>
          <w:p>
            <w:pPr>
              <w:pStyle w:val="TableParagraph"/>
              <w:spacing w:line="220" w:lineRule="exact"/>
              <w:ind w:start="108"/>
              <w:rPr>
                <w:b/>
                <w:sz w:val="20"/>
              </w:rPr>
            </w:pPr>
            <w:r>
              <w:rPr>
                <w:b/>
                <w:sz w:val="20"/>
              </w:rPr>
              <w:t xml:space="preserve">Résultats de l'</w:t>
            </w:r>
            <w:r>
              <w:rPr>
                <w:b/>
                <w:sz w:val="20"/>
              </w:rPr>
              <w:t xml:space="preserve">étude</w:t>
            </w:r>
          </w:p>
        </w:tc>
        <w:tc>
          <w:tcPr>
            <w:tcW w:w="3202" w:type="dxa"/>
            <w:shd w:val="clear" w:color="auto" w:fill="8DB3E1"/>
          </w:tcPr>
          <w:p>
            <w:pPr>
              <w:pStyle w:val="TableParagraph"/>
              <w:spacing w:line="220" w:lineRule="exact"/>
              <w:ind w:start="108"/>
              <w:rPr>
                <w:b/>
                <w:sz w:val="20"/>
              </w:rPr>
            </w:pPr>
            <w:r>
              <w:rPr>
                <w:b/>
                <w:sz w:val="20"/>
              </w:rPr>
              <w:t xml:space="preserve">Évaluation </w:t>
            </w:r>
            <w:r>
              <w:rPr>
                <w:b/>
                <w:sz w:val="20"/>
              </w:rPr>
              <w:t xml:space="preserve">et </w:t>
            </w:r>
            <w:r>
              <w:rPr>
                <w:b/>
                <w:sz w:val="20"/>
              </w:rPr>
              <w:t xml:space="preserve">financement</w:t>
            </w:r>
          </w:p>
        </w:tc>
      </w:tr>
      <w:tr w:rsidR="00432386">
        <w:trPr>
          <w:trHeight w:val="6982"/>
        </w:trPr>
        <w:tc>
          <w:tcPr>
            <w:tcW w:w="2453" w:type="dxa"/>
          </w:tcPr>
          <w:p>
            <w:pPr>
              <w:pStyle w:val="TableParagraph"/>
              <w:ind w:start="107" w:end="169"/>
              <w:rPr>
                <w:sz w:val="20"/>
              </w:rPr>
            </w:pPr>
            <w:hyperlink r:id="rId286">
              <w:r>
                <w:rPr>
                  <w:color w:val="0000FF"/>
                  <w:sz w:val="20"/>
                  <w:u w:val="single" w:color="0000FF"/>
                </w:rPr>
                <w:t xml:space="preserve">Efficacité et sécurité du </w:t>
              </w:r>
            </w:hyperlink>
            <w:hyperlink r:id="rId289">
              <w:r>
                <w:rPr>
                  <w:color w:val="0000FF"/>
                  <w:sz w:val="20"/>
                  <w:u w:val="single" w:color="0000FF"/>
                </w:rPr>
                <w:t xml:space="preserve">traitement par </w:t>
              </w:r>
            </w:hyperlink>
            <w:hyperlink r:id="rId288">
              <w:r>
                <w:rPr>
                  <w:color w:val="0000FF"/>
                  <w:sz w:val="20"/>
                  <w:u w:val="single" w:color="0000FF"/>
                </w:rPr>
                <w:t xml:space="preserve">agoniste de l'hormone de </w:t>
              </w:r>
            </w:hyperlink>
            <w:hyperlink r:id="rId287">
              <w:r>
                <w:rPr>
                  <w:color w:val="0000FF"/>
                  <w:spacing w:val="-1"/>
                  <w:sz w:val="20"/>
                  <w:u w:val="single" w:color="0000FF"/>
                </w:rPr>
                <w:t xml:space="preserve">libération de la gonadotrophine </w:t>
              </w:r>
            </w:hyperlink>
            <w:hyperlink r:id="rId289">
              <w:r>
                <w:rPr>
                  <w:color w:val="0000FF"/>
                  <w:sz w:val="20"/>
                  <w:u w:val="single" w:color="0000FF"/>
                </w:rPr>
                <w:t xml:space="preserve">pour supprimer la </w:t>
              </w:r>
            </w:hyperlink>
            <w:hyperlink r:id="rId290">
              <w:r>
                <w:rPr>
                  <w:color w:val="0000FF"/>
                  <w:sz w:val="20"/>
                  <w:u w:val="single" w:color="0000FF"/>
                </w:rPr>
                <w:t xml:space="preserve">puberté chez les </w:t>
              </w:r>
            </w:hyperlink>
            <w:hyperlink r:id="rId291">
              <w:r>
                <w:rPr>
                  <w:color w:val="0000FF"/>
                  <w:sz w:val="20"/>
                  <w:u w:val="single" w:color="0000FF"/>
                </w:rPr>
                <w:t xml:space="preserve">adolescents dysphoriques de </w:t>
              </w:r>
            </w:hyperlink>
            <w:hyperlink r:id="rId290">
              <w:r>
                <w:rPr>
                  <w:color w:val="0000FF"/>
                  <w:sz w:val="20"/>
                  <w:u w:val="single" w:color="0000FF"/>
                </w:rPr>
                <w:t xml:space="preserve">genre</w:t>
              </w:r>
            </w:hyperlink>
            <w:hyperlink r:id="rId291">
              <w:r>
                <w:rPr>
                  <w:sz w:val="20"/>
                </w:rPr>
                <w:t xml:space="preserve">. </w:t>
              </w:r>
            </w:hyperlink>
            <w:r>
              <w:rPr>
                <w:sz w:val="20"/>
              </w:rPr>
              <w:t xml:space="preserve">The journal of sexual </w:t>
            </w:r>
            <w:r>
              <w:rPr>
                <w:sz w:val="20"/>
              </w:rPr>
              <w:t xml:space="preserve">medicine </w:t>
            </w:r>
            <w:r>
              <w:rPr>
                <w:sz w:val="20"/>
              </w:rPr>
              <w:t xml:space="preserve">13(7) : </w:t>
            </w:r>
            <w:r>
              <w:rPr>
                <w:sz w:val="20"/>
              </w:rPr>
              <w:t xml:space="preserve">1125-32</w:t>
            </w:r>
          </w:p>
          <w:p w:rsidR="00432386" w:rsidRDefault="00432386">
            <w:pPr>
              <w:pStyle w:val="TableParagraph"/>
              <w:spacing w:before="8"/>
              <w:rPr>
                <w:sz w:val="29"/>
              </w:rPr>
            </w:pPr>
          </w:p>
          <w:p>
            <w:pPr>
              <w:pStyle w:val="TableParagraph"/>
              <w:ind w:start="107"/>
              <w:rPr>
                <w:sz w:val="20"/>
              </w:rPr>
            </w:pPr>
            <w:r>
              <w:rPr>
                <w:sz w:val="20"/>
              </w:rPr>
              <w:t xml:space="preserve">Pays-Bas</w:t>
            </w:r>
          </w:p>
          <w:p w:rsidR="00432386" w:rsidRDefault="00432386">
            <w:pPr>
              <w:pStyle w:val="TableParagraph"/>
              <w:spacing w:before="3"/>
              <w:rPr>
                <w:sz w:val="30"/>
              </w:rPr>
            </w:pPr>
          </w:p>
          <w:p>
            <w:pPr>
              <w:pStyle w:val="TableParagraph"/>
              <w:ind w:start="107" w:end="217"/>
              <w:rPr>
                <w:sz w:val="20"/>
              </w:rPr>
            </w:pPr>
            <w:r>
              <w:rPr>
                <w:sz w:val="20"/>
              </w:rPr>
              <w:t xml:space="preserve">Étude </w:t>
            </w:r>
            <w:r>
              <w:rPr>
                <w:sz w:val="20"/>
              </w:rPr>
              <w:t xml:space="preserve">longitudinale </w:t>
            </w:r>
            <w:r>
              <w:rPr>
                <w:sz w:val="20"/>
              </w:rPr>
              <w:t xml:space="preserve">prospective</w:t>
            </w:r>
          </w:p>
          <w:p w:rsidR="00432386" w:rsidRDefault="00432386">
            <w:pPr>
              <w:pStyle w:val="TableParagraph"/>
              <w:spacing w:before="7"/>
              <w:rPr>
                <w:sz w:val="30"/>
              </w:rPr>
            </w:pPr>
          </w:p>
          <w:p>
            <w:pPr>
              <w:pStyle w:val="TableParagraph"/>
              <w:ind w:start="107" w:end="96"/>
              <w:rPr>
                <w:sz w:val="20"/>
              </w:rPr>
            </w:pPr>
            <w:r>
              <w:rPr>
                <w:sz w:val="20"/>
              </w:rPr>
              <w:t xml:space="preserve">Décrire les modifications </w:t>
            </w:r>
            <w:r>
              <w:rPr>
                <w:sz w:val="20"/>
              </w:rPr>
              <w:t xml:space="preserve">du stade de Tanner, du </w:t>
            </w:r>
            <w:r>
              <w:rPr>
                <w:sz w:val="20"/>
              </w:rPr>
              <w:t xml:space="preserve">volume testiculaire, des </w:t>
            </w:r>
            <w:r>
              <w:rPr>
                <w:sz w:val="20"/>
              </w:rPr>
              <w:t xml:space="preserve">gonadotrophines et des </w:t>
            </w:r>
            <w:r>
              <w:rPr>
                <w:sz w:val="20"/>
              </w:rPr>
              <w:t xml:space="preserve">stéroïdes </w:t>
            </w:r>
            <w:r>
              <w:rPr>
                <w:sz w:val="20"/>
              </w:rPr>
              <w:t xml:space="preserve">sexuels </w:t>
            </w:r>
            <w:r>
              <w:rPr>
                <w:sz w:val="20"/>
              </w:rPr>
              <w:t xml:space="preserve">pendant le traitement par </w:t>
            </w:r>
            <w:r>
              <w:rPr>
                <w:sz w:val="20"/>
              </w:rPr>
              <w:t xml:space="preserve">analogues de la </w:t>
            </w:r>
            <w:r>
              <w:rPr>
                <w:sz w:val="20"/>
              </w:rPr>
              <w:t xml:space="preserve">GnRH </w:t>
            </w:r>
            <w:r>
              <w:rPr>
                <w:sz w:val="20"/>
              </w:rPr>
              <w:t xml:space="preserve">d'</w:t>
            </w:r>
            <w:r>
              <w:rPr>
                <w:sz w:val="20"/>
              </w:rPr>
              <w:t xml:space="preserve">adolescents atteints de </w:t>
            </w:r>
            <w:r>
              <w:rPr>
                <w:sz w:val="20"/>
              </w:rPr>
              <w:t xml:space="preserve">dysphorie de </w:t>
            </w:r>
            <w:r>
              <w:rPr>
                <w:sz w:val="20"/>
              </w:rPr>
              <w:t xml:space="preserve">genre </w:t>
            </w:r>
            <w:r>
              <w:rPr>
                <w:sz w:val="20"/>
              </w:rPr>
              <w:t xml:space="preserve">afin d'</w:t>
            </w:r>
            <w:r>
              <w:rPr>
                <w:sz w:val="20"/>
              </w:rPr>
              <w:t xml:space="preserve">en </w:t>
            </w:r>
            <w:r>
              <w:rPr>
                <w:sz w:val="20"/>
              </w:rPr>
              <w:t xml:space="preserve">évaluer l'</w:t>
            </w:r>
            <w:r>
              <w:rPr>
                <w:sz w:val="20"/>
              </w:rPr>
              <w:t xml:space="preserve">efficacité. Rendre compte des </w:t>
            </w:r>
            <w:r>
              <w:rPr>
                <w:sz w:val="20"/>
              </w:rPr>
              <w:t xml:space="preserve">enzymes hépatiques, de la </w:t>
            </w:r>
            <w:r>
              <w:rPr>
                <w:sz w:val="20"/>
              </w:rPr>
              <w:t xml:space="preserve">fonction </w:t>
            </w:r>
            <w:r>
              <w:rPr>
                <w:sz w:val="20"/>
              </w:rPr>
              <w:t xml:space="preserve">rénale </w:t>
            </w:r>
            <w:r>
              <w:rPr>
                <w:sz w:val="20"/>
              </w:rPr>
              <w:t xml:space="preserve">et des modifications de la </w:t>
            </w:r>
            <w:r>
              <w:rPr>
                <w:sz w:val="20"/>
              </w:rPr>
              <w:t xml:space="preserve">composition </w:t>
            </w:r>
            <w:r>
              <w:rPr>
                <w:sz w:val="20"/>
              </w:rPr>
              <w:t xml:space="preserve">corporelle</w:t>
            </w:r>
            <w:r>
              <w:rPr>
                <w:sz w:val="20"/>
              </w:rPr>
              <w:t xml:space="preserve">.</w:t>
            </w:r>
          </w:p>
          <w:p w:rsidR="00432386" w:rsidRDefault="00432386">
            <w:pPr>
              <w:pStyle w:val="TableParagraph"/>
              <w:spacing w:before="6"/>
              <w:rPr>
                <w:sz w:val="30"/>
              </w:rPr>
            </w:pPr>
          </w:p>
          <w:p>
            <w:pPr>
              <w:pStyle w:val="TableParagraph"/>
              <w:ind w:start="107"/>
              <w:rPr>
                <w:sz w:val="20"/>
              </w:rPr>
            </w:pPr>
            <w:r>
              <w:rPr>
                <w:sz w:val="20"/>
              </w:rPr>
              <w:t xml:space="preserve">1998 </w:t>
            </w:r>
            <w:r>
              <w:rPr>
                <w:sz w:val="20"/>
              </w:rPr>
              <w:t xml:space="preserve">à </w:t>
            </w:r>
            <w:r>
              <w:rPr>
                <w:sz w:val="20"/>
              </w:rPr>
              <w:t xml:space="preserve">2009</w:t>
            </w:r>
          </w:p>
        </w:tc>
        <w:tc>
          <w:tcPr>
            <w:tcW w:w="3639" w:type="dxa"/>
          </w:tcPr>
          <w:p>
            <w:pPr>
              <w:pStyle w:val="TableParagraph"/>
              <w:ind w:start="108"/>
              <w:rPr>
                <w:sz w:val="20"/>
              </w:rPr>
            </w:pPr>
            <w:r>
              <w:rPr>
                <w:sz w:val="20"/>
              </w:rPr>
              <w:t xml:space="preserve">18,6) </w:t>
            </w:r>
            <w:r>
              <w:rPr>
                <w:sz w:val="20"/>
              </w:rPr>
              <w:t xml:space="preserve">chez </w:t>
            </w:r>
            <w:r>
              <w:rPr>
                <w:sz w:val="20"/>
              </w:rPr>
              <w:t xml:space="preserve">les transmales </w:t>
            </w:r>
            <w:r>
              <w:rPr>
                <w:sz w:val="20"/>
              </w:rPr>
              <w:t xml:space="preserve">au cours de la </w:t>
            </w:r>
            <w:r>
              <w:rPr>
                <w:sz w:val="20"/>
              </w:rPr>
              <w:t xml:space="preserve">première </w:t>
            </w:r>
            <w:r>
              <w:rPr>
                <w:sz w:val="20"/>
              </w:rPr>
              <w:t xml:space="preserve">année </w:t>
            </w:r>
            <w:r>
              <w:rPr>
                <w:sz w:val="20"/>
              </w:rPr>
              <w:t xml:space="preserve">d'utilisation des </w:t>
            </w:r>
            <w:r>
              <w:rPr>
                <w:sz w:val="20"/>
              </w:rPr>
              <w:t xml:space="preserve">analogues de la </w:t>
            </w:r>
            <w:r>
              <w:rPr>
                <w:sz w:val="20"/>
              </w:rPr>
              <w:t xml:space="preserve">GnRH</w:t>
            </w:r>
            <w:r>
              <w:rPr>
                <w:sz w:val="20"/>
              </w:rPr>
              <w:t xml:space="preserve">.</w:t>
            </w:r>
          </w:p>
          <w:p>
            <w:pPr>
              <w:pStyle w:val="TableParagraph"/>
              <w:spacing w:before="50"/>
              <w:ind w:start="108" w:end="200"/>
              <w:rPr>
                <w:sz w:val="20"/>
              </w:rPr>
            </w:pPr>
            <w:r>
              <w:rPr>
                <w:sz w:val="20"/>
              </w:rPr>
              <w:t xml:space="preserve">Les participants ont été inclus s'ils répondaient aux </w:t>
            </w:r>
            <w:r>
              <w:rPr>
                <w:sz w:val="20"/>
              </w:rPr>
              <w:t xml:space="preserve">critères du DSM-IV-TR pour la </w:t>
            </w:r>
            <w:r>
              <w:rPr>
                <w:sz w:val="20"/>
              </w:rPr>
              <w:t xml:space="preserve">dysphorie de </w:t>
            </w:r>
            <w:r>
              <w:rPr>
                <w:sz w:val="20"/>
              </w:rPr>
              <w:t xml:space="preserve">genre</w:t>
            </w:r>
            <w:r>
              <w:rPr>
                <w:sz w:val="20"/>
              </w:rPr>
              <w:t xml:space="preserve">, s'ils souffraient de </w:t>
            </w:r>
            <w:r>
              <w:rPr>
                <w:sz w:val="20"/>
              </w:rPr>
              <w:t xml:space="preserve">dysphorie de genre </w:t>
            </w:r>
            <w:r>
              <w:rPr>
                <w:sz w:val="20"/>
              </w:rPr>
              <w:t xml:space="preserve">extrême tout au long de leur vie</w:t>
            </w:r>
            <w:r>
              <w:rPr>
                <w:sz w:val="20"/>
              </w:rPr>
              <w:t xml:space="preserve">, s'ils étaient </w:t>
            </w:r>
            <w:r>
              <w:rPr>
                <w:sz w:val="20"/>
              </w:rPr>
              <w:t xml:space="preserve">psychologiquement </w:t>
            </w:r>
            <w:r>
              <w:rPr>
                <w:sz w:val="20"/>
              </w:rPr>
              <w:t xml:space="preserve">stables </w:t>
            </w:r>
            <w:r>
              <w:rPr>
                <w:sz w:val="20"/>
              </w:rPr>
              <w:t xml:space="preserve">et s'</w:t>
            </w:r>
            <w:r>
              <w:rPr>
                <w:sz w:val="20"/>
              </w:rPr>
              <w:t xml:space="preserve">ils </w:t>
            </w:r>
            <w:r>
              <w:rPr>
                <w:sz w:val="20"/>
              </w:rPr>
              <w:t xml:space="preserve">vivaient </w:t>
            </w:r>
            <w:r>
              <w:rPr>
                <w:sz w:val="20"/>
              </w:rPr>
              <w:t xml:space="preserve">dans un environnement favorable. Aucun </w:t>
            </w:r>
            <w:r>
              <w:rPr>
                <w:sz w:val="20"/>
              </w:rPr>
              <w:t xml:space="preserve">traitement concomitant </w:t>
            </w:r>
            <w:r>
              <w:rPr>
                <w:sz w:val="20"/>
              </w:rPr>
              <w:t xml:space="preserve">n'a été </w:t>
            </w:r>
            <w:r>
              <w:rPr>
                <w:sz w:val="20"/>
              </w:rPr>
              <w:t xml:space="preserve">signalé.</w:t>
            </w:r>
          </w:p>
        </w:tc>
        <w:tc>
          <w:tcPr>
            <w:tcW w:w="2126" w:type="dxa"/>
          </w:tcPr>
          <w:p>
            <w:pPr>
              <w:pStyle w:val="TableParagraph"/>
              <w:ind w:start="107" w:end="378"/>
              <w:rPr>
                <w:sz w:val="20"/>
              </w:rPr>
            </w:pPr>
            <w:r>
              <w:rPr>
                <w:sz w:val="20"/>
              </w:rPr>
              <w:t xml:space="preserve">semaines </w:t>
            </w:r>
            <w:r>
              <w:rPr>
                <w:sz w:val="20"/>
              </w:rPr>
              <w:t xml:space="preserve">suivies d</w:t>
            </w:r>
            <w:r>
              <w:rPr>
                <w:sz w:val="20"/>
              </w:rPr>
              <w:t xml:space="preserve">'</w:t>
            </w:r>
            <w:r>
              <w:rPr>
                <w:sz w:val="20"/>
              </w:rPr>
              <w:t xml:space="preserve">injections toutes les 4 </w:t>
            </w:r>
            <w:r>
              <w:rPr>
                <w:sz w:val="20"/>
              </w:rPr>
              <w:t xml:space="preserve">semaines, voie d'</w:t>
            </w:r>
            <w:r>
              <w:rPr>
                <w:sz w:val="20"/>
              </w:rPr>
              <w:t xml:space="preserve">administration non </w:t>
            </w:r>
            <w:r>
              <w:rPr>
                <w:sz w:val="20"/>
              </w:rPr>
              <w:t xml:space="preserve">décrite) pendant au </w:t>
            </w:r>
            <w:r>
              <w:rPr>
                <w:sz w:val="20"/>
              </w:rPr>
              <w:t xml:space="preserve">moins </w:t>
            </w:r>
            <w:r>
              <w:rPr>
                <w:sz w:val="20"/>
              </w:rPr>
              <w:t xml:space="preserve">3 </w:t>
            </w:r>
            <w:r>
              <w:rPr>
                <w:sz w:val="20"/>
              </w:rPr>
              <w:t xml:space="preserve">mois.</w:t>
            </w:r>
          </w:p>
        </w:tc>
        <w:tc>
          <w:tcPr>
            <w:tcW w:w="3970" w:type="dxa"/>
          </w:tcPr>
          <w:p>
            <w:pPr>
              <w:pStyle w:val="TableParagraph"/>
              <w:ind w:start="108" w:end="207"/>
              <w:rPr>
                <w:sz w:val="20"/>
              </w:rPr>
            </w:pPr>
            <w:r>
              <w:rPr>
                <w:b/>
                <w:i/>
                <w:sz w:val="20"/>
              </w:rPr>
              <w:t xml:space="preserve">Autres </w:t>
            </w:r>
            <w:r>
              <w:rPr>
                <w:b/>
                <w:i/>
                <w:sz w:val="20"/>
              </w:rPr>
              <w:t xml:space="preserve">critères de</w:t>
            </w:r>
            <w:r>
              <w:rPr>
                <w:b/>
                <w:i/>
                <w:sz w:val="20"/>
              </w:rPr>
              <w:t xml:space="preserve"> sécurité </w:t>
            </w:r>
            <w:r>
              <w:rPr>
                <w:b/>
                <w:i/>
                <w:sz w:val="20"/>
              </w:rPr>
              <w:t xml:space="preserve">: fonction hépatique </w:t>
            </w:r>
            <w:r>
              <w:rPr>
                <w:sz w:val="20"/>
              </w:rPr>
              <w:t xml:space="preserve">La glutamyl transférase n'était pas élevée au </w:t>
            </w:r>
            <w:r>
              <w:rPr>
                <w:sz w:val="20"/>
              </w:rPr>
              <w:t xml:space="preserve">départ ni pendant le traitement chez aucun </w:t>
            </w:r>
            <w:r>
              <w:rPr>
                <w:sz w:val="20"/>
              </w:rPr>
              <w:t xml:space="preserve">sujet. De légères élévations de l'aspartate </w:t>
            </w:r>
            <w:r>
              <w:rPr>
                <w:sz w:val="20"/>
              </w:rPr>
              <w:t xml:space="preserve">aminotransférase (AST) et de l'alanine </w:t>
            </w:r>
            <w:r>
              <w:rPr>
                <w:sz w:val="20"/>
              </w:rPr>
              <w:t xml:space="preserve">aminotransférase (ALT) au-dessus de la </w:t>
            </w:r>
            <w:r>
              <w:rPr>
                <w:sz w:val="20"/>
              </w:rPr>
              <w:t xml:space="preserve">gamme de </w:t>
            </w:r>
            <w:r>
              <w:rPr>
                <w:sz w:val="20"/>
              </w:rPr>
              <w:t xml:space="preserve">référence </w:t>
            </w:r>
            <w:r>
              <w:rPr>
                <w:sz w:val="20"/>
              </w:rPr>
              <w:t xml:space="preserve">étaient </w:t>
            </w:r>
            <w:r>
              <w:rPr>
                <w:sz w:val="20"/>
              </w:rPr>
              <w:t xml:space="preserve">présentes </w:t>
            </w:r>
            <w:r>
              <w:rPr>
                <w:sz w:val="20"/>
              </w:rPr>
              <w:t xml:space="preserve">au </w:t>
            </w:r>
            <w:r>
              <w:rPr>
                <w:sz w:val="20"/>
              </w:rPr>
              <w:t xml:space="preserve">départ </w:t>
            </w:r>
            <w:r>
              <w:rPr>
                <w:sz w:val="20"/>
              </w:rPr>
              <w:t xml:space="preserve">mais n'étaient pas plus fréquentes pendant le </w:t>
            </w:r>
            <w:r>
              <w:rPr>
                <w:sz w:val="20"/>
              </w:rPr>
              <w:t xml:space="preserve">traitement </w:t>
            </w:r>
            <w:r>
              <w:rPr>
                <w:sz w:val="20"/>
              </w:rPr>
              <w:t xml:space="preserve">qu'au </w:t>
            </w:r>
            <w:r>
              <w:rPr>
                <w:sz w:val="20"/>
              </w:rPr>
              <w:t xml:space="preserve">départ.</w:t>
            </w:r>
          </w:p>
          <w:p>
            <w:pPr>
              <w:pStyle w:val="TableParagraph"/>
              <w:ind w:start="108" w:end="207"/>
              <w:rPr>
                <w:sz w:val="20"/>
              </w:rPr>
            </w:pPr>
            <w:r>
              <w:rPr>
                <w:sz w:val="20"/>
              </w:rPr>
              <w:t xml:space="preserve">Les </w:t>
            </w:r>
            <w:r>
              <w:rPr>
                <w:sz w:val="20"/>
              </w:rPr>
              <w:t xml:space="preserve">taux de </w:t>
            </w:r>
            <w:r>
              <w:rPr>
                <w:sz w:val="20"/>
              </w:rPr>
              <w:t xml:space="preserve">glutamyl transférase, d'AST et d'ALT </w:t>
            </w:r>
            <w:r>
              <w:rPr>
                <w:sz w:val="20"/>
              </w:rPr>
              <w:t xml:space="preserve">n'ont pas </w:t>
            </w:r>
            <w:r>
              <w:rPr>
                <w:sz w:val="20"/>
              </w:rPr>
              <w:t xml:space="preserve">changé de </w:t>
            </w:r>
            <w:r>
              <w:rPr>
                <w:sz w:val="20"/>
              </w:rPr>
              <w:t xml:space="preserve">manière significative </w:t>
            </w:r>
            <w:r>
              <w:rPr>
                <w:sz w:val="20"/>
              </w:rPr>
              <w:t xml:space="preserve">entre le </w:t>
            </w:r>
            <w:r>
              <w:rPr>
                <w:sz w:val="20"/>
              </w:rPr>
              <w:t xml:space="preserve">début du traitement </w:t>
            </w:r>
            <w:r>
              <w:rPr>
                <w:sz w:val="20"/>
              </w:rPr>
              <w:t xml:space="preserve">et les </w:t>
            </w:r>
            <w:r>
              <w:rPr>
                <w:sz w:val="20"/>
              </w:rPr>
              <w:t xml:space="preserve">12 </w:t>
            </w:r>
            <w:r>
              <w:rPr>
                <w:sz w:val="20"/>
              </w:rPr>
              <w:t xml:space="preserve">mois </w:t>
            </w:r>
            <w:r>
              <w:rPr>
                <w:sz w:val="20"/>
              </w:rPr>
              <w:t xml:space="preserve">de </w:t>
            </w:r>
            <w:r>
              <w:rPr>
                <w:sz w:val="20"/>
              </w:rPr>
              <w:t xml:space="preserve">traitement.</w:t>
            </w:r>
          </w:p>
          <w:p>
            <w:pPr>
              <w:pStyle w:val="TableParagraph"/>
              <w:ind w:start="108"/>
              <w:rPr>
                <w:sz w:val="20"/>
              </w:rPr>
            </w:pPr>
            <w:r>
              <w:rPr>
                <w:sz w:val="20"/>
              </w:rPr>
              <w:t xml:space="preserve">Aucune </w:t>
            </w:r>
            <w:r>
              <w:rPr>
                <w:sz w:val="20"/>
              </w:rPr>
              <w:t xml:space="preserve">valeur </w:t>
            </w:r>
            <w:r>
              <w:rPr>
                <w:sz w:val="20"/>
              </w:rPr>
              <w:t xml:space="preserve">ou </w:t>
            </w:r>
            <w:r>
              <w:rPr>
                <w:sz w:val="20"/>
              </w:rPr>
              <w:t xml:space="preserve">analyse </w:t>
            </w:r>
            <w:r>
              <w:rPr>
                <w:sz w:val="20"/>
              </w:rPr>
              <w:t xml:space="preserve">statistique </w:t>
            </w:r>
            <w:r>
              <w:rPr>
                <w:sz w:val="20"/>
              </w:rPr>
              <w:t xml:space="preserve">n'</w:t>
            </w:r>
            <w:r>
              <w:rPr>
                <w:sz w:val="20"/>
              </w:rPr>
              <w:t xml:space="preserve">a été </w:t>
            </w:r>
            <w:r>
              <w:rPr>
                <w:sz w:val="20"/>
              </w:rPr>
              <w:t xml:space="preserve">rapportée.</w:t>
            </w:r>
          </w:p>
          <w:p w:rsidR="00432386" w:rsidRDefault="00432386">
            <w:pPr>
              <w:pStyle w:val="TableParagraph"/>
              <w:spacing w:before="3"/>
              <w:rPr>
                <w:sz w:val="19"/>
              </w:rPr>
            </w:pPr>
          </w:p>
          <w:p>
            <w:pPr>
              <w:pStyle w:val="TableParagraph"/>
              <w:ind w:start="108" w:end="928"/>
              <w:rPr>
                <w:b/>
                <w:i/>
                <w:sz w:val="20"/>
              </w:rPr>
            </w:pPr>
            <w:r>
              <w:rPr>
                <w:b/>
                <w:i/>
                <w:sz w:val="20"/>
              </w:rPr>
              <w:t xml:space="preserve">Autres </w:t>
            </w:r>
            <w:r>
              <w:rPr>
                <w:b/>
                <w:i/>
                <w:sz w:val="20"/>
              </w:rPr>
              <w:t xml:space="preserve">critères de </w:t>
            </w:r>
            <w:r>
              <w:rPr>
                <w:b/>
                <w:i/>
                <w:sz w:val="20"/>
              </w:rPr>
              <w:t xml:space="preserve">sécurité </w:t>
            </w:r>
            <w:r>
              <w:rPr>
                <w:b/>
                <w:i/>
                <w:sz w:val="20"/>
              </w:rPr>
              <w:t xml:space="preserve">: </w:t>
            </w:r>
            <w:r>
              <w:rPr>
                <w:b/>
                <w:i/>
                <w:sz w:val="20"/>
              </w:rPr>
              <w:t xml:space="preserve">fonction </w:t>
            </w:r>
            <w:r>
              <w:rPr>
                <w:b/>
                <w:i/>
                <w:sz w:val="20"/>
              </w:rPr>
              <w:t xml:space="preserve">rénale</w:t>
            </w:r>
          </w:p>
          <w:p>
            <w:pPr>
              <w:pStyle w:val="TableParagraph"/>
              <w:ind w:start="108"/>
              <w:rPr>
                <w:b/>
                <w:sz w:val="20"/>
              </w:rPr>
            </w:pPr>
            <w:r>
              <w:rPr>
                <w:b/>
                <w:sz w:val="20"/>
              </w:rPr>
              <w:t xml:space="preserve">Modification de </w:t>
            </w:r>
            <w:r>
              <w:rPr>
                <w:b/>
                <w:sz w:val="20"/>
              </w:rPr>
              <w:t xml:space="preserve">la </w:t>
            </w:r>
            <w:r>
              <w:rPr>
                <w:b/>
                <w:sz w:val="20"/>
              </w:rPr>
              <w:t xml:space="preserve">créatinine </w:t>
            </w:r>
            <w:r>
              <w:rPr>
                <w:b/>
                <w:sz w:val="20"/>
              </w:rPr>
              <w:t xml:space="preserve">sérique </w:t>
            </w:r>
            <w:r>
              <w:rPr>
                <w:b/>
                <w:sz w:val="20"/>
              </w:rPr>
              <w:t xml:space="preserve">entre </w:t>
            </w:r>
            <w:r>
              <w:rPr>
                <w:b/>
                <w:sz w:val="20"/>
              </w:rPr>
              <w:t xml:space="preserve">0 </w:t>
            </w:r>
            <w:r>
              <w:rPr>
                <w:b/>
                <w:sz w:val="20"/>
              </w:rPr>
              <w:t xml:space="preserve">et </w:t>
            </w:r>
            <w:r>
              <w:rPr>
                <w:b/>
                <w:sz w:val="20"/>
              </w:rPr>
              <w:t xml:space="preserve">1 </w:t>
            </w:r>
            <w:r>
              <w:rPr>
                <w:b/>
                <w:sz w:val="20"/>
              </w:rPr>
              <w:t xml:space="preserve">an</w:t>
            </w:r>
          </w:p>
          <w:p>
            <w:pPr>
              <w:pStyle w:val="TableParagraph"/>
              <w:ind w:start="108"/>
              <w:rPr>
                <w:sz w:val="20"/>
              </w:rPr>
            </w:pPr>
            <w:r>
              <w:rPr>
                <w:sz w:val="20"/>
              </w:rPr>
              <w:t xml:space="preserve">Femmes transférées </w:t>
            </w:r>
            <w:r>
              <w:rPr>
                <w:sz w:val="20"/>
              </w:rPr>
              <w:t xml:space="preserve">(moyenne </w:t>
            </w:r>
            <w:r>
              <w:rPr>
                <w:sz w:val="20"/>
              </w:rPr>
              <w:t xml:space="preserve">[±SD]) : </w:t>
            </w:r>
            <w:r>
              <w:rPr>
                <w:sz w:val="20"/>
              </w:rPr>
              <w:t xml:space="preserve">70</w:t>
            </w:r>
          </w:p>
          <w:p>
            <w:pPr>
              <w:pStyle w:val="TableParagraph"/>
              <w:spacing w:before="19" w:line="242" w:lineRule="auto"/>
              <w:ind w:start="108" w:end="741"/>
              <w:rPr>
                <w:sz w:val="20"/>
              </w:rPr>
            </w:pPr>
            <w:r>
              <w:rPr>
                <w:sz w:val="20"/>
              </w:rPr>
              <w:t xml:space="preserve">(12) micromol/l au départ, 66 (13) </w:t>
            </w:r>
            <w:r>
              <w:rPr>
                <w:sz w:val="20"/>
              </w:rPr>
              <w:t xml:space="preserve">micromol/l </w:t>
            </w:r>
            <w:r>
              <w:rPr>
                <w:sz w:val="20"/>
              </w:rPr>
              <w:t xml:space="preserve">à </w:t>
            </w:r>
            <w:r>
              <w:rPr>
                <w:sz w:val="20"/>
              </w:rPr>
              <w:t xml:space="preserve">1 </w:t>
            </w:r>
            <w:r>
              <w:rPr>
                <w:sz w:val="20"/>
              </w:rPr>
              <w:t xml:space="preserve">an </w:t>
            </w:r>
            <w:r>
              <w:rPr>
                <w:sz w:val="20"/>
              </w:rPr>
              <w:t xml:space="preserve">(p=0,20)</w:t>
            </w:r>
          </w:p>
          <w:p w:rsidR="00432386" w:rsidRDefault="00432386">
            <w:pPr>
              <w:pStyle w:val="TableParagraph"/>
              <w:spacing w:before="11"/>
              <w:rPr>
                <w:sz w:val="19"/>
              </w:rPr>
            </w:pPr>
          </w:p>
          <w:p>
            <w:pPr>
              <w:pStyle w:val="TableParagraph"/>
              <w:ind w:start="108"/>
              <w:rPr>
                <w:sz w:val="20"/>
              </w:rPr>
            </w:pPr>
            <w:r>
              <w:rPr>
                <w:sz w:val="20"/>
              </w:rPr>
              <w:t xml:space="preserve">Transmales </w:t>
            </w:r>
            <w:r>
              <w:rPr>
                <w:sz w:val="20"/>
              </w:rPr>
              <w:t xml:space="preserve">(moyenne </w:t>
            </w:r>
            <w:r>
              <w:rPr>
                <w:sz w:val="20"/>
              </w:rPr>
              <w:t xml:space="preserve">[±SD]) : </w:t>
            </w:r>
            <w:r>
              <w:rPr>
                <w:sz w:val="20"/>
              </w:rPr>
              <w:t xml:space="preserve">73 </w:t>
            </w:r>
            <w:r>
              <w:rPr>
                <w:sz w:val="20"/>
              </w:rPr>
              <w:t xml:space="preserve">(8)</w:t>
            </w:r>
          </w:p>
          <w:p>
            <w:pPr>
              <w:pStyle w:val="TableParagraph"/>
              <w:ind w:start="108" w:end="186"/>
              <w:rPr>
                <w:sz w:val="20"/>
              </w:rPr>
            </w:pPr>
            <w:r>
              <w:rPr>
                <w:sz w:val="20"/>
              </w:rPr>
              <w:t xml:space="preserve">micromol/l au départ, 68 (13) micromol/l </w:t>
            </w:r>
            <w:r>
              <w:rPr>
                <w:sz w:val="20"/>
              </w:rPr>
              <w:t xml:space="preserve">à </w:t>
            </w:r>
            <w:r>
              <w:rPr>
                <w:sz w:val="20"/>
              </w:rPr>
              <w:t xml:space="preserve">1 </w:t>
            </w:r>
            <w:r>
              <w:rPr>
                <w:sz w:val="20"/>
              </w:rPr>
              <w:t xml:space="preserve">an </w:t>
            </w:r>
            <w:r>
              <w:rPr>
                <w:sz w:val="20"/>
              </w:rPr>
              <w:t xml:space="preserve">(p=0,01)</w:t>
            </w:r>
          </w:p>
        </w:tc>
        <w:tc>
          <w:tcPr>
            <w:tcW w:w="3202" w:type="dxa"/>
          </w:tcPr>
          <w:p w:rsidR="00432386" w:rsidRDefault="00432386">
            <w:pPr>
              <w:pStyle w:val="TableParagraph"/>
              <w:spacing w:before="1"/>
              <w:rPr>
                <w:sz w:val="19"/>
              </w:rPr>
            </w:pPr>
          </w:p>
          <w:p>
            <w:pPr>
              <w:pStyle w:val="TableParagraph"/>
              <w:ind w:start="108"/>
              <w:jc w:val="both"/>
              <w:rPr>
                <w:b/>
                <w:sz w:val="20"/>
              </w:rPr>
            </w:pPr>
            <w:r>
              <w:rPr>
                <w:b/>
                <w:sz w:val="20"/>
              </w:rPr>
              <w:t xml:space="preserve">Domaine </w:t>
            </w:r>
            <w:r>
              <w:rPr>
                <w:b/>
                <w:sz w:val="20"/>
              </w:rPr>
              <w:t xml:space="preserve">1 : </w:t>
            </w:r>
            <w:r>
              <w:rPr>
                <w:b/>
                <w:sz w:val="20"/>
              </w:rPr>
              <w:t xml:space="preserve">Sélection</w:t>
            </w:r>
          </w:p>
          <w:p>
            <w:pPr>
              <w:pStyle w:val="TableParagraph"/>
              <w:numPr>
                <w:ilvl w:val="0"/>
                <w:numId w:val="18"/>
              </w:numPr>
              <w:tabs>
                <w:tab w:val="left" w:pos="330"/>
              </w:tabs>
              <w:spacing w:before="1"/>
              <w:ind w:end="406" w:firstLine="0"/>
              <w:jc w:val="both"/>
              <w:rPr>
                <w:sz w:val="20"/>
              </w:rPr>
            </w:pPr>
            <w:r>
              <w:rPr>
                <w:sz w:val="20"/>
              </w:rPr>
              <w:t xml:space="preserve">quelque peu représentatifs des </w:t>
            </w:r>
            <w:r>
              <w:rPr>
                <w:sz w:val="20"/>
              </w:rPr>
              <w:t xml:space="preserve">enfants et des adolescents qui </w:t>
            </w:r>
            <w:r>
              <w:rPr>
                <w:sz w:val="20"/>
              </w:rPr>
              <w:t xml:space="preserve">souffrent de </w:t>
            </w:r>
            <w:r>
              <w:rPr>
                <w:sz w:val="20"/>
              </w:rPr>
              <w:t xml:space="preserve">dysphorie de </w:t>
            </w:r>
            <w:r>
              <w:rPr>
                <w:sz w:val="20"/>
              </w:rPr>
              <w:t xml:space="preserve">genre</w:t>
            </w:r>
          </w:p>
          <w:p>
            <w:pPr>
              <w:pStyle w:val="TableParagraph"/>
              <w:numPr>
                <w:ilvl w:val="0"/>
                <w:numId w:val="18"/>
              </w:numPr>
              <w:tabs>
                <w:tab w:val="left" w:pos="330"/>
              </w:tabs>
              <w:spacing w:line="229" w:lineRule="exact"/>
              <w:ind w:start="329" w:hanging="222"/>
              <w:jc w:val="both"/>
              <w:rPr>
                <w:sz w:val="20"/>
              </w:rPr>
            </w:pPr>
            <w:r>
              <w:rPr>
                <w:sz w:val="20"/>
              </w:rPr>
              <w:t xml:space="preserve">sans </w:t>
            </w:r>
            <w:r>
              <w:rPr>
                <w:sz w:val="20"/>
              </w:rPr>
              <w:t xml:space="preserve">objet</w:t>
            </w:r>
          </w:p>
          <w:p>
            <w:pPr>
              <w:pStyle w:val="TableParagraph"/>
              <w:numPr>
                <w:ilvl w:val="0"/>
                <w:numId w:val="18"/>
              </w:numPr>
              <w:tabs>
                <w:tab w:val="left" w:pos="330"/>
              </w:tabs>
              <w:ind w:start="329" w:hanging="222"/>
              <w:jc w:val="both"/>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18"/>
              </w:numPr>
              <w:tabs>
                <w:tab w:val="left" w:pos="330"/>
              </w:tabs>
              <w:spacing w:before="1"/>
              <w:ind w:start="329" w:hanging="222"/>
              <w:jc w:val="both"/>
              <w:rPr>
                <w:sz w:val="20"/>
              </w:rPr>
            </w:pPr>
            <w:r>
              <w:rPr>
                <w:sz w:val="20"/>
              </w:rPr>
              <w:t xml:space="preserve">pas de</w:t>
            </w:r>
          </w:p>
          <w:p>
            <w:pPr>
              <w:pStyle w:val="TableParagraph"/>
              <w:ind w:start="108"/>
              <w:jc w:val="both"/>
              <w:rPr>
                <w:b/>
                <w:sz w:val="20"/>
              </w:rPr>
            </w:pPr>
            <w:r>
              <w:rPr>
                <w:b/>
                <w:sz w:val="20"/>
              </w:rPr>
              <w:t xml:space="preserve">Domaine </w:t>
            </w:r>
            <w:r>
              <w:rPr>
                <w:b/>
                <w:sz w:val="20"/>
              </w:rPr>
              <w:t xml:space="preserve">2 : </w:t>
            </w:r>
            <w:r>
              <w:rPr>
                <w:b/>
                <w:sz w:val="20"/>
              </w:rPr>
              <w:t xml:space="preserve">Comparabilité</w:t>
            </w:r>
          </w:p>
          <w:p>
            <w:pPr>
              <w:pStyle w:val="TableParagraph"/>
              <w:spacing w:before="1"/>
              <w:ind w:start="108"/>
              <w:jc w:val="both"/>
              <w:rPr>
                <w:sz w:val="20"/>
              </w:rPr>
            </w:pPr>
            <w:r>
              <w:rPr>
                <w:sz w:val="20"/>
              </w:rPr>
              <w:t xml:space="preserve">1. </w:t>
            </w:r>
            <w:r>
              <w:rPr>
                <w:sz w:val="20"/>
              </w:rPr>
              <w:t xml:space="preserve">pas de </w:t>
            </w:r>
            <w:r>
              <w:rPr>
                <w:sz w:val="20"/>
              </w:rPr>
              <w:t xml:space="preserve">groupe de </w:t>
            </w:r>
            <w:r>
              <w:rPr>
                <w:sz w:val="20"/>
              </w:rPr>
              <w:t xml:space="preserve">contrôle</w:t>
            </w:r>
          </w:p>
          <w:p>
            <w:pPr>
              <w:pStyle w:val="TableParagraph"/>
              <w:spacing w:before="1" w:line="229" w:lineRule="exact"/>
              <w:ind w:start="108"/>
              <w:jc w:val="both"/>
              <w:rPr>
                <w:b/>
                <w:sz w:val="20"/>
              </w:rPr>
            </w:pPr>
            <w:r>
              <w:rPr>
                <w:b/>
                <w:sz w:val="20"/>
              </w:rPr>
              <w:t xml:space="preserve">Domaine </w:t>
            </w:r>
            <w:r>
              <w:rPr>
                <w:b/>
                <w:sz w:val="20"/>
              </w:rPr>
              <w:t xml:space="preserve">3 : </w:t>
            </w:r>
            <w:r>
              <w:rPr>
                <w:b/>
                <w:sz w:val="20"/>
              </w:rPr>
              <w:t xml:space="preserve">Résultat</w:t>
            </w:r>
          </w:p>
          <w:p>
            <w:pPr>
              <w:pStyle w:val="TableParagraph"/>
              <w:numPr>
                <w:ilvl w:val="0"/>
                <w:numId w:val="17"/>
              </w:numPr>
              <w:tabs>
                <w:tab w:val="left" w:pos="330"/>
              </w:tabs>
              <w:spacing w:line="229" w:lineRule="exact"/>
              <w:ind w:hanging="222"/>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17"/>
              </w:numPr>
              <w:tabs>
                <w:tab w:val="left" w:pos="330"/>
              </w:tabs>
              <w:ind w:hanging="222"/>
              <w:rPr>
                <w:sz w:val="20"/>
              </w:rPr>
            </w:pPr>
            <w:r>
              <w:rPr>
                <w:sz w:val="20"/>
              </w:rPr>
              <w:t xml:space="preserve">oui</w:t>
            </w:r>
          </w:p>
          <w:p>
            <w:pPr>
              <w:pStyle w:val="TableParagraph"/>
              <w:numPr>
                <w:ilvl w:val="0"/>
                <w:numId w:val="17"/>
              </w:numPr>
              <w:tabs>
                <w:tab w:val="left" w:pos="330"/>
              </w:tabs>
              <w:ind w:hanging="222"/>
              <w:rPr>
                <w:sz w:val="20"/>
              </w:rPr>
            </w:pPr>
            <w:r>
              <w:rPr>
                <w:sz w:val="20"/>
              </w:rPr>
              <w:t xml:space="preserve">aucune </w:t>
            </w:r>
            <w:r>
              <w:rPr>
                <w:sz w:val="20"/>
              </w:rPr>
              <w:t xml:space="preserve">déclaration</w:t>
            </w:r>
          </w:p>
          <w:p w:rsidR="00432386" w:rsidRDefault="00432386">
            <w:pPr>
              <w:pStyle w:val="TableParagraph"/>
              <w:spacing w:before="1"/>
              <w:rPr>
                <w:sz w:val="20"/>
              </w:rPr>
            </w:pPr>
          </w:p>
          <w:p>
            <w:pPr>
              <w:pStyle w:val="TableParagraph"/>
              <w:ind w:start="108" w:end="245"/>
              <w:rPr>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r>
              <w:rPr>
                <w:sz w:val="20"/>
              </w:rPr>
              <w:t xml:space="preserve">.</w:t>
            </w:r>
          </w:p>
          <w:p w:rsidR="00432386" w:rsidRDefault="00432386">
            <w:pPr>
              <w:pStyle w:val="TableParagraph"/>
              <w:spacing w:before="10"/>
              <w:rPr>
                <w:sz w:val="23"/>
              </w:rPr>
            </w:pPr>
          </w:p>
          <w:p>
            <w:pPr>
              <w:pStyle w:val="TableParagraph"/>
              <w:ind w:start="108" w:end="182"/>
              <w:rPr>
                <w:sz w:val="20"/>
              </w:rPr>
            </w:pPr>
            <w:r>
              <w:rPr>
                <w:sz w:val="20"/>
              </w:rPr>
              <w:t xml:space="preserve">Autres commentaires : </w:t>
            </w:r>
            <w:r>
              <w:rPr>
                <w:sz w:val="20"/>
              </w:rPr>
              <w:t xml:space="preserve">Comparaison </w:t>
            </w:r>
            <w:r>
              <w:rPr>
                <w:sz w:val="20"/>
              </w:rPr>
              <w:t xml:space="preserve">intra-personne</w:t>
            </w:r>
            <w:r>
              <w:rPr>
                <w:sz w:val="20"/>
              </w:rPr>
              <w:t xml:space="preserve">. Aucun </w:t>
            </w:r>
            <w:r>
              <w:rPr>
                <w:sz w:val="20"/>
              </w:rPr>
              <w:t xml:space="preserve">traitement </w:t>
            </w:r>
            <w:r>
              <w:rPr>
                <w:sz w:val="20"/>
              </w:rPr>
              <w:t xml:space="preserve">concomitant </w:t>
            </w:r>
            <w:r>
              <w:rPr>
                <w:sz w:val="20"/>
              </w:rPr>
              <w:t xml:space="preserve">ou </w:t>
            </w:r>
            <w:r>
              <w:rPr>
                <w:sz w:val="20"/>
              </w:rPr>
              <w:t xml:space="preserve">comorbidité </w:t>
            </w:r>
            <w:r>
              <w:rPr>
                <w:sz w:val="20"/>
              </w:rPr>
              <w:t xml:space="preserve">n'a </w:t>
            </w:r>
            <w:r>
              <w:rPr>
                <w:sz w:val="20"/>
              </w:rPr>
              <w:t xml:space="preserve">été </w:t>
            </w:r>
            <w:r>
              <w:rPr>
                <w:sz w:val="20"/>
              </w:rPr>
              <w:t xml:space="preserve">signalé.</w:t>
            </w:r>
          </w:p>
          <w:p w:rsidR="00432386" w:rsidRDefault="00432386">
            <w:pPr>
              <w:pStyle w:val="TableParagraph"/>
              <w:rPr>
                <w:sz w:val="20"/>
              </w:rPr>
            </w:pPr>
          </w:p>
          <w:p>
            <w:pPr>
              <w:pStyle w:val="TableParagraph"/>
              <w:ind w:start="108" w:end="676"/>
              <w:rPr>
                <w:sz w:val="20"/>
              </w:rPr>
            </w:pPr>
            <w:r>
              <w:rPr>
                <w:sz w:val="20"/>
              </w:rPr>
              <w:t xml:space="preserve">Source de financement : Ferring </w:t>
            </w:r>
            <w:r>
              <w:rPr>
                <w:sz w:val="20"/>
              </w:rPr>
              <w:t xml:space="preserve">pharmaceuticals </w:t>
            </w:r>
            <w:r>
              <w:rPr>
                <w:sz w:val="20"/>
              </w:rPr>
              <w:t xml:space="preserve">(</w:t>
            </w:r>
            <w:r>
              <w:rPr>
                <w:sz w:val="20"/>
              </w:rPr>
              <w:t xml:space="preserve">fabricant de la </w:t>
            </w:r>
            <w:r>
              <w:rPr>
                <w:sz w:val="20"/>
              </w:rPr>
              <w:t xml:space="preserve">triptoréline</w:t>
            </w:r>
            <w:r>
              <w:rPr>
                <w:sz w:val="20"/>
              </w:rPr>
              <w:t xml:space="preserve">)</w:t>
            </w:r>
          </w:p>
        </w:tc>
      </w:tr>
    </w:tbl>
    <w:p w:rsidR="00432386" w:rsidRDefault="00432386">
      <w:pPr>
        <w:pStyle w:val="Corpsdetexte"/>
        <w:spacing w:before="0"/>
        <w:ind w:start="0"/>
        <w:rPr>
          <w:sz w:val="20"/>
        </w:rPr>
      </w:pPr>
    </w:p>
    <w:p w:rsidR="00432386" w:rsidRDefault="00432386">
      <w:pPr>
        <w:pStyle w:val="Corpsdetexte"/>
        <w:spacing w:before="5"/>
        <w:ind w:start="0"/>
        <w:rPr>
          <w:sz w:val="23"/>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31"/>
        <w:gridCol w:w="3591"/>
        <w:gridCol w:w="2083"/>
        <w:gridCol w:w="3927"/>
        <w:gridCol w:w="3159"/>
      </w:tblGrid>
      <w:tr w:rsidR="00432386">
        <w:trPr>
          <w:trHeight w:val="290"/>
        </w:trPr>
        <w:tc>
          <w:tcPr>
            <w:tcW w:w="2631"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591" w:type="dxa"/>
            <w:shd w:val="clear" w:color="auto" w:fill="8DB3E1"/>
          </w:tcPr>
          <w:p>
            <w:pPr>
              <w:pStyle w:val="TableParagraph"/>
              <w:spacing w:line="229" w:lineRule="exact"/>
              <w:ind w:start="105"/>
              <w:rPr>
                <w:b/>
                <w:sz w:val="20"/>
              </w:rPr>
            </w:pPr>
            <w:r>
              <w:rPr>
                <w:b/>
                <w:sz w:val="20"/>
              </w:rPr>
              <w:t xml:space="preserve">Population</w:t>
            </w:r>
          </w:p>
        </w:tc>
        <w:tc>
          <w:tcPr>
            <w:tcW w:w="2083" w:type="dxa"/>
            <w:shd w:val="clear" w:color="auto" w:fill="8DB3E1"/>
          </w:tcPr>
          <w:p>
            <w:pPr>
              <w:pStyle w:val="TableParagraph"/>
              <w:spacing w:line="229" w:lineRule="exact"/>
              <w:ind w:start="107"/>
              <w:rPr>
                <w:b/>
                <w:sz w:val="20"/>
              </w:rPr>
            </w:pPr>
            <w:r>
              <w:rPr>
                <w:b/>
                <w:sz w:val="20"/>
              </w:rPr>
              <w:t xml:space="preserve">Interventions</w:t>
            </w:r>
          </w:p>
        </w:tc>
        <w:tc>
          <w:tcPr>
            <w:tcW w:w="3927" w:type="dxa"/>
            <w:shd w:val="clear" w:color="auto" w:fill="8DB3E1"/>
          </w:tcPr>
          <w:p>
            <w:pPr>
              <w:pStyle w:val="TableParagraph"/>
              <w:spacing w:line="229" w:lineRule="exact"/>
              <w:ind w:start="107"/>
              <w:rPr>
                <w:b/>
                <w:sz w:val="20"/>
              </w:rPr>
            </w:pPr>
            <w:r>
              <w:rPr>
                <w:b/>
                <w:sz w:val="20"/>
              </w:rPr>
              <w:t xml:space="preserve">Résultats de l'</w:t>
            </w:r>
            <w:r>
              <w:rPr>
                <w:b/>
                <w:sz w:val="20"/>
              </w:rPr>
              <w:t xml:space="preserve">étude</w:t>
            </w:r>
          </w:p>
        </w:tc>
        <w:tc>
          <w:tcPr>
            <w:tcW w:w="3159" w:type="dxa"/>
            <w:shd w:val="clear" w:color="auto" w:fill="8DB3E1"/>
          </w:tcPr>
          <w:p>
            <w:pPr>
              <w:pStyle w:val="TableParagraph"/>
              <w:spacing w:line="229"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1149"/>
        </w:trPr>
        <w:tc>
          <w:tcPr>
            <w:tcW w:w="2631" w:type="dxa"/>
          </w:tcPr>
          <w:p>
            <w:pPr>
              <w:pStyle w:val="TableParagraph"/>
              <w:ind w:start="107" w:end="141"/>
              <w:rPr>
                <w:sz w:val="20"/>
              </w:rPr>
            </w:pPr>
            <w:r>
              <w:rPr>
                <w:sz w:val="20"/>
              </w:rPr>
              <w:t xml:space="preserve">Staphorsius </w:t>
            </w:r>
            <w:r>
              <w:rPr>
                <w:sz w:val="20"/>
              </w:rPr>
              <w:t xml:space="preserve">A, </w:t>
            </w:r>
            <w:r>
              <w:rPr>
                <w:sz w:val="20"/>
              </w:rPr>
              <w:t xml:space="preserve">Baudewijntje P, Kreukels </w:t>
            </w:r>
            <w:r>
              <w:rPr>
                <w:sz w:val="20"/>
              </w:rPr>
              <w:t xml:space="preserve">P, et al. (2015) </w:t>
            </w:r>
            <w:hyperlink r:id="rId292">
              <w:r>
                <w:rPr>
                  <w:color w:val="0000FF"/>
                  <w:sz w:val="20"/>
                  <w:u w:val="single" w:color="0000FF"/>
                </w:rPr>
                <w:t xml:space="preserve">Puberty </w:t>
              </w:r>
            </w:hyperlink>
            <w:hyperlink r:id="rId293">
              <w:r>
                <w:rPr>
                  <w:color w:val="0000FF"/>
                  <w:sz w:val="20"/>
                  <w:u w:val="single" w:color="0000FF"/>
                </w:rPr>
                <w:t xml:space="preserve">suppression</w:t>
              </w:r>
              <w:r>
                <w:rPr>
                  <w:color w:val="0000FF"/>
                  <w:sz w:val="20"/>
                  <w:u w:val="single" w:color="0000FF"/>
                </w:rPr>
                <w:t xml:space="preserve">and</w:t>
              </w:r>
              <w:r>
                <w:rPr>
                  <w:color w:val="0000FF"/>
                  <w:sz w:val="20"/>
                  <w:u w:val="single" w:color="0000FF"/>
                </w:rPr>
                <w:t xml:space="preserve">executive</w:t>
              </w:r>
            </w:hyperlink>
          </w:p>
          <w:p>
            <w:pPr>
              <w:pStyle w:val="TableParagraph"/>
              <w:spacing w:line="210" w:lineRule="exact"/>
              <w:ind w:start="107"/>
              <w:rPr>
                <w:sz w:val="20"/>
              </w:rPr>
            </w:pPr>
            <w:hyperlink r:id="rId294">
              <w:r>
                <w:rPr>
                  <w:color w:val="0000FF"/>
                  <w:sz w:val="20"/>
                  <w:u w:val="single" w:color="0000FF"/>
                </w:rPr>
                <w:t xml:space="preserve">fonctionnement : </w:t>
              </w:r>
              <w:r>
                <w:rPr>
                  <w:color w:val="0000FF"/>
                  <w:sz w:val="20"/>
                  <w:u w:val="single" w:color="0000FF"/>
                </w:rPr>
                <w:t xml:space="preserve">une </w:t>
              </w:r>
              <w:r>
                <w:rPr>
                  <w:color w:val="0000FF"/>
                  <w:sz w:val="20"/>
                  <w:u w:val="single" w:color="0000FF"/>
                </w:rPr>
                <w:t xml:space="preserve">étude par IRMf</w:t>
              </w:r>
            </w:hyperlink>
          </w:p>
        </w:tc>
        <w:tc>
          <w:tcPr>
            <w:tcW w:w="3591" w:type="dxa"/>
          </w:tcPr>
          <w:p>
            <w:pPr>
              <w:pStyle w:val="TableParagraph"/>
              <w:ind w:start="105" w:end="165"/>
              <w:rPr>
                <w:sz w:val="20"/>
              </w:rPr>
            </w:pPr>
            <w:r>
              <w:rPr>
                <w:sz w:val="20"/>
              </w:rPr>
              <w:t xml:space="preserve">Les </w:t>
            </w:r>
            <w:r>
              <w:rPr>
                <w:sz w:val="20"/>
              </w:rPr>
              <w:t xml:space="preserve">critères d'</w:t>
            </w:r>
            <w:r>
              <w:rPr>
                <w:sz w:val="20"/>
              </w:rPr>
              <w:t xml:space="preserve">inclusion </w:t>
            </w:r>
            <w:r>
              <w:rPr>
                <w:sz w:val="20"/>
              </w:rPr>
              <w:t xml:space="preserve">étaient le </w:t>
            </w:r>
            <w:r>
              <w:rPr>
                <w:sz w:val="20"/>
              </w:rPr>
              <w:t xml:space="preserve">diagnostic de </w:t>
            </w:r>
            <w:r>
              <w:rPr>
                <w:sz w:val="20"/>
              </w:rPr>
              <w:t xml:space="preserve">trouble de l'identité sexuelle selon le </w:t>
            </w:r>
            <w:r>
              <w:rPr>
                <w:sz w:val="20"/>
              </w:rPr>
              <w:t xml:space="preserve">DSM-IV-TR, l'</w:t>
            </w:r>
            <w:r>
              <w:rPr>
                <w:sz w:val="20"/>
              </w:rPr>
              <w:t xml:space="preserve">âge </w:t>
            </w:r>
            <w:r>
              <w:rPr>
                <w:sz w:val="20"/>
              </w:rPr>
              <w:t xml:space="preserve">minimum de </w:t>
            </w:r>
            <w:r>
              <w:rPr>
                <w:sz w:val="20"/>
              </w:rPr>
              <w:t xml:space="preserve">12 </w:t>
            </w:r>
            <w:r>
              <w:rPr>
                <w:sz w:val="20"/>
              </w:rPr>
              <w:t xml:space="preserve">ans </w:t>
            </w:r>
            <w:r>
              <w:rPr>
                <w:sz w:val="20"/>
              </w:rPr>
              <w:t xml:space="preserve">et le </w:t>
            </w:r>
            <w:r>
              <w:rPr>
                <w:sz w:val="20"/>
              </w:rPr>
              <w:t xml:space="preserve">stade de </w:t>
            </w:r>
            <w:r>
              <w:rPr>
                <w:sz w:val="20"/>
              </w:rPr>
              <w:t xml:space="preserve">Tanner.</w:t>
            </w:r>
          </w:p>
          <w:p>
            <w:pPr>
              <w:pStyle w:val="TableParagraph"/>
              <w:spacing w:line="210" w:lineRule="exact"/>
              <w:ind w:start="105"/>
              <w:rPr>
                <w:sz w:val="20"/>
              </w:rPr>
            </w:pPr>
            <w:r>
              <w:rPr>
                <w:sz w:val="20"/>
              </w:rPr>
              <w:t xml:space="preserve">d'</w:t>
            </w:r>
            <w:r>
              <w:rPr>
                <w:sz w:val="20"/>
              </w:rPr>
              <w:t xml:space="preserve">au moins </w:t>
            </w:r>
            <w:r>
              <w:rPr>
                <w:sz w:val="20"/>
              </w:rPr>
              <w:t xml:space="preserve">B2 ou </w:t>
            </w:r>
            <w:r>
              <w:rPr>
                <w:sz w:val="20"/>
              </w:rPr>
              <w:t xml:space="preserve">G2 </w:t>
            </w:r>
            <w:r>
              <w:rPr>
                <w:sz w:val="20"/>
              </w:rPr>
              <w:t xml:space="preserve">à </w:t>
            </w:r>
            <w:r>
              <w:rPr>
                <w:sz w:val="20"/>
              </w:rPr>
              <w:t xml:space="preserve">G3 </w:t>
            </w:r>
            <w:r>
              <w:rPr>
                <w:sz w:val="20"/>
              </w:rPr>
              <w:t xml:space="preserve">avec</w:t>
            </w:r>
          </w:p>
        </w:tc>
        <w:tc>
          <w:tcPr>
            <w:tcW w:w="2083" w:type="dxa"/>
          </w:tcPr>
          <w:p>
            <w:pPr>
              <w:pStyle w:val="TableParagraph"/>
              <w:ind w:start="107" w:end="243"/>
              <w:rPr>
                <w:sz w:val="20"/>
              </w:rPr>
            </w:pPr>
            <w:r>
              <w:rPr>
                <w:b/>
                <w:sz w:val="20"/>
              </w:rPr>
              <w:t xml:space="preserve">Intervention </w:t>
            </w:r>
            <w:r>
              <w:rPr>
                <w:sz w:val="20"/>
              </w:rPr>
              <w:t xml:space="preserve">analogues de la GnRH </w:t>
            </w:r>
            <w:r>
              <w:rPr>
                <w:sz w:val="20"/>
              </w:rPr>
              <w:t xml:space="preserve">(</w:t>
            </w:r>
            <w:r>
              <w:rPr>
                <w:sz w:val="20"/>
              </w:rPr>
              <w:t xml:space="preserve">pamoate de </w:t>
            </w:r>
            <w:r>
              <w:rPr>
                <w:sz w:val="20"/>
              </w:rPr>
              <w:t xml:space="preserve">triptoréline)</w:t>
            </w:r>
          </w:p>
          <w:p>
            <w:pPr>
              <w:pStyle w:val="TableParagraph"/>
              <w:spacing w:line="230" w:lineRule="exact"/>
              <w:ind w:start="107" w:end="527"/>
              <w:rPr>
                <w:sz w:val="20"/>
              </w:rPr>
            </w:pPr>
            <w:r>
              <w:rPr>
                <w:sz w:val="20"/>
              </w:rPr>
              <w:t xml:space="preserve">3,75 </w:t>
            </w:r>
            <w:r>
              <w:rPr>
                <w:sz w:val="20"/>
              </w:rPr>
              <w:t xml:space="preserve">mg </w:t>
            </w:r>
            <w:r>
              <w:rPr>
                <w:sz w:val="20"/>
              </w:rPr>
              <w:t xml:space="preserve">toutes les </w:t>
            </w:r>
            <w:r>
              <w:rPr>
                <w:sz w:val="20"/>
              </w:rPr>
              <w:t xml:space="preserve">4 </w:t>
            </w:r>
            <w:r>
              <w:rPr>
                <w:sz w:val="20"/>
              </w:rPr>
              <w:t xml:space="preserve">semaines</w:t>
            </w:r>
          </w:p>
        </w:tc>
        <w:tc>
          <w:tcPr>
            <w:tcW w:w="3927" w:type="dxa"/>
          </w:tcPr>
          <w:p>
            <w:pPr>
              <w:pStyle w:val="TableParagraph"/>
              <w:spacing w:line="229" w:lineRule="exact"/>
              <w:ind w:start="107"/>
              <w:rPr>
                <w:b/>
                <w:sz w:val="20"/>
              </w:rPr>
            </w:pPr>
            <w:r>
              <w:rPr>
                <w:b/>
                <w:sz w:val="20"/>
              </w:rPr>
              <w:t xml:space="preserve">Résultats </w:t>
            </w:r>
            <w:r>
              <w:rPr>
                <w:b/>
                <w:sz w:val="20"/>
              </w:rPr>
              <w:t xml:space="preserve">critiques</w:t>
            </w:r>
          </w:p>
          <w:p>
            <w:pPr>
              <w:pStyle w:val="TableParagraph"/>
              <w:ind w:start="107"/>
              <w:rPr>
                <w:sz w:val="20"/>
              </w:rPr>
            </w:pPr>
            <w:r>
              <w:rPr>
                <w:sz w:val="20"/>
              </w:rPr>
              <w:t xml:space="preserve">Aucun </w:t>
            </w:r>
            <w:r>
              <w:rPr>
                <w:sz w:val="20"/>
              </w:rPr>
              <w:t xml:space="preserve">résultat </w:t>
            </w:r>
            <w:r>
              <w:rPr>
                <w:sz w:val="20"/>
              </w:rPr>
              <w:t xml:space="preserve">critique </w:t>
            </w:r>
            <w:r>
              <w:rPr>
                <w:sz w:val="20"/>
              </w:rPr>
              <w:t xml:space="preserve">n'</w:t>
            </w:r>
            <w:r>
              <w:rPr>
                <w:sz w:val="20"/>
              </w:rPr>
              <w:t xml:space="preserve">a été évalué.</w:t>
            </w:r>
          </w:p>
          <w:p w:rsidR="00432386" w:rsidRDefault="00432386">
            <w:pPr>
              <w:pStyle w:val="TableParagraph"/>
              <w:spacing w:before="10"/>
              <w:rPr>
                <w:sz w:val="19"/>
              </w:rPr>
            </w:pPr>
          </w:p>
          <w:p>
            <w:pPr>
              <w:pStyle w:val="TableParagraph"/>
              <w:ind w:start="107"/>
              <w:rPr>
                <w:b/>
                <w:sz w:val="20"/>
              </w:rPr>
            </w:pPr>
            <w:r>
              <w:rPr>
                <w:b/>
                <w:sz w:val="20"/>
              </w:rPr>
              <w:t xml:space="preserve">Résultats </w:t>
            </w:r>
            <w:r>
              <w:rPr>
                <w:b/>
                <w:sz w:val="20"/>
              </w:rPr>
              <w:t xml:space="preserve">importants</w:t>
            </w:r>
          </w:p>
          <w:p>
            <w:pPr>
              <w:pStyle w:val="TableParagraph"/>
              <w:spacing w:line="211" w:lineRule="exact"/>
              <w:ind w:start="107"/>
              <w:rPr>
                <w:b/>
                <w:i/>
                <w:sz w:val="20"/>
              </w:rPr>
            </w:pPr>
            <w:r>
              <w:rPr>
                <w:b/>
                <w:i/>
                <w:sz w:val="20"/>
              </w:rPr>
              <w:t xml:space="preserve">Impact </w:t>
            </w:r>
            <w:r>
              <w:rPr>
                <w:b/>
                <w:i/>
                <w:sz w:val="20"/>
              </w:rPr>
              <w:t xml:space="preserve">psychosocial</w:t>
            </w:r>
          </w:p>
        </w:tc>
        <w:tc>
          <w:tcPr>
            <w:tcW w:w="3159" w:type="dxa"/>
          </w:tcPr>
          <w:p>
            <w:pPr>
              <w:pStyle w:val="TableParagraph"/>
              <w:ind w:start="107" w:end="250"/>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l'outil Newcastle-Ottawa pour les </w:t>
            </w:r>
            <w:r>
              <w:rPr>
                <w:sz w:val="20"/>
              </w:rPr>
              <w:t xml:space="preserve">études de </w:t>
            </w:r>
            <w:r>
              <w:rPr>
                <w:sz w:val="20"/>
              </w:rPr>
              <w:t xml:space="preserve">cohorte</w:t>
            </w:r>
            <w:r>
              <w:rPr>
                <w:sz w:val="20"/>
              </w:rPr>
              <w:t xml:space="preserve">.</w:t>
            </w:r>
          </w:p>
          <w:p w:rsidR="00432386" w:rsidRDefault="00432386">
            <w:pPr>
              <w:pStyle w:val="TableParagraph"/>
              <w:spacing w:before="10"/>
              <w:rPr>
                <w:sz w:val="19"/>
              </w:rPr>
            </w:pPr>
          </w:p>
          <w:p>
            <w:pPr>
              <w:pStyle w:val="TableParagraph"/>
              <w:spacing w:line="211" w:lineRule="exact"/>
              <w:ind w:start="107"/>
              <w:rPr>
                <w:b/>
                <w:sz w:val="20"/>
              </w:rPr>
            </w:pPr>
            <w:r>
              <w:rPr>
                <w:b/>
                <w:sz w:val="20"/>
              </w:rPr>
              <w:t xml:space="preserve">Domaine </w:t>
            </w:r>
            <w:r>
              <w:rPr>
                <w:b/>
                <w:sz w:val="20"/>
              </w:rPr>
              <w:t xml:space="preserve">1 : </w:t>
            </w:r>
            <w:r>
              <w:rPr>
                <w:b/>
                <w:sz w:val="20"/>
              </w:rPr>
              <w:t xml:space="preserve">Domaine de la </w:t>
            </w:r>
            <w:r>
              <w:rPr>
                <w:b/>
                <w:sz w:val="20"/>
              </w:rPr>
              <w:t xml:space="preserve">sélection</w:t>
            </w:r>
          </w:p>
        </w:tc>
      </w:tr>
    </w:tbl>
    <w:p w:rsidR="00432386" w:rsidRDefault="00432386">
      <w:pPr>
        <w:spacing w:line="211" w:lineRule="exact"/>
        <w:rPr>
          <w:sz w:val="20"/>
        </w:rPr>
        <w:sectPr w:rsidR="00432386">
          <w:type w:val="continuous"/>
          <w:pgSz w:w="16840" w:h="11910" w:orient="landscape"/>
          <w:pgMar w:top="980" w:right="500" w:bottom="1513"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31"/>
        <w:gridCol w:w="3591"/>
        <w:gridCol w:w="2083"/>
        <w:gridCol w:w="3927"/>
        <w:gridCol w:w="3159"/>
      </w:tblGrid>
      <w:tr w:rsidR="00432386">
        <w:trPr>
          <w:trHeight w:val="290"/>
        </w:trPr>
        <w:tc>
          <w:tcPr>
            <w:tcW w:w="2631"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591" w:type="dxa"/>
            <w:shd w:val="clear" w:color="auto" w:fill="8DB3E1"/>
          </w:tcPr>
          <w:p>
            <w:pPr>
              <w:pStyle w:val="TableParagraph"/>
              <w:spacing w:line="220" w:lineRule="exact"/>
              <w:ind w:start="105"/>
              <w:rPr>
                <w:b/>
                <w:sz w:val="20"/>
              </w:rPr>
            </w:pPr>
            <w:r>
              <w:rPr>
                <w:b/>
                <w:sz w:val="20"/>
              </w:rPr>
              <w:t xml:space="preserve">Population</w:t>
            </w:r>
          </w:p>
        </w:tc>
        <w:tc>
          <w:tcPr>
            <w:tcW w:w="2083" w:type="dxa"/>
            <w:shd w:val="clear" w:color="auto" w:fill="8DB3E1"/>
          </w:tcPr>
          <w:p>
            <w:pPr>
              <w:pStyle w:val="TableParagraph"/>
              <w:spacing w:line="220" w:lineRule="exact"/>
              <w:ind w:start="107"/>
              <w:rPr>
                <w:b/>
                <w:sz w:val="20"/>
              </w:rPr>
            </w:pPr>
            <w:r>
              <w:rPr>
                <w:b/>
                <w:sz w:val="20"/>
              </w:rPr>
              <w:t xml:space="preserve">Interventions</w:t>
            </w:r>
          </w:p>
        </w:tc>
        <w:tc>
          <w:tcPr>
            <w:tcW w:w="3927" w:type="dxa"/>
            <w:shd w:val="clear" w:color="auto" w:fill="8DB3E1"/>
          </w:tcPr>
          <w:p>
            <w:pPr>
              <w:pStyle w:val="TableParagraph"/>
              <w:spacing w:line="220" w:lineRule="exact"/>
              <w:ind w:start="107"/>
              <w:rPr>
                <w:b/>
                <w:sz w:val="20"/>
              </w:rPr>
            </w:pPr>
            <w:r>
              <w:rPr>
                <w:b/>
                <w:sz w:val="20"/>
              </w:rPr>
              <w:t xml:space="preserve">Résultats de l'</w:t>
            </w:r>
            <w:r>
              <w:rPr>
                <w:b/>
                <w:sz w:val="20"/>
              </w:rPr>
              <w:t xml:space="preserve">étude</w:t>
            </w:r>
          </w:p>
        </w:tc>
        <w:tc>
          <w:tcPr>
            <w:tcW w:w="3159" w:type="dxa"/>
            <w:shd w:val="clear" w:color="auto" w:fill="8DB3E1"/>
          </w:tcPr>
          <w:p>
            <w:pPr>
              <w:pStyle w:val="TableParagraph"/>
              <w:spacing w:line="220"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8998"/>
        </w:trPr>
        <w:tc>
          <w:tcPr>
            <w:tcW w:w="2631" w:type="dxa"/>
          </w:tcPr>
          <w:p>
            <w:pPr>
              <w:pStyle w:val="TableParagraph"/>
              <w:ind w:start="107" w:end="141"/>
              <w:rPr>
                <w:sz w:val="20"/>
              </w:rPr>
            </w:pPr>
            <w:hyperlink r:id="rId295">
              <w:r>
                <w:rPr>
                  <w:color w:val="0000FF"/>
                  <w:sz w:val="20"/>
                  <w:u w:val="single" w:color="0000FF"/>
                </w:rPr>
                <w:t xml:space="preserve">chez les</w:t>
              </w:r>
              <w:r>
                <w:rPr>
                  <w:color w:val="0000FF"/>
                  <w:sz w:val="20"/>
                  <w:u w:val="single" w:color="0000FF"/>
                </w:rPr>
                <w:t xml:space="preserve">adolescents</w:t>
              </w:r>
              <w:r>
                <w:rPr>
                  <w:color w:val="0000FF"/>
                  <w:sz w:val="20"/>
                  <w:u w:val="single" w:color="0000FF"/>
                </w:rPr>
                <w:t xml:space="preserve">souffrant de </w:t>
              </w:r>
            </w:hyperlink>
            <w:hyperlink r:id="rId296">
              <w:r>
                <w:rPr>
                  <w:color w:val="0000FF"/>
                  <w:sz w:val="20"/>
                  <w:u w:val="single" w:color="0000FF"/>
                </w:rPr>
                <w:t xml:space="preserve">dysphorie de </w:t>
              </w:r>
            </w:hyperlink>
            <w:hyperlink r:id="rId295">
              <w:r>
                <w:rPr>
                  <w:color w:val="0000FF"/>
                  <w:sz w:val="20"/>
                  <w:u w:val="single" w:color="0000FF"/>
                </w:rPr>
                <w:t xml:space="preserve">genre</w:t>
              </w:r>
            </w:hyperlink>
            <w:hyperlink r:id="rId296">
              <w:r>
                <w:rPr>
                  <w:color w:val="0000FF"/>
                  <w:sz w:val="20"/>
                  <w:u w:val="single" w:color="0000FF"/>
                </w:rPr>
                <w:t xml:space="preserve">.</w:t>
              </w:r>
            </w:hyperlink>
          </w:p>
          <w:p>
            <w:pPr>
              <w:pStyle w:val="TableParagraph"/>
              <w:ind w:start="107" w:end="102"/>
              <w:rPr>
                <w:sz w:val="20"/>
              </w:rPr>
            </w:pPr>
            <w:r>
              <w:rPr>
                <w:spacing w:val="-1"/>
                <w:sz w:val="20"/>
              </w:rPr>
              <w:t xml:space="preserve">Psychoneuroendocrinologie </w:t>
            </w:r>
            <w:r>
              <w:rPr>
                <w:sz w:val="20"/>
              </w:rPr>
              <w:t xml:space="preserve">565:190-9.</w:t>
            </w:r>
          </w:p>
          <w:p w:rsidR="00432386" w:rsidRDefault="00432386">
            <w:pPr>
              <w:pStyle w:val="TableParagraph"/>
              <w:spacing w:before="8"/>
              <w:rPr>
                <w:sz w:val="29"/>
              </w:rPr>
            </w:pPr>
          </w:p>
          <w:p>
            <w:pPr>
              <w:pStyle w:val="TableParagraph"/>
              <w:ind w:start="107"/>
              <w:rPr>
                <w:sz w:val="20"/>
              </w:rPr>
            </w:pPr>
            <w:r>
              <w:rPr>
                <w:sz w:val="20"/>
              </w:rPr>
              <w:t xml:space="preserve">Pays-Bas</w:t>
            </w:r>
          </w:p>
          <w:p w:rsidR="00432386" w:rsidRDefault="00432386">
            <w:pPr>
              <w:pStyle w:val="TableParagraph"/>
              <w:spacing w:before="3"/>
              <w:rPr>
                <w:sz w:val="30"/>
              </w:rPr>
            </w:pPr>
          </w:p>
          <w:p>
            <w:pPr>
              <w:pStyle w:val="TableParagraph"/>
              <w:spacing w:before="1"/>
              <w:ind w:start="107" w:end="457"/>
              <w:jc w:val="both"/>
              <w:rPr>
                <w:sz w:val="20"/>
              </w:rPr>
            </w:pPr>
            <w:r>
              <w:rPr>
                <w:sz w:val="20"/>
              </w:rPr>
              <w:t xml:space="preserve">Évaluation </w:t>
            </w:r>
            <w:r>
              <w:rPr>
                <w:sz w:val="20"/>
              </w:rPr>
              <w:t xml:space="preserve">transversale (</w:t>
            </w:r>
            <w:r>
              <w:rPr>
                <w:sz w:val="20"/>
              </w:rPr>
              <w:t xml:space="preserve">point temporel </w:t>
            </w:r>
            <w:r>
              <w:rPr>
                <w:sz w:val="20"/>
              </w:rPr>
              <w:t xml:space="preserve">unique</w:t>
            </w:r>
            <w:r>
              <w:rPr>
                <w:sz w:val="20"/>
              </w:rPr>
              <w:t xml:space="preserve">) </w:t>
            </w:r>
            <w:r>
              <w:rPr>
                <w:sz w:val="20"/>
              </w:rPr>
              <w:t xml:space="preserve">Étude </w:t>
            </w:r>
            <w:r>
              <w:rPr>
                <w:sz w:val="20"/>
              </w:rPr>
              <w:t xml:space="preserve">monocentrique</w:t>
            </w:r>
          </w:p>
        </w:tc>
        <w:tc>
          <w:tcPr>
            <w:tcW w:w="3591" w:type="dxa"/>
          </w:tcPr>
          <w:p>
            <w:pPr>
              <w:pStyle w:val="TableParagraph"/>
              <w:ind w:start="105" w:end="250"/>
              <w:rPr>
                <w:sz w:val="20"/>
              </w:rPr>
            </w:pPr>
            <w:r>
              <w:rPr>
                <w:sz w:val="20"/>
              </w:rPr>
              <w:t xml:space="preserve">des </w:t>
            </w:r>
            <w:r>
              <w:rPr>
                <w:sz w:val="20"/>
              </w:rPr>
              <w:t xml:space="preserve">taux d'</w:t>
            </w:r>
            <w:r>
              <w:rPr>
                <w:sz w:val="20"/>
              </w:rPr>
              <w:t xml:space="preserve">œstradiol et de </w:t>
            </w:r>
            <w:r>
              <w:rPr>
                <w:sz w:val="20"/>
              </w:rPr>
              <w:t xml:space="preserve">testostérone </w:t>
            </w:r>
            <w:r>
              <w:rPr>
                <w:sz w:val="20"/>
              </w:rPr>
              <w:t xml:space="preserve">mesurables </w:t>
            </w:r>
            <w:r>
              <w:rPr>
                <w:sz w:val="20"/>
              </w:rPr>
              <w:t xml:space="preserve">chez les </w:t>
            </w:r>
            <w:r>
              <w:rPr>
                <w:sz w:val="20"/>
              </w:rPr>
              <w:t xml:space="preserve">filles </w:t>
            </w:r>
            <w:r>
              <w:rPr>
                <w:sz w:val="20"/>
              </w:rPr>
              <w:t xml:space="preserve">et les </w:t>
            </w:r>
            <w:r>
              <w:rPr>
                <w:sz w:val="20"/>
              </w:rPr>
              <w:t xml:space="preserve">garçons, </w:t>
            </w:r>
            <w:r>
              <w:rPr>
                <w:sz w:val="20"/>
              </w:rPr>
              <w:t xml:space="preserve">respectivement.</w:t>
            </w:r>
          </w:p>
          <w:p w:rsidR="00432386" w:rsidRDefault="00432386">
            <w:pPr>
              <w:pStyle w:val="TableParagraph"/>
              <w:spacing w:before="2"/>
              <w:rPr>
                <w:sz w:val="19"/>
              </w:rPr>
            </w:pPr>
          </w:p>
          <w:p>
            <w:pPr>
              <w:pStyle w:val="TableParagraph"/>
              <w:spacing w:before="1"/>
              <w:ind w:start="105" w:end="165"/>
              <w:rPr>
                <w:sz w:val="20"/>
              </w:rPr>
            </w:pPr>
            <w:r>
              <w:rPr>
                <w:sz w:val="20"/>
              </w:rPr>
              <w:t xml:space="preserve">Les </w:t>
            </w:r>
            <w:r>
              <w:rPr>
                <w:sz w:val="20"/>
              </w:rPr>
              <w:t xml:space="preserve">critères d'</w:t>
            </w:r>
            <w:r>
              <w:rPr>
                <w:sz w:val="20"/>
              </w:rPr>
              <w:t xml:space="preserve">exclusion </w:t>
            </w:r>
            <w:r>
              <w:rPr>
                <w:sz w:val="20"/>
              </w:rPr>
              <w:t xml:space="preserve">pour </w:t>
            </w:r>
            <w:r>
              <w:rPr>
                <w:sz w:val="20"/>
              </w:rPr>
              <w:t xml:space="preserve">tous les </w:t>
            </w:r>
            <w:r>
              <w:rPr>
                <w:sz w:val="20"/>
              </w:rPr>
              <w:t xml:space="preserve">groupes </w:t>
            </w:r>
            <w:r>
              <w:rPr>
                <w:sz w:val="20"/>
              </w:rPr>
              <w:t xml:space="preserve">étaient une </w:t>
            </w:r>
            <w:r>
              <w:rPr>
                <w:sz w:val="20"/>
              </w:rPr>
              <w:t xml:space="preserve">maîtrise insuffisante de la </w:t>
            </w:r>
            <w:r>
              <w:rPr>
                <w:sz w:val="20"/>
              </w:rPr>
              <w:t xml:space="preserve">langue </w:t>
            </w:r>
            <w:r>
              <w:rPr>
                <w:sz w:val="20"/>
              </w:rPr>
              <w:t xml:space="preserve">néerlandaise </w:t>
            </w:r>
            <w:r>
              <w:rPr>
                <w:sz w:val="20"/>
              </w:rPr>
              <w:t xml:space="preserve">(mode d'évaluation non </w:t>
            </w:r>
            <w:r>
              <w:rPr>
                <w:sz w:val="20"/>
              </w:rPr>
              <w:t xml:space="preserve">rapporté), des </w:t>
            </w:r>
            <w:r>
              <w:rPr>
                <w:sz w:val="20"/>
              </w:rPr>
              <w:t xml:space="preserve">troubles </w:t>
            </w:r>
            <w:r>
              <w:rPr>
                <w:sz w:val="20"/>
              </w:rPr>
              <w:t xml:space="preserve">endocriniens non ajustés</w:t>
            </w:r>
            <w:r>
              <w:rPr>
                <w:sz w:val="20"/>
              </w:rPr>
              <w:t xml:space="preserve">, des </w:t>
            </w:r>
            <w:r>
              <w:rPr>
                <w:sz w:val="20"/>
              </w:rPr>
              <w:t xml:space="preserve">troubles </w:t>
            </w:r>
            <w:r>
              <w:rPr>
                <w:sz w:val="20"/>
              </w:rPr>
              <w:t xml:space="preserve">neurologiques ou psychiatriques </w:t>
            </w:r>
            <w:r>
              <w:rPr>
                <w:sz w:val="20"/>
              </w:rPr>
              <w:t xml:space="preserve">pouvant entraîner des </w:t>
            </w:r>
            <w:r>
              <w:rPr>
                <w:sz w:val="20"/>
              </w:rPr>
              <w:t xml:space="preserve">résultats de test </w:t>
            </w:r>
            <w:r>
              <w:rPr>
                <w:sz w:val="20"/>
              </w:rPr>
              <w:t xml:space="preserve">déviants </w:t>
            </w:r>
            <w:r>
              <w:rPr>
                <w:sz w:val="20"/>
              </w:rPr>
              <w:t xml:space="preserve">(détails non rapportés), l'utilisation </w:t>
            </w:r>
            <w:r>
              <w:rPr>
                <w:sz w:val="20"/>
              </w:rPr>
              <w:t xml:space="preserve">de médicaments psychotropes et des </w:t>
            </w:r>
            <w:r>
              <w:rPr>
                <w:sz w:val="20"/>
              </w:rPr>
              <w:t xml:space="preserve">contre-indications </w:t>
            </w:r>
            <w:r>
              <w:rPr>
                <w:sz w:val="20"/>
              </w:rPr>
              <w:t xml:space="preserve">pour </w:t>
            </w:r>
            <w:r>
              <w:rPr>
                <w:sz w:val="20"/>
              </w:rPr>
              <w:t xml:space="preserve">un examen </w:t>
            </w:r>
            <w:r>
              <w:rPr>
                <w:sz w:val="20"/>
              </w:rPr>
              <w:t xml:space="preserve">IRM</w:t>
            </w:r>
            <w:r>
              <w:rPr>
                <w:sz w:val="20"/>
              </w:rPr>
              <w:t xml:space="preserve">.</w:t>
            </w:r>
          </w:p>
          <w:p>
            <w:pPr>
              <w:pStyle w:val="TableParagraph"/>
              <w:ind w:start="105" w:end="377"/>
              <w:rPr>
                <w:sz w:val="20"/>
              </w:rPr>
            </w:pPr>
            <w:r>
              <w:rPr>
                <w:sz w:val="20"/>
              </w:rPr>
              <w:t xml:space="preserve">De plus, les </w:t>
            </w:r>
            <w:r>
              <w:rPr>
                <w:sz w:val="20"/>
              </w:rPr>
              <w:t xml:space="preserve">adolescents recevant des </w:t>
            </w:r>
            <w:r>
              <w:rPr>
                <w:sz w:val="20"/>
              </w:rPr>
              <w:t xml:space="preserve">médicaments </w:t>
            </w:r>
            <w:r>
              <w:rPr>
                <w:sz w:val="20"/>
              </w:rPr>
              <w:t xml:space="preserve">retardant la </w:t>
            </w:r>
            <w:r>
              <w:rPr>
                <w:sz w:val="20"/>
              </w:rPr>
              <w:t xml:space="preserve">puberté </w:t>
            </w:r>
            <w:r>
              <w:rPr>
                <w:sz w:val="20"/>
              </w:rPr>
              <w:t xml:space="preserve">ou </w:t>
            </w:r>
            <w:r>
              <w:rPr>
                <w:sz w:val="20"/>
              </w:rPr>
              <w:t xml:space="preserve">toute </w:t>
            </w:r>
            <w:r>
              <w:rPr>
                <w:sz w:val="20"/>
              </w:rPr>
              <w:t xml:space="preserve">forme d'hormones en dehors des </w:t>
            </w:r>
            <w:r>
              <w:rPr>
                <w:sz w:val="20"/>
              </w:rPr>
              <w:t xml:space="preserve">contraceptifs </w:t>
            </w:r>
            <w:r>
              <w:rPr>
                <w:sz w:val="20"/>
              </w:rPr>
              <w:t xml:space="preserve">oraux </w:t>
            </w:r>
            <w:r>
              <w:rPr>
                <w:sz w:val="20"/>
              </w:rPr>
              <w:t xml:space="preserve">ont été exclus en tant que </w:t>
            </w:r>
            <w:r>
              <w:rPr>
                <w:sz w:val="20"/>
              </w:rPr>
              <w:t xml:space="preserve">témoins.</w:t>
            </w:r>
          </w:p>
          <w:p>
            <w:pPr>
              <w:pStyle w:val="TableParagraph"/>
              <w:ind w:start="105" w:end="176"/>
              <w:rPr>
                <w:sz w:val="20"/>
              </w:rPr>
            </w:pPr>
            <w:r>
              <w:rPr>
                <w:sz w:val="20"/>
              </w:rPr>
              <w:t xml:space="preserve">La taille de l'échantillon était de 85 personnes, dont 41 </w:t>
            </w:r>
            <w:r>
              <w:rPr>
                <w:sz w:val="20"/>
              </w:rPr>
              <w:t xml:space="preserve">adolescents (les chiffres </w:t>
            </w:r>
            <w:r>
              <w:rPr>
                <w:sz w:val="20"/>
              </w:rPr>
              <w:t xml:space="preserve">ne correspondent pas au nombre pour lequel les </w:t>
            </w:r>
            <w:r>
              <w:rPr>
                <w:sz w:val="20"/>
              </w:rPr>
              <w:t xml:space="preserve">résultats sont rapportés, n=40</w:t>
            </w:r>
            <w:r>
              <w:rPr>
                <w:sz w:val="20"/>
              </w:rPr>
              <w:t xml:space="preserve">) souffrant de </w:t>
            </w:r>
            <w:r>
              <w:rPr>
                <w:sz w:val="20"/>
              </w:rPr>
              <w:t xml:space="preserve">dysphorie de genre (dont 20 </w:t>
            </w:r>
            <w:r>
              <w:rPr>
                <w:sz w:val="20"/>
              </w:rPr>
              <w:t xml:space="preserve">étaient </w:t>
            </w:r>
            <w:r>
              <w:rPr>
                <w:sz w:val="20"/>
              </w:rPr>
              <w:t xml:space="preserve">traités </w:t>
            </w:r>
            <w:r>
              <w:rPr>
                <w:sz w:val="20"/>
              </w:rPr>
              <w:t xml:space="preserve">avec des </w:t>
            </w:r>
            <w:r>
              <w:rPr>
                <w:sz w:val="20"/>
              </w:rPr>
              <w:t xml:space="preserve">analogues de la </w:t>
            </w:r>
            <w:r>
              <w:rPr>
                <w:sz w:val="20"/>
              </w:rPr>
              <w:t xml:space="preserve">GnRH</w:t>
            </w:r>
            <w:r>
              <w:rPr>
                <w:sz w:val="20"/>
              </w:rPr>
              <w:t xml:space="preserve">) ; </w:t>
            </w:r>
            <w:r>
              <w:rPr>
                <w:sz w:val="20"/>
              </w:rPr>
              <w:t xml:space="preserve">24 filles et 21 garçons sans </w:t>
            </w:r>
            <w:r>
              <w:rPr>
                <w:sz w:val="20"/>
              </w:rPr>
              <w:t xml:space="preserve">dysphorie de </w:t>
            </w:r>
            <w:r>
              <w:rPr>
                <w:sz w:val="20"/>
              </w:rPr>
              <w:t xml:space="preserve">genre </w:t>
            </w:r>
            <w:r>
              <w:rPr>
                <w:sz w:val="20"/>
              </w:rPr>
              <w:t xml:space="preserve">ont servi de témoins (non </w:t>
            </w:r>
            <w:r>
              <w:rPr>
                <w:sz w:val="20"/>
              </w:rPr>
              <w:t xml:space="preserve">rapportés ici). Les détails du </w:t>
            </w:r>
            <w:r>
              <w:rPr>
                <w:sz w:val="20"/>
              </w:rPr>
              <w:t xml:space="preserve">cadre d'</w:t>
            </w:r>
            <w:r>
              <w:rPr>
                <w:sz w:val="20"/>
              </w:rPr>
              <w:t xml:space="preserve">échantillonnage </w:t>
            </w:r>
            <w:r>
              <w:rPr>
                <w:sz w:val="20"/>
              </w:rPr>
              <w:t xml:space="preserve">ne </w:t>
            </w:r>
            <w:r>
              <w:rPr>
                <w:sz w:val="20"/>
              </w:rPr>
              <w:t xml:space="preserve">sont </w:t>
            </w:r>
            <w:r>
              <w:rPr>
                <w:sz w:val="20"/>
              </w:rPr>
              <w:t xml:space="preserve">pas </w:t>
            </w:r>
            <w:r>
              <w:rPr>
                <w:sz w:val="20"/>
              </w:rPr>
              <w:t xml:space="preserve">rapportés.</w:t>
            </w:r>
          </w:p>
          <w:p w:rsidR="00432386" w:rsidRDefault="00432386">
            <w:pPr>
              <w:pStyle w:val="TableParagraph"/>
              <w:rPr>
                <w:sz w:val="20"/>
              </w:rPr>
            </w:pPr>
          </w:p>
          <w:p>
            <w:pPr>
              <w:pStyle w:val="TableParagraph"/>
              <w:ind w:start="105"/>
              <w:rPr>
                <w:sz w:val="20"/>
              </w:rPr>
            </w:pPr>
            <w:r>
              <w:rPr>
                <w:sz w:val="20"/>
              </w:rPr>
              <w:t xml:space="preserve">L'</w:t>
            </w:r>
            <w:r>
              <w:rPr>
                <w:sz w:val="20"/>
              </w:rPr>
              <w:t xml:space="preserve">âge </w:t>
            </w:r>
            <w:r>
              <w:rPr>
                <w:sz w:val="20"/>
              </w:rPr>
              <w:t xml:space="preserve">auquel </w:t>
            </w:r>
            <w:r>
              <w:rPr>
                <w:sz w:val="20"/>
              </w:rPr>
              <w:t xml:space="preserve">les </w:t>
            </w:r>
            <w:r>
              <w:rPr>
                <w:sz w:val="20"/>
              </w:rPr>
              <w:t xml:space="preserve">analogues de la </w:t>
            </w:r>
            <w:r>
              <w:rPr>
                <w:sz w:val="20"/>
              </w:rPr>
              <w:t xml:space="preserve">GnRH </w:t>
            </w:r>
            <w:r>
              <w:rPr>
                <w:sz w:val="20"/>
              </w:rPr>
              <w:t xml:space="preserve">ont été commencés n'a pas été signalé. La </w:t>
            </w:r>
            <w:r>
              <w:rPr>
                <w:sz w:val="20"/>
              </w:rPr>
              <w:t xml:space="preserve">durée moyenne du traitement était de 1,6 </w:t>
            </w:r>
            <w:r>
              <w:rPr>
                <w:sz w:val="20"/>
              </w:rPr>
              <w:t xml:space="preserve">ans </w:t>
            </w:r>
            <w:r>
              <w:rPr>
                <w:sz w:val="20"/>
              </w:rPr>
              <w:t xml:space="preserve">(écart-type </w:t>
            </w:r>
            <w:r>
              <w:rPr>
                <w:sz w:val="20"/>
              </w:rPr>
              <w:t xml:space="preserve">1,0).</w:t>
            </w:r>
          </w:p>
          <w:p w:rsidR="00432386" w:rsidRDefault="00432386">
            <w:pPr>
              <w:pStyle w:val="TableParagraph"/>
              <w:spacing w:before="11"/>
              <w:rPr>
                <w:sz w:val="19"/>
              </w:rPr>
            </w:pPr>
          </w:p>
          <w:p>
            <w:pPr>
              <w:pStyle w:val="TableParagraph"/>
              <w:ind w:start="105" w:end="386"/>
              <w:rPr>
                <w:sz w:val="20"/>
              </w:rPr>
            </w:pPr>
            <w:r>
              <w:rPr>
                <w:sz w:val="20"/>
              </w:rPr>
              <w:t xml:space="preserve">La </w:t>
            </w:r>
            <w:r>
              <w:rPr>
                <w:sz w:val="20"/>
              </w:rPr>
              <w:t xml:space="preserve">moyenne </w:t>
            </w:r>
            <w:r>
              <w:rPr>
                <w:sz w:val="20"/>
              </w:rPr>
              <w:t xml:space="preserve">(±SD) du </w:t>
            </w:r>
            <w:r>
              <w:rPr>
                <w:sz w:val="20"/>
              </w:rPr>
              <w:t xml:space="preserve">stade de </w:t>
            </w:r>
            <w:r>
              <w:rPr>
                <w:sz w:val="20"/>
              </w:rPr>
              <w:t xml:space="preserve">Tanner </w:t>
            </w:r>
            <w:r>
              <w:rPr>
                <w:sz w:val="20"/>
              </w:rPr>
              <w:t xml:space="preserve">pour </w:t>
            </w:r>
            <w:r>
              <w:rPr>
                <w:sz w:val="20"/>
              </w:rPr>
              <w:t xml:space="preserve">chaque </w:t>
            </w:r>
            <w:r>
              <w:rPr>
                <w:sz w:val="20"/>
              </w:rPr>
              <w:t xml:space="preserve">groupe </w:t>
            </w:r>
            <w:r>
              <w:rPr>
                <w:sz w:val="20"/>
              </w:rPr>
              <w:t xml:space="preserve">a été </w:t>
            </w:r>
            <w:r>
              <w:rPr>
                <w:sz w:val="20"/>
              </w:rPr>
              <w:t xml:space="preserve">rapportée :</w:t>
            </w:r>
          </w:p>
          <w:p>
            <w:pPr>
              <w:pStyle w:val="TableParagraph"/>
              <w:numPr>
                <w:ilvl w:val="0"/>
                <w:numId w:val="16"/>
              </w:numPr>
              <w:tabs>
                <w:tab w:val="left" w:pos="465"/>
                <w:tab w:val="left" w:pos="466"/>
              </w:tabs>
              <w:spacing w:before="2" w:line="245" w:lineRule="exact"/>
              <w:ind w:hanging="361"/>
              <w:rPr>
                <w:sz w:val="20"/>
              </w:rPr>
            </w:pPr>
            <w:r>
              <w:rPr>
                <w:sz w:val="20"/>
              </w:rPr>
              <w:t xml:space="preserve">Femmes transfemmes </w:t>
            </w:r>
            <w:r>
              <w:rPr>
                <w:sz w:val="20"/>
              </w:rPr>
              <w:t xml:space="preserve">3,9 </w:t>
            </w:r>
            <w:r>
              <w:rPr>
                <w:sz w:val="20"/>
              </w:rPr>
              <w:t xml:space="preserve">[±1,1]</w:t>
            </w:r>
          </w:p>
          <w:p>
            <w:pPr>
              <w:pStyle w:val="TableParagraph"/>
              <w:numPr>
                <w:ilvl w:val="0"/>
                <w:numId w:val="16"/>
              </w:numPr>
              <w:tabs>
                <w:tab w:val="left" w:pos="465"/>
                <w:tab w:val="left" w:pos="466"/>
              </w:tabs>
              <w:spacing w:before="5" w:line="228" w:lineRule="exact"/>
              <w:ind w:end="1016"/>
              <w:rPr>
                <w:sz w:val="20"/>
              </w:rPr>
            </w:pPr>
            <w:r>
              <w:rPr>
                <w:sz w:val="20"/>
              </w:rPr>
              <w:t xml:space="preserve">Transfemmes </w:t>
            </w:r>
            <w:r>
              <w:rPr>
                <w:sz w:val="20"/>
              </w:rPr>
              <w:t xml:space="preserve">sous </w:t>
            </w:r>
            <w:r>
              <w:rPr>
                <w:sz w:val="20"/>
              </w:rPr>
              <w:t xml:space="preserve">analogues de la </w:t>
            </w:r>
            <w:r>
              <w:rPr>
                <w:sz w:val="20"/>
              </w:rPr>
              <w:t xml:space="preserve">GnRH </w:t>
            </w:r>
            <w:r>
              <w:rPr>
                <w:sz w:val="20"/>
              </w:rPr>
              <w:t xml:space="preserve">4,1 </w:t>
            </w:r>
            <w:r>
              <w:rPr>
                <w:sz w:val="20"/>
              </w:rPr>
              <w:t xml:space="preserve">[±1,0]</w:t>
            </w:r>
          </w:p>
        </w:tc>
        <w:tc>
          <w:tcPr>
            <w:tcW w:w="2083" w:type="dxa"/>
          </w:tcPr>
          <w:p>
            <w:pPr>
              <w:pStyle w:val="TableParagraph"/>
              <w:ind w:start="107" w:end="333"/>
              <w:rPr>
                <w:sz w:val="20"/>
              </w:rPr>
            </w:pPr>
            <w:r>
              <w:rPr>
                <w:sz w:val="20"/>
              </w:rPr>
              <w:t xml:space="preserve">par voie sous-cutanée </w:t>
            </w:r>
            <w:r>
              <w:rPr>
                <w:sz w:val="20"/>
              </w:rPr>
              <w:t xml:space="preserve">ou </w:t>
            </w:r>
            <w:r>
              <w:rPr>
                <w:sz w:val="20"/>
              </w:rPr>
              <w:t xml:space="preserve">intramusculaire).</w:t>
            </w:r>
          </w:p>
          <w:p w:rsidR="00432386" w:rsidRDefault="00432386">
            <w:pPr>
              <w:pStyle w:val="TableParagraph"/>
              <w:spacing w:before="2"/>
              <w:rPr>
                <w:sz w:val="19"/>
              </w:rPr>
            </w:pPr>
          </w:p>
          <w:p>
            <w:pPr>
              <w:pStyle w:val="TableParagraph"/>
              <w:ind w:start="107"/>
              <w:rPr>
                <w:b/>
                <w:sz w:val="20"/>
              </w:rPr>
            </w:pPr>
            <w:r>
              <w:rPr>
                <w:b/>
                <w:sz w:val="20"/>
              </w:rPr>
              <w:t xml:space="preserve">Comparaison</w:t>
            </w:r>
          </w:p>
          <w:p>
            <w:pPr>
              <w:pStyle w:val="TableParagraph"/>
              <w:spacing w:before="1"/>
              <w:ind w:start="107" w:end="109"/>
              <w:rPr>
                <w:sz w:val="20"/>
              </w:rPr>
            </w:pPr>
            <w:r>
              <w:rPr>
                <w:sz w:val="20"/>
              </w:rPr>
              <w:t xml:space="preserve">La </w:t>
            </w:r>
            <w:r>
              <w:rPr>
                <w:sz w:val="20"/>
              </w:rPr>
              <w:t xml:space="preserve">comparaison portait sur </w:t>
            </w:r>
            <w:r>
              <w:rPr>
                <w:sz w:val="20"/>
              </w:rPr>
              <w:t xml:space="preserve">les </w:t>
            </w:r>
            <w:r>
              <w:rPr>
                <w:sz w:val="20"/>
              </w:rPr>
              <w:t xml:space="preserve">adolescents souffrant de </w:t>
            </w:r>
            <w:r>
              <w:rPr>
                <w:sz w:val="20"/>
              </w:rPr>
              <w:t xml:space="preserve">dysphorie de genre et </w:t>
            </w:r>
            <w:r>
              <w:rPr>
                <w:sz w:val="20"/>
              </w:rPr>
              <w:t xml:space="preserve">recevant des </w:t>
            </w:r>
            <w:r>
              <w:rPr>
                <w:sz w:val="20"/>
              </w:rPr>
              <w:t xml:space="preserve">analogues de la </w:t>
            </w:r>
            <w:r>
              <w:rPr>
                <w:sz w:val="20"/>
              </w:rPr>
              <w:t xml:space="preserve">GnRH </w:t>
            </w:r>
            <w:r>
              <w:rPr>
                <w:sz w:val="20"/>
              </w:rPr>
              <w:t xml:space="preserve">et </w:t>
            </w:r>
            <w:r>
              <w:rPr>
                <w:sz w:val="20"/>
              </w:rPr>
              <w:t xml:space="preserve">ceux </w:t>
            </w:r>
            <w:r>
              <w:rPr>
                <w:sz w:val="20"/>
              </w:rPr>
              <w:t xml:space="preserve">ne recevant pas d'</w:t>
            </w:r>
            <w:r>
              <w:rPr>
                <w:sz w:val="20"/>
              </w:rPr>
              <w:t xml:space="preserve">analogues de la </w:t>
            </w:r>
            <w:r>
              <w:rPr>
                <w:sz w:val="20"/>
              </w:rPr>
              <w:t xml:space="preserve">GnRH</w:t>
            </w:r>
            <w:r>
              <w:rPr>
                <w:sz w:val="20"/>
              </w:rPr>
              <w:t xml:space="preserve">.</w:t>
            </w:r>
          </w:p>
        </w:tc>
        <w:tc>
          <w:tcPr>
            <w:tcW w:w="3927" w:type="dxa"/>
          </w:tcPr>
          <w:p>
            <w:pPr>
              <w:pStyle w:val="TableParagraph"/>
              <w:ind w:start="107" w:end="165"/>
              <w:rPr>
                <w:sz w:val="20"/>
              </w:rPr>
            </w:pPr>
            <w:r>
              <w:rPr>
                <w:sz w:val="20"/>
              </w:rPr>
              <w:t xml:space="preserve">La </w:t>
            </w:r>
            <w:r>
              <w:rPr>
                <w:sz w:val="20"/>
              </w:rPr>
              <w:t xml:space="preserve">Child Behaviour Checklist (CBCL) </w:t>
            </w:r>
            <w:r>
              <w:rPr>
                <w:sz w:val="20"/>
              </w:rPr>
              <w:t xml:space="preserve">a été </w:t>
            </w:r>
            <w:r>
              <w:rPr>
                <w:sz w:val="20"/>
              </w:rPr>
              <w:t xml:space="preserve">utilisée </w:t>
            </w:r>
            <w:r>
              <w:rPr>
                <w:sz w:val="20"/>
              </w:rPr>
              <w:t xml:space="preserve">pour </w:t>
            </w:r>
            <w:r>
              <w:rPr>
                <w:sz w:val="20"/>
              </w:rPr>
              <w:t xml:space="preserve">évaluer l'</w:t>
            </w:r>
            <w:r>
              <w:rPr>
                <w:sz w:val="20"/>
              </w:rPr>
              <w:t xml:space="preserve">impact </w:t>
            </w:r>
            <w:r>
              <w:rPr>
                <w:sz w:val="20"/>
              </w:rPr>
              <w:t xml:space="preserve">psychosocial</w:t>
            </w:r>
            <w:r>
              <w:rPr>
                <w:sz w:val="20"/>
              </w:rPr>
              <w:t xml:space="preserve">. </w:t>
            </w:r>
            <w:r>
              <w:rPr>
                <w:sz w:val="20"/>
              </w:rPr>
              <w:t xml:space="preserve">La </w:t>
            </w:r>
            <w:r>
              <w:rPr>
                <w:sz w:val="20"/>
              </w:rPr>
              <w:t xml:space="preserve">CBCL a </w:t>
            </w:r>
            <w:r>
              <w:rPr>
                <w:sz w:val="20"/>
              </w:rPr>
              <w:t xml:space="preserve">été </w:t>
            </w:r>
            <w:r>
              <w:rPr>
                <w:sz w:val="20"/>
              </w:rPr>
              <w:t xml:space="preserve">administrée </w:t>
            </w:r>
            <w:r>
              <w:rPr>
                <w:sz w:val="20"/>
              </w:rPr>
              <w:t xml:space="preserve">une fois au </w:t>
            </w:r>
            <w:r>
              <w:rPr>
                <w:sz w:val="20"/>
              </w:rPr>
              <w:t xml:space="preserve">cours de </w:t>
            </w:r>
            <w:r>
              <w:rPr>
                <w:sz w:val="20"/>
              </w:rPr>
              <w:t xml:space="preserve">l'étude. Les résultats rapportés pour </w:t>
            </w:r>
            <w:r>
              <w:rPr>
                <w:sz w:val="20"/>
              </w:rPr>
              <w:t xml:space="preserve">chaque </w:t>
            </w:r>
            <w:r>
              <w:rPr>
                <w:sz w:val="20"/>
              </w:rPr>
              <w:t xml:space="preserve">groupe </w:t>
            </w:r>
            <w:r>
              <w:rPr>
                <w:sz w:val="20"/>
              </w:rPr>
              <w:t xml:space="preserve">étaient </w:t>
            </w:r>
            <w:r>
              <w:rPr>
                <w:sz w:val="20"/>
              </w:rPr>
              <w:t xml:space="preserve">(n, moyenne </w:t>
            </w:r>
            <w:r>
              <w:rPr>
                <w:sz w:val="20"/>
              </w:rPr>
              <w:t xml:space="preserve">[±SD]) :</w:t>
            </w:r>
          </w:p>
          <w:p>
            <w:pPr>
              <w:pStyle w:val="TableParagraph"/>
              <w:numPr>
                <w:ilvl w:val="0"/>
                <w:numId w:val="15"/>
              </w:numPr>
              <w:tabs>
                <w:tab w:val="left" w:pos="828"/>
                <w:tab w:val="left" w:pos="829"/>
              </w:tabs>
              <w:spacing w:line="235" w:lineRule="auto"/>
              <w:ind w:end="482"/>
              <w:rPr>
                <w:sz w:val="20"/>
              </w:rPr>
            </w:pPr>
            <w:r>
              <w:rPr>
                <w:sz w:val="20"/>
              </w:rPr>
              <w:t xml:space="preserve">Femmes transférées </w:t>
            </w:r>
            <w:r>
              <w:rPr>
                <w:sz w:val="20"/>
              </w:rPr>
              <w:t xml:space="preserve">(toutes, </w:t>
            </w:r>
            <w:r>
              <w:rPr>
                <w:sz w:val="20"/>
              </w:rPr>
              <w:t xml:space="preserve">n=18) </w:t>
            </w:r>
            <w:r>
              <w:rPr>
                <w:sz w:val="20"/>
              </w:rPr>
              <w:t xml:space="preserve">57,8 </w:t>
            </w:r>
            <w:r>
              <w:rPr>
                <w:sz w:val="20"/>
              </w:rPr>
              <w:t xml:space="preserve">[±9,2].</w:t>
            </w:r>
          </w:p>
          <w:p>
            <w:pPr>
              <w:pStyle w:val="TableParagraph"/>
              <w:numPr>
                <w:ilvl w:val="0"/>
                <w:numId w:val="15"/>
              </w:numPr>
              <w:tabs>
                <w:tab w:val="left" w:pos="828"/>
                <w:tab w:val="left" w:pos="829"/>
              </w:tabs>
              <w:spacing w:before="4" w:line="235" w:lineRule="auto"/>
              <w:ind w:end="638"/>
              <w:rPr>
                <w:sz w:val="20"/>
              </w:rPr>
            </w:pPr>
            <w:r>
              <w:rPr>
                <w:sz w:val="20"/>
              </w:rPr>
              <w:t xml:space="preserve">Femmes transférées sous </w:t>
            </w:r>
            <w:r>
              <w:rPr>
                <w:sz w:val="20"/>
              </w:rPr>
              <w:t xml:space="preserve">analogues de la </w:t>
            </w:r>
            <w:r>
              <w:rPr>
                <w:sz w:val="20"/>
              </w:rPr>
              <w:t xml:space="preserve">GnRH </w:t>
            </w:r>
            <w:r>
              <w:rPr>
                <w:sz w:val="20"/>
              </w:rPr>
              <w:t xml:space="preserve">(n=8) </w:t>
            </w:r>
            <w:r>
              <w:rPr>
                <w:sz w:val="20"/>
              </w:rPr>
              <w:t xml:space="preserve">57.4 </w:t>
            </w:r>
            <w:r>
              <w:rPr>
                <w:sz w:val="20"/>
              </w:rPr>
              <w:t xml:space="preserve">[±9.8]</w:t>
            </w:r>
          </w:p>
          <w:p>
            <w:pPr>
              <w:pStyle w:val="TableParagraph"/>
              <w:numPr>
                <w:ilvl w:val="0"/>
                <w:numId w:val="15"/>
              </w:numPr>
              <w:tabs>
                <w:tab w:val="left" w:pos="828"/>
                <w:tab w:val="left" w:pos="829"/>
              </w:tabs>
              <w:spacing w:before="8" w:line="235" w:lineRule="auto"/>
              <w:ind w:end="525"/>
              <w:rPr>
                <w:sz w:val="20"/>
              </w:rPr>
            </w:pPr>
            <w:r>
              <w:rPr>
                <w:sz w:val="20"/>
              </w:rPr>
              <w:t xml:space="preserve">Femmes transférées sans </w:t>
            </w:r>
            <w:r>
              <w:rPr>
                <w:sz w:val="20"/>
              </w:rPr>
              <w:t xml:space="preserve">analogues de la </w:t>
            </w:r>
            <w:r>
              <w:rPr>
                <w:sz w:val="20"/>
              </w:rPr>
              <w:t xml:space="preserve">GnRH </w:t>
            </w:r>
            <w:r>
              <w:rPr>
                <w:sz w:val="20"/>
              </w:rPr>
              <w:t xml:space="preserve">(n=10) </w:t>
            </w:r>
            <w:r>
              <w:rPr>
                <w:sz w:val="20"/>
              </w:rPr>
              <w:t xml:space="preserve">58,2 </w:t>
            </w:r>
            <w:r>
              <w:rPr>
                <w:sz w:val="20"/>
              </w:rPr>
              <w:t xml:space="preserve">[±9,3].</w:t>
            </w:r>
          </w:p>
          <w:p>
            <w:pPr>
              <w:pStyle w:val="TableParagraph"/>
              <w:numPr>
                <w:ilvl w:val="0"/>
                <w:numId w:val="15"/>
              </w:numPr>
              <w:tabs>
                <w:tab w:val="left" w:pos="828"/>
                <w:tab w:val="left" w:pos="829"/>
              </w:tabs>
              <w:spacing w:before="3"/>
              <w:ind w:end="650"/>
              <w:rPr>
                <w:sz w:val="20"/>
              </w:rPr>
            </w:pPr>
            <w:r>
              <w:rPr>
                <w:sz w:val="20"/>
              </w:rPr>
              <w:t xml:space="preserve">Transmales </w:t>
            </w:r>
            <w:r>
              <w:rPr>
                <w:sz w:val="20"/>
              </w:rPr>
              <w:t xml:space="preserve">(tous, </w:t>
            </w:r>
            <w:r>
              <w:rPr>
                <w:sz w:val="20"/>
              </w:rPr>
              <w:t xml:space="preserve">n=22) </w:t>
            </w:r>
            <w:r>
              <w:rPr>
                <w:sz w:val="20"/>
              </w:rPr>
              <w:t xml:space="preserve">60,4 </w:t>
            </w:r>
            <w:r>
              <w:rPr>
                <w:sz w:val="20"/>
              </w:rPr>
              <w:t xml:space="preserve">[±10,2]</w:t>
            </w:r>
          </w:p>
          <w:p>
            <w:pPr>
              <w:pStyle w:val="TableParagraph"/>
              <w:numPr>
                <w:ilvl w:val="0"/>
                <w:numId w:val="15"/>
              </w:numPr>
              <w:tabs>
                <w:tab w:val="left" w:pos="828"/>
                <w:tab w:val="left" w:pos="829"/>
              </w:tabs>
              <w:spacing w:before="4" w:line="235" w:lineRule="auto"/>
              <w:ind w:end="179"/>
              <w:rPr>
                <w:sz w:val="20"/>
              </w:rPr>
            </w:pPr>
            <w:r>
              <w:rPr>
                <w:sz w:val="20"/>
              </w:rPr>
              <w:t xml:space="preserve">Transmales </w:t>
            </w:r>
            <w:r>
              <w:rPr>
                <w:sz w:val="20"/>
              </w:rPr>
              <w:t xml:space="preserve">sur </w:t>
            </w:r>
            <w:r>
              <w:rPr>
                <w:sz w:val="20"/>
              </w:rPr>
              <w:t xml:space="preserve">analogues de la </w:t>
            </w:r>
            <w:r>
              <w:rPr>
                <w:sz w:val="20"/>
              </w:rPr>
              <w:t xml:space="preserve">GnRH </w:t>
            </w:r>
            <w:r>
              <w:rPr>
                <w:sz w:val="20"/>
              </w:rPr>
              <w:t xml:space="preserve">(n=12) </w:t>
            </w:r>
            <w:r>
              <w:rPr>
                <w:sz w:val="20"/>
              </w:rPr>
              <w:t xml:space="preserve">57,5 </w:t>
            </w:r>
            <w:r>
              <w:rPr>
                <w:sz w:val="20"/>
              </w:rPr>
              <w:t xml:space="preserve">[±9,4]</w:t>
            </w:r>
          </w:p>
          <w:p>
            <w:pPr>
              <w:pStyle w:val="TableParagraph"/>
              <w:numPr>
                <w:ilvl w:val="0"/>
                <w:numId w:val="15"/>
              </w:numPr>
              <w:tabs>
                <w:tab w:val="left" w:pos="828"/>
                <w:tab w:val="left" w:pos="829"/>
              </w:tabs>
              <w:spacing w:before="8" w:line="235" w:lineRule="auto"/>
              <w:ind w:end="415"/>
              <w:rPr>
                <w:sz w:val="20"/>
              </w:rPr>
            </w:pPr>
            <w:r>
              <w:rPr>
                <w:sz w:val="20"/>
              </w:rPr>
              <w:t xml:space="preserve">Transmales sans </w:t>
            </w:r>
            <w:r>
              <w:rPr>
                <w:sz w:val="20"/>
              </w:rPr>
              <w:t xml:space="preserve">analogues de la </w:t>
            </w:r>
            <w:r>
              <w:rPr>
                <w:sz w:val="20"/>
              </w:rPr>
              <w:t xml:space="preserve">GnRH </w:t>
            </w:r>
            <w:r>
              <w:rPr>
                <w:sz w:val="20"/>
              </w:rPr>
              <w:t xml:space="preserve">(n=10) </w:t>
            </w:r>
            <w:r>
              <w:rPr>
                <w:sz w:val="20"/>
              </w:rPr>
              <w:t xml:space="preserve">63.9 </w:t>
            </w:r>
            <w:r>
              <w:rPr>
                <w:sz w:val="20"/>
              </w:rPr>
              <w:t xml:space="preserve">[±10.5]</w:t>
            </w:r>
          </w:p>
          <w:p>
            <w:pPr>
              <w:pStyle w:val="TableParagraph"/>
              <w:spacing w:before="2"/>
              <w:ind w:start="107"/>
              <w:rPr>
                <w:sz w:val="20"/>
              </w:rPr>
            </w:pPr>
            <w:r>
              <w:rPr>
                <w:sz w:val="20"/>
              </w:rPr>
              <w:t xml:space="preserve">L'</w:t>
            </w:r>
            <w:r>
              <w:rPr>
                <w:sz w:val="20"/>
              </w:rPr>
              <w:t xml:space="preserve">analyse </w:t>
            </w:r>
            <w:r>
              <w:rPr>
                <w:sz w:val="20"/>
              </w:rPr>
              <w:t xml:space="preserve">des </w:t>
            </w:r>
            <w:r>
              <w:rPr>
                <w:sz w:val="20"/>
              </w:rPr>
              <w:t xml:space="preserve">données de </w:t>
            </w:r>
            <w:r>
              <w:rPr>
                <w:sz w:val="20"/>
              </w:rPr>
              <w:t xml:space="preserve">la </w:t>
            </w:r>
            <w:r>
              <w:rPr>
                <w:sz w:val="20"/>
              </w:rPr>
              <w:t xml:space="preserve">CBCL </w:t>
            </w:r>
            <w:r>
              <w:rPr>
                <w:sz w:val="20"/>
              </w:rPr>
              <w:t xml:space="preserve">n'</w:t>
            </w:r>
            <w:r>
              <w:rPr>
                <w:sz w:val="20"/>
              </w:rPr>
              <w:t xml:space="preserve">est </w:t>
            </w:r>
            <w:r>
              <w:rPr>
                <w:sz w:val="20"/>
              </w:rPr>
              <w:t xml:space="preserve">pas </w:t>
            </w:r>
            <w:r>
              <w:rPr>
                <w:sz w:val="20"/>
              </w:rPr>
              <w:t xml:space="preserve">discutée, et l'analyse statistique </w:t>
            </w:r>
            <w:r>
              <w:rPr>
                <w:sz w:val="20"/>
              </w:rPr>
              <w:t xml:space="preserve">n'est pas claire.</w:t>
            </w:r>
          </w:p>
          <w:p w:rsidR="00432386" w:rsidRDefault="00432386">
            <w:pPr>
              <w:pStyle w:val="TableParagraph"/>
              <w:spacing w:before="11"/>
              <w:rPr>
                <w:sz w:val="19"/>
              </w:rPr>
            </w:pPr>
          </w:p>
          <w:p>
            <w:pPr>
              <w:pStyle w:val="TableParagraph"/>
              <w:ind w:start="107"/>
              <w:rPr>
                <w:b/>
                <w:i/>
                <w:sz w:val="20"/>
              </w:rPr>
            </w:pPr>
            <w:r>
              <w:rPr>
                <w:b/>
                <w:i/>
                <w:sz w:val="20"/>
              </w:rPr>
              <w:t xml:space="preserve">Développement </w:t>
            </w:r>
            <w:r>
              <w:rPr>
                <w:b/>
                <w:i/>
                <w:sz w:val="20"/>
              </w:rPr>
              <w:t xml:space="preserve">ou </w:t>
            </w:r>
            <w:r>
              <w:rPr>
                <w:b/>
                <w:i/>
                <w:sz w:val="20"/>
              </w:rPr>
              <w:t xml:space="preserve">fonctionnement </w:t>
            </w:r>
            <w:r>
              <w:rPr>
                <w:b/>
                <w:i/>
                <w:sz w:val="20"/>
              </w:rPr>
              <w:t xml:space="preserve">cognitif</w:t>
            </w:r>
          </w:p>
          <w:p>
            <w:pPr>
              <w:pStyle w:val="TableParagraph"/>
              <w:ind w:start="107"/>
              <w:rPr>
                <w:b/>
                <w:sz w:val="20"/>
              </w:rPr>
            </w:pPr>
            <w:r>
              <w:rPr>
                <w:b/>
                <w:sz w:val="20"/>
              </w:rPr>
              <w:t xml:space="preserve">IQ1</w:t>
            </w:r>
          </w:p>
          <w:p>
            <w:pPr>
              <w:pStyle w:val="TableParagraph"/>
              <w:numPr>
                <w:ilvl w:val="0"/>
                <w:numId w:val="15"/>
              </w:numPr>
              <w:tabs>
                <w:tab w:val="left" w:pos="828"/>
                <w:tab w:val="left" w:pos="829"/>
              </w:tabs>
              <w:spacing w:before="6" w:line="235" w:lineRule="auto"/>
              <w:ind w:end="355"/>
              <w:rPr>
                <w:sz w:val="20"/>
              </w:rPr>
            </w:pPr>
            <w:r>
              <w:rPr>
                <w:sz w:val="20"/>
              </w:rPr>
              <w:t xml:space="preserve">Femmes transfemmes </w:t>
            </w:r>
            <w:r>
              <w:rPr>
                <w:sz w:val="20"/>
              </w:rPr>
              <w:t xml:space="preserve">(moyenne </w:t>
            </w:r>
            <w:r>
              <w:rPr>
                <w:sz w:val="20"/>
              </w:rPr>
              <w:t xml:space="preserve">[±SD]) </w:t>
            </w:r>
            <w:r>
              <w:rPr>
                <w:sz w:val="20"/>
              </w:rPr>
              <w:t xml:space="preserve">sous </w:t>
            </w:r>
            <w:r>
              <w:rPr>
                <w:sz w:val="20"/>
              </w:rPr>
              <w:t xml:space="preserve">analogues de la </w:t>
            </w:r>
            <w:r>
              <w:rPr>
                <w:sz w:val="20"/>
              </w:rPr>
              <w:t xml:space="preserve">GnRH </w:t>
            </w:r>
            <w:r>
              <w:rPr>
                <w:sz w:val="20"/>
              </w:rPr>
              <w:t xml:space="preserve">: </w:t>
            </w:r>
            <w:r>
              <w:rPr>
                <w:sz w:val="20"/>
              </w:rPr>
              <w:t xml:space="preserve">94.0 </w:t>
            </w:r>
            <w:r>
              <w:rPr>
                <w:sz w:val="20"/>
              </w:rPr>
              <w:t xml:space="preserve">(10.3)</w:t>
            </w:r>
          </w:p>
          <w:p>
            <w:pPr>
              <w:pStyle w:val="TableParagraph"/>
              <w:numPr>
                <w:ilvl w:val="0"/>
                <w:numId w:val="15"/>
              </w:numPr>
              <w:tabs>
                <w:tab w:val="left" w:pos="828"/>
                <w:tab w:val="left" w:pos="829"/>
              </w:tabs>
              <w:spacing w:before="3"/>
              <w:ind w:end="254"/>
              <w:rPr>
                <w:sz w:val="20"/>
              </w:rPr>
            </w:pPr>
            <w:r>
              <w:rPr>
                <w:sz w:val="20"/>
              </w:rPr>
              <w:t xml:space="preserve">Femmes transférées (moyenne [±SD]) </w:t>
            </w:r>
            <w:r>
              <w:rPr>
                <w:sz w:val="20"/>
              </w:rPr>
              <w:t xml:space="preserve">sans </w:t>
            </w:r>
            <w:r>
              <w:rPr>
                <w:sz w:val="20"/>
              </w:rPr>
              <w:t xml:space="preserve">analogues de la </w:t>
            </w:r>
            <w:r>
              <w:rPr>
                <w:sz w:val="20"/>
              </w:rPr>
              <w:t xml:space="preserve">GnRH </w:t>
            </w:r>
            <w:r>
              <w:rPr>
                <w:sz w:val="20"/>
              </w:rPr>
              <w:t xml:space="preserve">: </w:t>
            </w:r>
            <w:r>
              <w:rPr>
                <w:sz w:val="20"/>
              </w:rPr>
              <w:t xml:space="preserve">109.4 </w:t>
            </w:r>
            <w:r>
              <w:rPr>
                <w:sz w:val="20"/>
              </w:rPr>
              <w:t xml:space="preserve">(21.2)</w:t>
            </w:r>
          </w:p>
          <w:p>
            <w:pPr>
              <w:pStyle w:val="TableParagraph"/>
              <w:numPr>
                <w:ilvl w:val="0"/>
                <w:numId w:val="15"/>
              </w:numPr>
              <w:tabs>
                <w:tab w:val="left" w:pos="828"/>
                <w:tab w:val="left" w:pos="829"/>
              </w:tabs>
              <w:ind w:end="474"/>
              <w:rPr>
                <w:sz w:val="20"/>
              </w:rPr>
            </w:pPr>
            <w:r>
              <w:rPr>
                <w:sz w:val="20"/>
              </w:rPr>
              <w:t xml:space="preserve">Transmales (moyenne [±SD]) sous </w:t>
            </w:r>
            <w:r>
              <w:rPr>
                <w:sz w:val="20"/>
              </w:rPr>
              <w:t xml:space="preserve">analogues de la </w:t>
            </w:r>
            <w:r>
              <w:rPr>
                <w:sz w:val="20"/>
              </w:rPr>
              <w:t xml:space="preserve">GnRH </w:t>
            </w:r>
            <w:r>
              <w:rPr>
                <w:sz w:val="20"/>
              </w:rPr>
              <w:t xml:space="preserve">: </w:t>
            </w:r>
            <w:r>
              <w:rPr>
                <w:sz w:val="20"/>
              </w:rPr>
              <w:t xml:space="preserve">95.8 </w:t>
            </w:r>
            <w:r>
              <w:rPr>
                <w:sz w:val="20"/>
              </w:rPr>
              <w:t xml:space="preserve">(15.6)</w:t>
            </w:r>
          </w:p>
          <w:p>
            <w:pPr>
              <w:pStyle w:val="TableParagraph"/>
              <w:numPr>
                <w:ilvl w:val="0"/>
                <w:numId w:val="15"/>
              </w:numPr>
              <w:tabs>
                <w:tab w:val="left" w:pos="828"/>
                <w:tab w:val="left" w:pos="829"/>
              </w:tabs>
              <w:spacing w:before="3" w:line="235" w:lineRule="auto"/>
              <w:ind w:end="110"/>
              <w:rPr>
                <w:sz w:val="20"/>
              </w:rPr>
            </w:pPr>
            <w:r>
              <w:rPr>
                <w:sz w:val="20"/>
              </w:rPr>
              <w:t xml:space="preserve">Transmales </w:t>
            </w:r>
            <w:r>
              <w:rPr>
                <w:sz w:val="20"/>
              </w:rPr>
              <w:t xml:space="preserve">(moyenne </w:t>
            </w:r>
            <w:r>
              <w:rPr>
                <w:sz w:val="20"/>
              </w:rPr>
              <w:t xml:space="preserve">[±SD]) </w:t>
            </w:r>
            <w:r>
              <w:rPr>
                <w:sz w:val="20"/>
              </w:rPr>
              <w:t xml:space="preserve">sans </w:t>
            </w:r>
            <w:r>
              <w:rPr>
                <w:sz w:val="20"/>
              </w:rPr>
              <w:t xml:space="preserve">analogues de la </w:t>
            </w:r>
            <w:r>
              <w:rPr>
                <w:sz w:val="20"/>
              </w:rPr>
              <w:t xml:space="preserve">GnRH </w:t>
            </w:r>
            <w:r>
              <w:rPr>
                <w:sz w:val="20"/>
              </w:rPr>
              <w:t xml:space="preserve">: </w:t>
            </w:r>
            <w:r>
              <w:rPr>
                <w:sz w:val="20"/>
              </w:rPr>
              <w:t xml:space="preserve">98.5 </w:t>
            </w:r>
            <w:r>
              <w:rPr>
                <w:sz w:val="20"/>
              </w:rPr>
              <w:t xml:space="preserve">(15.9)</w:t>
            </w:r>
          </w:p>
          <w:p>
            <w:pPr>
              <w:pStyle w:val="TableParagraph"/>
              <w:spacing w:before="3"/>
              <w:ind w:start="107"/>
              <w:rPr>
                <w:b/>
                <w:sz w:val="20"/>
              </w:rPr>
            </w:pPr>
            <w:r>
              <w:rPr>
                <w:b/>
                <w:sz w:val="20"/>
              </w:rPr>
              <w:t xml:space="preserve">Temps de réaction2</w:t>
            </w:r>
          </w:p>
          <w:p>
            <w:pPr>
              <w:pStyle w:val="TableParagraph"/>
              <w:numPr>
                <w:ilvl w:val="0"/>
                <w:numId w:val="15"/>
              </w:numPr>
              <w:tabs>
                <w:tab w:val="left" w:pos="828"/>
                <w:tab w:val="left" w:pos="829"/>
              </w:tabs>
              <w:spacing w:before="5" w:line="235" w:lineRule="auto"/>
              <w:ind w:end="355"/>
              <w:rPr>
                <w:sz w:val="20"/>
              </w:rPr>
            </w:pPr>
            <w:r>
              <w:rPr>
                <w:sz w:val="20"/>
              </w:rPr>
              <w:t xml:space="preserve">Femmes transfemmes </w:t>
            </w:r>
            <w:r>
              <w:rPr>
                <w:sz w:val="20"/>
              </w:rPr>
              <w:t xml:space="preserve">(moyenne </w:t>
            </w:r>
            <w:r>
              <w:rPr>
                <w:sz w:val="20"/>
              </w:rPr>
              <w:t xml:space="preserve">[±SD]) </w:t>
            </w:r>
            <w:r>
              <w:rPr>
                <w:sz w:val="20"/>
              </w:rPr>
              <w:t xml:space="preserve">sous </w:t>
            </w:r>
            <w:r>
              <w:rPr>
                <w:sz w:val="20"/>
              </w:rPr>
              <w:t xml:space="preserve">analogues de la </w:t>
            </w:r>
            <w:r>
              <w:rPr>
                <w:sz w:val="20"/>
              </w:rPr>
              <w:t xml:space="preserve">GnRH </w:t>
            </w:r>
            <w:r>
              <w:rPr>
                <w:sz w:val="20"/>
              </w:rPr>
              <w:t xml:space="preserve">: </w:t>
            </w:r>
            <w:r>
              <w:rPr>
                <w:sz w:val="20"/>
              </w:rPr>
              <w:t xml:space="preserve">10.9 </w:t>
            </w:r>
            <w:r>
              <w:rPr>
                <w:sz w:val="20"/>
              </w:rPr>
              <w:t xml:space="preserve">(4.1)</w:t>
            </w:r>
          </w:p>
          <w:p>
            <w:pPr>
              <w:pStyle w:val="TableParagraph"/>
              <w:numPr>
                <w:ilvl w:val="0"/>
                <w:numId w:val="15"/>
              </w:numPr>
              <w:tabs>
                <w:tab w:val="left" w:pos="828"/>
                <w:tab w:val="left" w:pos="829"/>
              </w:tabs>
              <w:spacing w:before="5" w:line="237" w:lineRule="auto"/>
              <w:ind w:end="475"/>
              <w:rPr>
                <w:sz w:val="20"/>
              </w:rPr>
            </w:pPr>
            <w:r>
              <w:rPr>
                <w:sz w:val="20"/>
              </w:rPr>
              <w:t xml:space="preserve">Femmes transférées (moyenne [±SD]) </w:t>
            </w:r>
            <w:r>
              <w:rPr>
                <w:sz w:val="20"/>
              </w:rPr>
              <w:t xml:space="preserve">sans </w:t>
            </w:r>
            <w:r>
              <w:rPr>
                <w:sz w:val="20"/>
              </w:rPr>
              <w:t xml:space="preserve">analogues de la </w:t>
            </w:r>
            <w:r>
              <w:rPr>
                <w:sz w:val="20"/>
              </w:rPr>
              <w:t xml:space="preserve">GnRH </w:t>
            </w:r>
            <w:r>
              <w:rPr>
                <w:sz w:val="20"/>
              </w:rPr>
              <w:t xml:space="preserve">: </w:t>
            </w:r>
            <w:r>
              <w:rPr>
                <w:sz w:val="20"/>
              </w:rPr>
              <w:t xml:space="preserve">9.9 </w:t>
            </w:r>
            <w:r>
              <w:rPr>
                <w:sz w:val="20"/>
              </w:rPr>
              <w:t xml:space="preserve">(3.1)</w:t>
            </w:r>
          </w:p>
        </w:tc>
        <w:tc>
          <w:tcPr>
            <w:tcW w:w="3159" w:type="dxa"/>
          </w:tcPr>
          <w:p>
            <w:pPr>
              <w:pStyle w:val="TableParagraph"/>
              <w:numPr>
                <w:ilvl w:val="0"/>
                <w:numId w:val="14"/>
              </w:numPr>
              <w:tabs>
                <w:tab w:val="left" w:pos="469"/>
              </w:tabs>
              <w:ind w:end="222"/>
              <w:rPr>
                <w:sz w:val="20"/>
              </w:rPr>
            </w:pPr>
            <w:r>
              <w:rPr>
                <w:sz w:val="20"/>
              </w:rPr>
              <w:t xml:space="preserve">quelque peu représentatifs des </w:t>
            </w:r>
            <w:r>
              <w:rPr>
                <w:sz w:val="20"/>
              </w:rPr>
              <w:t xml:space="preserve">enfants et des adolescents </w:t>
            </w:r>
            <w:r>
              <w:rPr>
                <w:sz w:val="20"/>
              </w:rPr>
              <w:t xml:space="preserve">qui </w:t>
            </w:r>
            <w:r>
              <w:rPr>
                <w:sz w:val="20"/>
              </w:rPr>
              <w:t xml:space="preserve">souffrent de </w:t>
            </w:r>
            <w:r>
              <w:rPr>
                <w:sz w:val="20"/>
              </w:rPr>
              <w:t xml:space="preserve">dysphorie de </w:t>
            </w:r>
            <w:r>
              <w:rPr>
                <w:sz w:val="20"/>
              </w:rPr>
              <w:t xml:space="preserve">genre</w:t>
            </w:r>
          </w:p>
          <w:p>
            <w:pPr>
              <w:pStyle w:val="TableParagraph"/>
              <w:numPr>
                <w:ilvl w:val="0"/>
                <w:numId w:val="14"/>
              </w:numPr>
              <w:tabs>
                <w:tab w:val="left" w:pos="469"/>
              </w:tabs>
              <w:ind w:end="303"/>
              <w:rPr>
                <w:sz w:val="20"/>
              </w:rPr>
            </w:pPr>
            <w:r>
              <w:rPr>
                <w:sz w:val="20"/>
              </w:rPr>
              <w:t xml:space="preserve">tirés de la même </w:t>
            </w:r>
            <w:r>
              <w:rPr>
                <w:sz w:val="20"/>
              </w:rPr>
              <w:t xml:space="preserve">communauté </w:t>
            </w:r>
            <w:r>
              <w:rPr>
                <w:sz w:val="20"/>
              </w:rPr>
              <w:t xml:space="preserve">que </w:t>
            </w:r>
            <w:r>
              <w:rPr>
                <w:sz w:val="20"/>
              </w:rPr>
              <w:t xml:space="preserve">la </w:t>
            </w:r>
            <w:r>
              <w:rPr>
                <w:sz w:val="20"/>
              </w:rPr>
              <w:t xml:space="preserve">cohorte </w:t>
            </w:r>
            <w:r>
              <w:rPr>
                <w:sz w:val="20"/>
              </w:rPr>
              <w:t xml:space="preserve">exposée</w:t>
            </w:r>
          </w:p>
          <w:p>
            <w:pPr>
              <w:pStyle w:val="TableParagraph"/>
              <w:numPr>
                <w:ilvl w:val="0"/>
                <w:numId w:val="14"/>
              </w:numPr>
              <w:tabs>
                <w:tab w:val="left" w:pos="469"/>
              </w:tabs>
              <w:spacing w:line="229" w:lineRule="exact"/>
              <w:ind w:hanging="362"/>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14"/>
              </w:numPr>
              <w:tabs>
                <w:tab w:val="left" w:pos="469"/>
              </w:tabs>
              <w:ind w:hanging="362"/>
              <w:rPr>
                <w:sz w:val="20"/>
              </w:rPr>
            </w:pPr>
            <w:r>
              <w:rPr>
                <w:sz w:val="20"/>
              </w:rPr>
              <w:t xml:space="preserve">pas de</w:t>
            </w:r>
          </w:p>
          <w:p>
            <w:pPr>
              <w:pStyle w:val="TableParagraph"/>
              <w:ind w:start="107"/>
              <w:rPr>
                <w:b/>
                <w:sz w:val="20"/>
              </w:rPr>
            </w:pPr>
            <w:r>
              <w:rPr>
                <w:b/>
                <w:sz w:val="20"/>
              </w:rPr>
              <w:t xml:space="preserve">Domaine </w:t>
            </w:r>
            <w:r>
              <w:rPr>
                <w:b/>
                <w:sz w:val="20"/>
              </w:rPr>
              <w:t xml:space="preserve">2 : </w:t>
            </w:r>
            <w:r>
              <w:rPr>
                <w:b/>
                <w:sz w:val="20"/>
              </w:rPr>
              <w:t xml:space="preserve">Comparabilité</w:t>
            </w:r>
          </w:p>
          <w:p>
            <w:pPr>
              <w:pStyle w:val="TableParagraph"/>
              <w:ind w:start="468" w:hanging="361"/>
              <w:rPr>
                <w:sz w:val="20"/>
              </w:rPr>
            </w:pPr>
            <w:r>
              <w:rPr>
                <w:sz w:val="20"/>
              </w:rPr>
              <w:t xml:space="preserve">1. l'</w:t>
            </w:r>
            <w:r>
              <w:rPr>
                <w:sz w:val="20"/>
              </w:rPr>
              <w:t xml:space="preserve">étude </w:t>
            </w:r>
            <w:r>
              <w:rPr>
                <w:sz w:val="20"/>
              </w:rPr>
              <w:t xml:space="preserve">contrôle </w:t>
            </w:r>
            <w:r>
              <w:rPr>
                <w:sz w:val="20"/>
              </w:rPr>
              <w:t xml:space="preserve">l'</w:t>
            </w:r>
            <w:r>
              <w:rPr>
                <w:sz w:val="20"/>
              </w:rPr>
              <w:t xml:space="preserve">âge </w:t>
            </w:r>
            <w:r>
              <w:rPr>
                <w:sz w:val="20"/>
              </w:rPr>
              <w:t xml:space="preserve">et le </w:t>
            </w:r>
            <w:r>
              <w:rPr>
                <w:sz w:val="20"/>
              </w:rPr>
              <w:t xml:space="preserve">diagnostic</w:t>
            </w:r>
          </w:p>
          <w:p>
            <w:pPr>
              <w:pStyle w:val="TableParagraph"/>
              <w:spacing w:line="228" w:lineRule="exact"/>
              <w:ind w:start="107"/>
              <w:rPr>
                <w:b/>
                <w:sz w:val="20"/>
              </w:rPr>
            </w:pPr>
            <w:r>
              <w:rPr>
                <w:b/>
                <w:sz w:val="20"/>
              </w:rPr>
              <w:t xml:space="preserve">Domaine </w:t>
            </w:r>
            <w:r>
              <w:rPr>
                <w:b/>
                <w:sz w:val="20"/>
              </w:rPr>
              <w:t xml:space="preserve">3 : </w:t>
            </w:r>
            <w:r>
              <w:rPr>
                <w:b/>
                <w:sz w:val="20"/>
              </w:rPr>
              <w:t xml:space="preserve">Résultat</w:t>
            </w:r>
          </w:p>
          <w:p>
            <w:pPr>
              <w:pStyle w:val="TableParagraph"/>
              <w:numPr>
                <w:ilvl w:val="0"/>
                <w:numId w:val="13"/>
              </w:numPr>
              <w:tabs>
                <w:tab w:val="left" w:pos="469"/>
              </w:tabs>
              <w:ind w:hanging="362"/>
              <w:rPr>
                <w:sz w:val="20"/>
              </w:rPr>
            </w:pPr>
            <w:r>
              <w:rPr>
                <w:sz w:val="20"/>
              </w:rPr>
              <w:t xml:space="preserve">via une </w:t>
            </w:r>
            <w:r>
              <w:rPr>
                <w:sz w:val="20"/>
              </w:rPr>
              <w:t xml:space="preserve">évaluation </w:t>
            </w:r>
            <w:r>
              <w:rPr>
                <w:sz w:val="20"/>
              </w:rPr>
              <w:t xml:space="preserve">clinique</w:t>
            </w:r>
          </w:p>
          <w:p>
            <w:pPr>
              <w:pStyle w:val="TableParagraph"/>
              <w:numPr>
                <w:ilvl w:val="0"/>
                <w:numId w:val="13"/>
              </w:numPr>
              <w:tabs>
                <w:tab w:val="left" w:pos="469"/>
              </w:tabs>
              <w:ind w:hanging="362"/>
              <w:rPr>
                <w:sz w:val="20"/>
              </w:rPr>
            </w:pPr>
            <w:r>
              <w:rPr>
                <w:sz w:val="20"/>
              </w:rPr>
              <w:t xml:space="preserve">oui</w:t>
            </w:r>
          </w:p>
          <w:p>
            <w:pPr>
              <w:pStyle w:val="TableParagraph"/>
              <w:numPr>
                <w:ilvl w:val="0"/>
                <w:numId w:val="13"/>
              </w:numPr>
              <w:tabs>
                <w:tab w:val="left" w:pos="469"/>
              </w:tabs>
              <w:ind w:hanging="362"/>
              <w:rPr>
                <w:sz w:val="20"/>
              </w:rPr>
            </w:pPr>
            <w:r>
              <w:rPr>
                <w:sz w:val="20"/>
              </w:rPr>
              <w:t xml:space="preserve">pas clair</w:t>
            </w:r>
          </w:p>
          <w:p w:rsidR="00432386" w:rsidRDefault="00432386">
            <w:pPr>
              <w:pStyle w:val="TableParagraph"/>
              <w:spacing w:before="6"/>
              <w:rPr>
                <w:sz w:val="19"/>
              </w:rPr>
            </w:pPr>
          </w:p>
          <w:p>
            <w:pPr>
              <w:pStyle w:val="TableParagraph"/>
              <w:ind w:start="107" w:end="203"/>
              <w:rPr>
                <w:b/>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p>
          <w:p w:rsidR="00432386" w:rsidRDefault="00432386">
            <w:pPr>
              <w:pStyle w:val="TableParagraph"/>
              <w:spacing w:before="11"/>
              <w:rPr>
                <w:sz w:val="19"/>
              </w:rPr>
            </w:pPr>
          </w:p>
          <w:p>
            <w:pPr>
              <w:pStyle w:val="TableParagraph"/>
              <w:ind w:start="107" w:end="169"/>
              <w:rPr>
                <w:sz w:val="20"/>
              </w:rPr>
            </w:pPr>
            <w:r>
              <w:rPr>
                <w:sz w:val="20"/>
              </w:rPr>
              <w:t xml:space="preserve">Autres commentaires : </w:t>
            </w:r>
            <w:r>
              <w:rPr>
                <w:sz w:val="20"/>
              </w:rPr>
              <w:t xml:space="preserve">La comorbidité </w:t>
            </w:r>
            <w:r>
              <w:rPr>
                <w:sz w:val="20"/>
              </w:rPr>
              <w:t xml:space="preserve">physique et </w:t>
            </w:r>
            <w:r>
              <w:rPr>
                <w:sz w:val="20"/>
              </w:rPr>
              <w:t xml:space="preserve">psychologique </w:t>
            </w:r>
            <w:r>
              <w:rPr>
                <w:sz w:val="20"/>
              </w:rPr>
              <w:t xml:space="preserve">n'</w:t>
            </w:r>
            <w:r>
              <w:rPr>
                <w:sz w:val="20"/>
              </w:rPr>
              <w:t xml:space="preserve">a </w:t>
            </w:r>
            <w:r>
              <w:rPr>
                <w:sz w:val="20"/>
              </w:rPr>
              <w:t xml:space="preserve">pas </w:t>
            </w:r>
            <w:r>
              <w:rPr>
                <w:sz w:val="20"/>
              </w:rPr>
              <w:t xml:space="preserve">été </w:t>
            </w:r>
            <w:r>
              <w:rPr>
                <w:sz w:val="20"/>
              </w:rPr>
              <w:t xml:space="preserve">signalée, l'</w:t>
            </w:r>
            <w:r>
              <w:rPr>
                <w:sz w:val="20"/>
              </w:rPr>
              <w:t xml:space="preserve">utilisation </w:t>
            </w:r>
            <w:r>
              <w:rPr>
                <w:sz w:val="20"/>
              </w:rPr>
              <w:t xml:space="preserve">concomitante </w:t>
            </w:r>
            <w:r>
              <w:rPr>
                <w:sz w:val="20"/>
              </w:rPr>
              <w:t xml:space="preserve">d'</w:t>
            </w:r>
            <w:r>
              <w:rPr>
                <w:sz w:val="20"/>
              </w:rPr>
              <w:t xml:space="preserve">autres médicaments n'a pas été </w:t>
            </w:r>
            <w:r>
              <w:rPr>
                <w:sz w:val="20"/>
              </w:rPr>
              <w:t xml:space="preserve">signalée.</w:t>
            </w:r>
          </w:p>
          <w:p w:rsidR="00432386" w:rsidRDefault="00432386">
            <w:pPr>
              <w:pStyle w:val="TableParagraph"/>
              <w:rPr>
                <w:sz w:val="20"/>
              </w:rPr>
            </w:pPr>
          </w:p>
          <w:p>
            <w:pPr>
              <w:pStyle w:val="TableParagraph"/>
              <w:ind w:start="107" w:end="119"/>
              <w:rPr>
                <w:sz w:val="20"/>
              </w:rPr>
            </w:pPr>
            <w:r>
              <w:rPr>
                <w:sz w:val="20"/>
              </w:rPr>
              <w:t xml:space="preserve">Source </w:t>
            </w:r>
            <w:r>
              <w:rPr>
                <w:sz w:val="20"/>
              </w:rPr>
              <w:t xml:space="preserve">de </w:t>
            </w:r>
            <w:r>
              <w:rPr>
                <w:sz w:val="20"/>
              </w:rPr>
              <w:t xml:space="preserve">financement : </w:t>
            </w:r>
            <w:r>
              <w:rPr>
                <w:sz w:val="20"/>
              </w:rPr>
              <w:t xml:space="preserve">Ce </w:t>
            </w:r>
            <w:r>
              <w:rPr>
                <w:sz w:val="20"/>
              </w:rPr>
              <w:t xml:space="preserve">travail </w:t>
            </w:r>
            <w:r>
              <w:rPr>
                <w:sz w:val="20"/>
              </w:rPr>
              <w:t xml:space="preserve">a été </w:t>
            </w:r>
            <w:r>
              <w:rPr>
                <w:sz w:val="20"/>
              </w:rPr>
              <w:t xml:space="preserve">soutenu </w:t>
            </w:r>
            <w:r>
              <w:rPr>
                <w:sz w:val="20"/>
              </w:rPr>
              <w:t xml:space="preserve">par </w:t>
            </w:r>
            <w:r>
              <w:rPr>
                <w:sz w:val="20"/>
              </w:rPr>
              <w:t xml:space="preserve">une </w:t>
            </w:r>
            <w:r>
              <w:rPr>
                <w:sz w:val="20"/>
              </w:rPr>
              <w:t xml:space="preserve">subvention à l'</w:t>
            </w:r>
            <w:r>
              <w:rPr>
                <w:sz w:val="20"/>
              </w:rPr>
              <w:t xml:space="preserve">éducation </w:t>
            </w:r>
            <w:r>
              <w:rPr>
                <w:sz w:val="20"/>
              </w:rPr>
              <w:t xml:space="preserve">de la </w:t>
            </w:r>
            <w:r>
              <w:rPr>
                <w:sz w:val="20"/>
              </w:rPr>
              <w:t xml:space="preserve">société </w:t>
            </w:r>
            <w:r>
              <w:rPr>
                <w:sz w:val="20"/>
              </w:rPr>
              <w:t xml:space="preserve">pharmaceutique </w:t>
            </w:r>
            <w:r>
              <w:rPr>
                <w:sz w:val="20"/>
              </w:rPr>
              <w:t xml:space="preserve">Ferring BV, et par une </w:t>
            </w:r>
            <w:r>
              <w:rPr>
                <w:sz w:val="20"/>
              </w:rPr>
              <w:t xml:space="preserve">subvention </w:t>
            </w:r>
            <w:r>
              <w:rPr>
                <w:sz w:val="20"/>
              </w:rPr>
              <w:t xml:space="preserve">VICI </w:t>
            </w:r>
            <w:r>
              <w:rPr>
                <w:sz w:val="20"/>
              </w:rPr>
              <w:t xml:space="preserve">(453-08-003) de la </w:t>
            </w:r>
            <w:r>
              <w:rPr>
                <w:sz w:val="20"/>
              </w:rPr>
              <w:t xml:space="preserve">Fondation néerlandaise pour la science. Les </w:t>
            </w:r>
            <w:r>
              <w:rPr>
                <w:sz w:val="20"/>
              </w:rPr>
              <w:t xml:space="preserve">auteurs déclarent que les </w:t>
            </w:r>
            <w:r>
              <w:rPr>
                <w:sz w:val="20"/>
              </w:rPr>
              <w:t xml:space="preserve">sources de </w:t>
            </w:r>
            <w:r>
              <w:rPr>
                <w:sz w:val="20"/>
              </w:rPr>
              <w:t xml:space="preserve">financement </w:t>
            </w:r>
            <w:r>
              <w:rPr>
                <w:sz w:val="20"/>
              </w:rPr>
              <w:t xml:space="preserve">n'ont </w:t>
            </w:r>
            <w:r>
              <w:rPr>
                <w:sz w:val="20"/>
              </w:rPr>
              <w:t xml:space="preserve">joué</w:t>
            </w:r>
            <w:r>
              <w:rPr>
                <w:sz w:val="20"/>
              </w:rPr>
              <w:t xml:space="preserve"> aucun </w:t>
            </w:r>
            <w:r>
              <w:rPr>
                <w:sz w:val="20"/>
              </w:rPr>
              <w:t xml:space="preserve">rôle </w:t>
            </w:r>
            <w:r>
              <w:rPr>
                <w:sz w:val="20"/>
              </w:rPr>
              <w:t xml:space="preserve">dans les </w:t>
            </w:r>
            <w:r>
              <w:rPr>
                <w:sz w:val="20"/>
              </w:rPr>
              <w:t xml:space="preserve">différentes </w:t>
            </w:r>
            <w:r>
              <w:rPr>
                <w:sz w:val="20"/>
              </w:rPr>
              <w:t xml:space="preserve">composantes de </w:t>
            </w:r>
            <w:r>
              <w:rPr>
                <w:sz w:val="20"/>
              </w:rPr>
              <w:t xml:space="preserve">cette </w:t>
            </w:r>
            <w:r>
              <w:rPr>
                <w:sz w:val="20"/>
              </w:rPr>
              <w:t xml:space="preserve">étude.</w:t>
            </w:r>
          </w:p>
        </w:tc>
      </w:tr>
    </w:tbl>
    <w:p w:rsidR="00432386" w:rsidRDefault="00432386">
      <w:pPr>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31"/>
        <w:gridCol w:w="3591"/>
        <w:gridCol w:w="2083"/>
        <w:gridCol w:w="3927"/>
        <w:gridCol w:w="3159"/>
      </w:tblGrid>
      <w:tr w:rsidR="00432386">
        <w:trPr>
          <w:trHeight w:val="290"/>
        </w:trPr>
        <w:tc>
          <w:tcPr>
            <w:tcW w:w="2631"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591" w:type="dxa"/>
            <w:shd w:val="clear" w:color="auto" w:fill="8DB3E1"/>
          </w:tcPr>
          <w:p>
            <w:pPr>
              <w:pStyle w:val="TableParagraph"/>
              <w:spacing w:line="220" w:lineRule="exact"/>
              <w:ind w:start="105"/>
              <w:rPr>
                <w:b/>
                <w:sz w:val="20"/>
              </w:rPr>
            </w:pPr>
            <w:r>
              <w:rPr>
                <w:b/>
                <w:sz w:val="20"/>
              </w:rPr>
              <w:t xml:space="preserve">Population</w:t>
            </w:r>
          </w:p>
        </w:tc>
        <w:tc>
          <w:tcPr>
            <w:tcW w:w="2083" w:type="dxa"/>
            <w:shd w:val="clear" w:color="auto" w:fill="8DB3E1"/>
          </w:tcPr>
          <w:p>
            <w:pPr>
              <w:pStyle w:val="TableParagraph"/>
              <w:spacing w:line="220" w:lineRule="exact"/>
              <w:ind w:start="107"/>
              <w:rPr>
                <w:b/>
                <w:sz w:val="20"/>
              </w:rPr>
            </w:pPr>
            <w:r>
              <w:rPr>
                <w:b/>
                <w:sz w:val="20"/>
              </w:rPr>
              <w:t xml:space="preserve">Interventions</w:t>
            </w:r>
          </w:p>
        </w:tc>
        <w:tc>
          <w:tcPr>
            <w:tcW w:w="3927" w:type="dxa"/>
            <w:shd w:val="clear" w:color="auto" w:fill="8DB3E1"/>
          </w:tcPr>
          <w:p>
            <w:pPr>
              <w:pStyle w:val="TableParagraph"/>
              <w:spacing w:line="220" w:lineRule="exact"/>
              <w:ind w:start="107"/>
              <w:rPr>
                <w:b/>
                <w:sz w:val="20"/>
              </w:rPr>
            </w:pPr>
            <w:r>
              <w:rPr>
                <w:b/>
                <w:sz w:val="20"/>
              </w:rPr>
              <w:t xml:space="preserve">Résultats de l'</w:t>
            </w:r>
            <w:r>
              <w:rPr>
                <w:b/>
                <w:sz w:val="20"/>
              </w:rPr>
              <w:t xml:space="preserve">étude</w:t>
            </w:r>
          </w:p>
        </w:tc>
        <w:tc>
          <w:tcPr>
            <w:tcW w:w="3159" w:type="dxa"/>
            <w:shd w:val="clear" w:color="auto" w:fill="8DB3E1"/>
          </w:tcPr>
          <w:p>
            <w:pPr>
              <w:pStyle w:val="TableParagraph"/>
              <w:spacing w:line="220" w:lineRule="exact"/>
              <w:ind w:start="107"/>
              <w:rPr>
                <w:b/>
                <w:sz w:val="20"/>
              </w:rPr>
            </w:pPr>
            <w:r>
              <w:rPr>
                <w:b/>
                <w:sz w:val="20"/>
              </w:rPr>
              <w:t xml:space="preserve">Évaluation </w:t>
            </w:r>
            <w:r>
              <w:rPr>
                <w:b/>
                <w:sz w:val="20"/>
              </w:rPr>
              <w:t xml:space="preserve">et </w:t>
            </w:r>
            <w:r>
              <w:rPr>
                <w:b/>
                <w:sz w:val="20"/>
              </w:rPr>
              <w:t xml:space="preserve">financement</w:t>
            </w:r>
          </w:p>
        </w:tc>
      </w:tr>
      <w:tr w:rsidR="00432386">
        <w:trPr>
          <w:trHeight w:val="3532"/>
        </w:trPr>
        <w:tc>
          <w:tcPr>
            <w:tcW w:w="2631" w:type="dxa"/>
          </w:tcPr>
          <w:p w:rsidR="00432386" w:rsidRDefault="00432386">
            <w:pPr>
              <w:pStyle w:val="TableParagraph"/>
              <w:rPr>
                <w:rFonts w:ascii="Times New Roman"/>
                <w:sz w:val="18"/>
              </w:rPr>
            </w:pPr>
          </w:p>
        </w:tc>
        <w:tc>
          <w:tcPr>
            <w:tcW w:w="3591" w:type="dxa"/>
          </w:tcPr>
          <w:p>
            <w:pPr>
              <w:pStyle w:val="TableParagraph"/>
              <w:numPr>
                <w:ilvl w:val="0"/>
                <w:numId w:val="12"/>
              </w:numPr>
              <w:tabs>
                <w:tab w:val="left" w:pos="465"/>
                <w:tab w:val="left" w:pos="466"/>
              </w:tabs>
              <w:ind w:end="603"/>
              <w:rPr>
                <w:sz w:val="20"/>
              </w:rPr>
            </w:pPr>
            <w:r>
              <w:rPr>
                <w:sz w:val="20"/>
              </w:rPr>
              <w:t xml:space="preserve">Transfemmes </w:t>
            </w:r>
            <w:r>
              <w:rPr>
                <w:sz w:val="20"/>
              </w:rPr>
              <w:t xml:space="preserve">sans </w:t>
            </w:r>
            <w:r>
              <w:rPr>
                <w:sz w:val="20"/>
              </w:rPr>
              <w:t xml:space="preserve">analogues de la </w:t>
            </w:r>
            <w:r>
              <w:rPr>
                <w:sz w:val="20"/>
              </w:rPr>
              <w:t xml:space="preserve">GnRH </w:t>
            </w:r>
            <w:r>
              <w:rPr>
                <w:sz w:val="20"/>
              </w:rPr>
              <w:t xml:space="preserve">3,8 </w:t>
            </w:r>
            <w:r>
              <w:rPr>
                <w:sz w:val="20"/>
              </w:rPr>
              <w:t xml:space="preserve">[±1,1]</w:t>
            </w:r>
          </w:p>
          <w:p>
            <w:pPr>
              <w:pStyle w:val="TableParagraph"/>
              <w:numPr>
                <w:ilvl w:val="0"/>
                <w:numId w:val="12"/>
              </w:numPr>
              <w:tabs>
                <w:tab w:val="left" w:pos="465"/>
                <w:tab w:val="left" w:pos="466"/>
              </w:tabs>
              <w:spacing w:line="244" w:lineRule="exact"/>
              <w:ind w:hanging="361"/>
              <w:rPr>
                <w:sz w:val="20"/>
              </w:rPr>
            </w:pPr>
            <w:r>
              <w:rPr>
                <w:sz w:val="20"/>
              </w:rPr>
              <w:t xml:space="preserve">Transmales </w:t>
            </w:r>
            <w:r>
              <w:rPr>
                <w:sz w:val="20"/>
              </w:rPr>
              <w:t xml:space="preserve">4.5 </w:t>
            </w:r>
            <w:r>
              <w:rPr>
                <w:sz w:val="20"/>
              </w:rPr>
              <w:t xml:space="preserve">[±0.9]</w:t>
            </w:r>
          </w:p>
          <w:p>
            <w:pPr>
              <w:pStyle w:val="TableParagraph"/>
              <w:numPr>
                <w:ilvl w:val="0"/>
                <w:numId w:val="12"/>
              </w:numPr>
              <w:tabs>
                <w:tab w:val="left" w:pos="465"/>
                <w:tab w:val="left" w:pos="466"/>
              </w:tabs>
              <w:spacing w:line="235" w:lineRule="auto"/>
              <w:ind w:end="204"/>
              <w:rPr>
                <w:sz w:val="20"/>
              </w:rPr>
            </w:pPr>
            <w:r>
              <w:rPr>
                <w:sz w:val="20"/>
              </w:rPr>
              <w:t xml:space="preserve">Transmales </w:t>
            </w:r>
            <w:r>
              <w:rPr>
                <w:sz w:val="20"/>
              </w:rPr>
              <w:t xml:space="preserve">sur </w:t>
            </w:r>
            <w:r>
              <w:rPr>
                <w:sz w:val="20"/>
              </w:rPr>
              <w:t xml:space="preserve">analogues de la </w:t>
            </w:r>
            <w:r>
              <w:rPr>
                <w:sz w:val="20"/>
              </w:rPr>
              <w:t xml:space="preserve">GnRH </w:t>
            </w:r>
            <w:r>
              <w:rPr>
                <w:sz w:val="20"/>
              </w:rPr>
              <w:t xml:space="preserve">4,1 </w:t>
            </w:r>
            <w:r>
              <w:rPr>
                <w:sz w:val="20"/>
              </w:rPr>
              <w:t xml:space="preserve">[±1,1]</w:t>
            </w:r>
          </w:p>
          <w:p>
            <w:pPr>
              <w:pStyle w:val="TableParagraph"/>
              <w:ind w:start="105" w:end="151"/>
              <w:rPr>
                <w:rFonts w:ascii="Times New Roman" w:hAnsi="Times New Roman"/>
                <w:sz w:val="20"/>
              </w:rPr>
            </w:pPr>
            <w:r>
              <w:rPr>
                <w:rFonts w:ascii="Times New Roman" w:hAnsi="Times New Roman"/>
                <w:sz w:val="20"/>
              </w:rPr>
              <w:t xml:space="preserve">Transmales sans analogues de la GnRH 4,9 </w:t>
            </w:r>
            <w:r>
              <w:rPr>
                <w:rFonts w:ascii="Times New Roman" w:hAnsi="Times New Roman"/>
                <w:sz w:val="20"/>
              </w:rPr>
              <w:t xml:space="preserve">[±0,3]</w:t>
            </w:r>
          </w:p>
        </w:tc>
        <w:tc>
          <w:tcPr>
            <w:tcW w:w="2083" w:type="dxa"/>
          </w:tcPr>
          <w:p w:rsidR="00432386" w:rsidRDefault="00432386">
            <w:pPr>
              <w:pStyle w:val="TableParagraph"/>
              <w:rPr>
                <w:rFonts w:ascii="Times New Roman"/>
                <w:sz w:val="18"/>
              </w:rPr>
            </w:pPr>
          </w:p>
        </w:tc>
        <w:tc>
          <w:tcPr>
            <w:tcW w:w="3927" w:type="dxa"/>
          </w:tcPr>
          <w:p>
            <w:pPr>
              <w:pStyle w:val="TableParagraph"/>
              <w:numPr>
                <w:ilvl w:val="0"/>
                <w:numId w:val="11"/>
              </w:numPr>
              <w:tabs>
                <w:tab w:val="left" w:pos="828"/>
                <w:tab w:val="left" w:pos="829"/>
              </w:tabs>
              <w:ind w:end="521"/>
              <w:rPr>
                <w:sz w:val="20"/>
              </w:rPr>
            </w:pPr>
            <w:r>
              <w:rPr>
                <w:sz w:val="20"/>
              </w:rPr>
              <w:t xml:space="preserve">Transmales </w:t>
            </w:r>
            <w:r>
              <w:rPr>
                <w:sz w:val="20"/>
              </w:rPr>
              <w:t xml:space="preserve">(moyenne </w:t>
            </w:r>
            <w:r>
              <w:rPr>
                <w:sz w:val="20"/>
              </w:rPr>
              <w:t xml:space="preserve">[±SD]) </w:t>
            </w:r>
            <w:r>
              <w:rPr>
                <w:sz w:val="20"/>
              </w:rPr>
              <w:t xml:space="preserve">sous </w:t>
            </w:r>
            <w:r>
              <w:rPr>
                <w:sz w:val="20"/>
              </w:rPr>
              <w:t xml:space="preserve">analogues de la </w:t>
            </w:r>
            <w:r>
              <w:rPr>
                <w:sz w:val="20"/>
              </w:rPr>
              <w:t xml:space="preserve">GnRH </w:t>
            </w:r>
            <w:r>
              <w:rPr>
                <w:sz w:val="20"/>
              </w:rPr>
              <w:t xml:space="preserve">: </w:t>
            </w:r>
            <w:r>
              <w:rPr>
                <w:sz w:val="20"/>
              </w:rPr>
              <w:t xml:space="preserve">9.9 </w:t>
            </w:r>
            <w:r>
              <w:rPr>
                <w:sz w:val="20"/>
              </w:rPr>
              <w:t xml:space="preserve">(3.1)</w:t>
            </w:r>
          </w:p>
          <w:p>
            <w:pPr>
              <w:pStyle w:val="TableParagraph"/>
              <w:numPr>
                <w:ilvl w:val="0"/>
                <w:numId w:val="11"/>
              </w:numPr>
              <w:tabs>
                <w:tab w:val="left" w:pos="828"/>
                <w:tab w:val="left" w:pos="829"/>
              </w:tabs>
              <w:spacing w:line="235" w:lineRule="auto"/>
              <w:ind w:end="111"/>
              <w:rPr>
                <w:sz w:val="20"/>
              </w:rPr>
            </w:pPr>
            <w:r>
              <w:rPr>
                <w:sz w:val="20"/>
              </w:rPr>
              <w:t xml:space="preserve">Transmales </w:t>
            </w:r>
            <w:r>
              <w:rPr>
                <w:sz w:val="20"/>
              </w:rPr>
              <w:t xml:space="preserve">(moyenne </w:t>
            </w:r>
            <w:r>
              <w:rPr>
                <w:sz w:val="20"/>
              </w:rPr>
              <w:t xml:space="preserve">[±SD]) </w:t>
            </w:r>
            <w:r>
              <w:rPr>
                <w:sz w:val="20"/>
              </w:rPr>
              <w:t xml:space="preserve">sans </w:t>
            </w:r>
            <w:r>
              <w:rPr>
                <w:sz w:val="20"/>
              </w:rPr>
              <w:t xml:space="preserve">analogues de la </w:t>
            </w:r>
            <w:r>
              <w:rPr>
                <w:sz w:val="20"/>
              </w:rPr>
              <w:t xml:space="preserve">GnRH </w:t>
            </w:r>
            <w:r>
              <w:rPr>
                <w:sz w:val="20"/>
              </w:rPr>
              <w:t xml:space="preserve">: </w:t>
            </w:r>
            <w:r>
              <w:rPr>
                <w:sz w:val="20"/>
              </w:rPr>
              <w:t xml:space="preserve">10.0 </w:t>
            </w:r>
            <w:r>
              <w:rPr>
                <w:sz w:val="20"/>
              </w:rPr>
              <w:t xml:space="preserve">(2.0)</w:t>
            </w:r>
          </w:p>
          <w:p>
            <w:pPr>
              <w:pStyle w:val="TableParagraph"/>
              <w:ind w:start="107"/>
              <w:rPr>
                <w:b/>
                <w:sz w:val="20"/>
              </w:rPr>
            </w:pPr>
            <w:r>
              <w:rPr>
                <w:b/>
                <w:sz w:val="20"/>
              </w:rPr>
              <w:t xml:space="preserve">Précision3</w:t>
            </w:r>
          </w:p>
          <w:p>
            <w:pPr>
              <w:pStyle w:val="TableParagraph"/>
              <w:numPr>
                <w:ilvl w:val="0"/>
                <w:numId w:val="11"/>
              </w:numPr>
              <w:tabs>
                <w:tab w:val="left" w:pos="828"/>
                <w:tab w:val="left" w:pos="829"/>
              </w:tabs>
              <w:spacing w:before="2" w:line="235" w:lineRule="auto"/>
              <w:ind w:end="355"/>
              <w:rPr>
                <w:sz w:val="20"/>
              </w:rPr>
            </w:pPr>
            <w:r>
              <w:rPr>
                <w:sz w:val="20"/>
              </w:rPr>
              <w:t xml:space="preserve">Femmes transfemmes </w:t>
            </w:r>
            <w:r>
              <w:rPr>
                <w:sz w:val="20"/>
              </w:rPr>
              <w:t xml:space="preserve">(moyenne </w:t>
            </w:r>
            <w:r>
              <w:rPr>
                <w:sz w:val="20"/>
              </w:rPr>
              <w:t xml:space="preserve">[±SD]) </w:t>
            </w:r>
            <w:r>
              <w:rPr>
                <w:sz w:val="20"/>
              </w:rPr>
              <w:t xml:space="preserve">sous </w:t>
            </w:r>
            <w:r>
              <w:rPr>
                <w:sz w:val="20"/>
              </w:rPr>
              <w:t xml:space="preserve">analogues de la </w:t>
            </w:r>
            <w:r>
              <w:rPr>
                <w:sz w:val="20"/>
              </w:rPr>
              <w:t xml:space="preserve">GnRH </w:t>
            </w:r>
            <w:r>
              <w:rPr>
                <w:sz w:val="20"/>
              </w:rPr>
              <w:t xml:space="preserve">: </w:t>
            </w:r>
            <w:r>
              <w:rPr>
                <w:sz w:val="20"/>
              </w:rPr>
              <w:t xml:space="preserve">73.9 </w:t>
            </w:r>
            <w:r>
              <w:rPr>
                <w:sz w:val="20"/>
              </w:rPr>
              <w:t xml:space="preserve">(9.1)</w:t>
            </w:r>
          </w:p>
          <w:p>
            <w:pPr>
              <w:pStyle w:val="TableParagraph"/>
              <w:numPr>
                <w:ilvl w:val="0"/>
                <w:numId w:val="11"/>
              </w:numPr>
              <w:tabs>
                <w:tab w:val="left" w:pos="828"/>
                <w:tab w:val="left" w:pos="829"/>
              </w:tabs>
              <w:spacing w:before="6" w:line="237" w:lineRule="auto"/>
              <w:ind w:end="364"/>
              <w:rPr>
                <w:sz w:val="20"/>
              </w:rPr>
            </w:pPr>
            <w:r>
              <w:rPr>
                <w:sz w:val="20"/>
              </w:rPr>
              <w:t xml:space="preserve">Femmes transférées (moyenne [±SD]) </w:t>
            </w:r>
            <w:r>
              <w:rPr>
                <w:sz w:val="20"/>
              </w:rPr>
              <w:t xml:space="preserve">sans </w:t>
            </w:r>
            <w:r>
              <w:rPr>
                <w:sz w:val="20"/>
              </w:rPr>
              <w:t xml:space="preserve">analogues de la </w:t>
            </w:r>
            <w:r>
              <w:rPr>
                <w:sz w:val="20"/>
              </w:rPr>
              <w:t xml:space="preserve">GnRH </w:t>
            </w:r>
            <w:r>
              <w:rPr>
                <w:sz w:val="20"/>
              </w:rPr>
              <w:t xml:space="preserve">: </w:t>
            </w:r>
            <w:r>
              <w:rPr>
                <w:sz w:val="20"/>
              </w:rPr>
              <w:t xml:space="preserve">83.4 </w:t>
            </w:r>
            <w:r>
              <w:rPr>
                <w:sz w:val="20"/>
              </w:rPr>
              <w:t xml:space="preserve">(9.5)</w:t>
            </w:r>
          </w:p>
          <w:p>
            <w:pPr>
              <w:pStyle w:val="TableParagraph"/>
              <w:numPr>
                <w:ilvl w:val="0"/>
                <w:numId w:val="11"/>
              </w:numPr>
              <w:tabs>
                <w:tab w:val="left" w:pos="828"/>
                <w:tab w:val="left" w:pos="829"/>
              </w:tabs>
              <w:spacing w:before="8" w:line="235" w:lineRule="auto"/>
              <w:ind w:end="475"/>
              <w:rPr>
                <w:sz w:val="20"/>
              </w:rPr>
            </w:pPr>
            <w:r>
              <w:rPr>
                <w:sz w:val="20"/>
              </w:rPr>
              <w:t xml:space="preserve">Transmales (moyenne [±SD]) sous </w:t>
            </w:r>
            <w:r>
              <w:rPr>
                <w:sz w:val="20"/>
              </w:rPr>
              <w:t xml:space="preserve">analogues de la </w:t>
            </w:r>
            <w:r>
              <w:rPr>
                <w:sz w:val="20"/>
              </w:rPr>
              <w:t xml:space="preserve">GnRH </w:t>
            </w:r>
            <w:r>
              <w:rPr>
                <w:sz w:val="20"/>
              </w:rPr>
              <w:t xml:space="preserve">: </w:t>
            </w:r>
            <w:r>
              <w:rPr>
                <w:sz w:val="20"/>
              </w:rPr>
              <w:t xml:space="preserve">85.7 </w:t>
            </w:r>
            <w:r>
              <w:rPr>
                <w:sz w:val="20"/>
              </w:rPr>
              <w:t xml:space="preserve">(10.5)</w:t>
            </w:r>
          </w:p>
          <w:p>
            <w:pPr>
              <w:pStyle w:val="TableParagraph"/>
              <w:numPr>
                <w:ilvl w:val="0"/>
                <w:numId w:val="11"/>
              </w:numPr>
              <w:tabs>
                <w:tab w:val="left" w:pos="828"/>
                <w:tab w:val="left" w:pos="829"/>
              </w:tabs>
              <w:spacing w:before="3"/>
              <w:ind w:end="111"/>
              <w:rPr>
                <w:sz w:val="20"/>
              </w:rPr>
            </w:pPr>
            <w:r>
              <w:rPr>
                <w:sz w:val="20"/>
              </w:rPr>
              <w:t xml:space="preserve">Transmales </w:t>
            </w:r>
            <w:r>
              <w:rPr>
                <w:sz w:val="20"/>
              </w:rPr>
              <w:t xml:space="preserve">(moyenne </w:t>
            </w:r>
            <w:r>
              <w:rPr>
                <w:sz w:val="20"/>
              </w:rPr>
              <w:t xml:space="preserve">[±SD]) </w:t>
            </w:r>
            <w:r>
              <w:rPr>
                <w:sz w:val="20"/>
              </w:rPr>
              <w:t xml:space="preserve">sans </w:t>
            </w:r>
            <w:r>
              <w:rPr>
                <w:sz w:val="20"/>
              </w:rPr>
              <w:t xml:space="preserve">analogues de la </w:t>
            </w:r>
            <w:r>
              <w:rPr>
                <w:sz w:val="20"/>
              </w:rPr>
              <w:t xml:space="preserve">GnRH </w:t>
            </w:r>
            <w:r>
              <w:rPr>
                <w:sz w:val="20"/>
              </w:rPr>
              <w:t xml:space="preserve">: </w:t>
            </w:r>
            <w:r>
              <w:rPr>
                <w:sz w:val="20"/>
              </w:rPr>
              <w:t xml:space="preserve">88.8 </w:t>
            </w:r>
            <w:r>
              <w:rPr>
                <w:sz w:val="20"/>
              </w:rPr>
              <w:t xml:space="preserve">(9.7)</w:t>
            </w:r>
          </w:p>
        </w:tc>
        <w:tc>
          <w:tcPr>
            <w:tcW w:w="3159" w:type="dxa"/>
          </w:tcPr>
          <w:p w:rsidR="00432386" w:rsidRDefault="00432386">
            <w:pPr>
              <w:pStyle w:val="TableParagraph"/>
              <w:rPr>
                <w:rFonts w:ascii="Times New Roman"/>
                <w:sz w:val="18"/>
              </w:rPr>
            </w:pPr>
          </w:p>
        </w:tc>
      </w:tr>
    </w:tbl>
    <w:p>
      <w:pPr>
        <w:spacing w:line="197" w:lineRule="exact"/>
        <w:ind w:start="100"/>
        <w:rPr>
          <w:sz w:val="18"/>
        </w:rPr>
      </w:pPr>
      <w:r>
        <w:rPr>
          <w:position w:val="6"/>
          <w:sz w:val="12"/>
        </w:rPr>
        <w:t xml:space="preserve">1 </w:t>
      </w:r>
      <w:r>
        <w:rPr>
          <w:sz w:val="18"/>
        </w:rPr>
        <w:t xml:space="preserve">Estimation </w:t>
      </w:r>
      <w:r>
        <w:rPr>
          <w:sz w:val="18"/>
        </w:rPr>
        <w:t xml:space="preserve">avec </w:t>
      </w:r>
      <w:r>
        <w:rPr>
          <w:sz w:val="18"/>
        </w:rPr>
        <w:t xml:space="preserve">4 </w:t>
      </w:r>
      <w:r>
        <w:rPr>
          <w:sz w:val="18"/>
        </w:rPr>
        <w:t xml:space="preserve">sous-échelles </w:t>
      </w:r>
      <w:r>
        <w:rPr>
          <w:sz w:val="18"/>
        </w:rPr>
        <w:t xml:space="preserve">(arithmétique, </w:t>
      </w:r>
      <w:r>
        <w:rPr>
          <w:sz w:val="18"/>
        </w:rPr>
        <w:t xml:space="preserve">vocabulaire, </w:t>
      </w:r>
      <w:r>
        <w:rPr>
          <w:sz w:val="18"/>
        </w:rPr>
        <w:t xml:space="preserve">arrangement d'</w:t>
      </w:r>
      <w:r>
        <w:rPr>
          <w:sz w:val="18"/>
        </w:rPr>
        <w:t xml:space="preserve">images </w:t>
      </w:r>
      <w:r>
        <w:rPr>
          <w:sz w:val="18"/>
        </w:rPr>
        <w:t xml:space="preserve">et </w:t>
      </w:r>
      <w:r>
        <w:rPr>
          <w:sz w:val="18"/>
        </w:rPr>
        <w:t xml:space="preserve">conception de </w:t>
      </w:r>
      <w:r>
        <w:rPr>
          <w:sz w:val="18"/>
        </w:rPr>
        <w:t xml:space="preserve">blocs</w:t>
      </w:r>
      <w:r>
        <w:rPr>
          <w:sz w:val="18"/>
        </w:rPr>
        <w:t xml:space="preserve">) </w:t>
      </w:r>
      <w:r>
        <w:rPr>
          <w:sz w:val="18"/>
        </w:rPr>
        <w:t xml:space="preserve">de </w:t>
      </w:r>
      <w:r>
        <w:rPr>
          <w:sz w:val="18"/>
        </w:rPr>
        <w:t xml:space="preserve">l'</w:t>
      </w:r>
      <w:r>
        <w:rPr>
          <w:sz w:val="18"/>
        </w:rPr>
        <w:t xml:space="preserve">échelle d'</w:t>
      </w:r>
      <w:r>
        <w:rPr>
          <w:sz w:val="18"/>
        </w:rPr>
        <w:t xml:space="preserve">intelligence </w:t>
      </w:r>
      <w:r>
        <w:rPr>
          <w:sz w:val="18"/>
        </w:rPr>
        <w:t xml:space="preserve">de </w:t>
      </w:r>
      <w:r>
        <w:rPr>
          <w:sz w:val="18"/>
        </w:rPr>
        <w:t xml:space="preserve">Wechsler </w:t>
      </w:r>
      <w:r>
        <w:rPr>
          <w:sz w:val="18"/>
        </w:rPr>
        <w:t xml:space="preserve">pour les </w:t>
      </w:r>
      <w:r>
        <w:rPr>
          <w:sz w:val="18"/>
        </w:rPr>
        <w:t xml:space="preserve">enfants, </w:t>
      </w:r>
      <w:r>
        <w:rPr>
          <w:sz w:val="18"/>
        </w:rPr>
        <w:t xml:space="preserve">troisième </w:t>
      </w:r>
      <w:r>
        <w:rPr>
          <w:sz w:val="18"/>
        </w:rPr>
        <w:t xml:space="preserve">édition </w:t>
      </w:r>
      <w:r>
        <w:rPr>
          <w:sz w:val="18"/>
        </w:rPr>
        <w:t xml:space="preserve">(WISC-III®, </w:t>
      </w:r>
      <w:r>
        <w:rPr>
          <w:sz w:val="18"/>
        </w:rPr>
        <w:t xml:space="preserve">Wechsler </w:t>
      </w:r>
      <w:r>
        <w:rPr>
          <w:sz w:val="18"/>
        </w:rPr>
        <w:t xml:space="preserve">1991) </w:t>
      </w:r>
      <w:r>
        <w:rPr>
          <w:sz w:val="18"/>
        </w:rPr>
        <w:t xml:space="preserve">ou l'</w:t>
      </w:r>
      <w:r>
        <w:rPr>
          <w:sz w:val="18"/>
        </w:rPr>
        <w:t xml:space="preserve">échelle de</w:t>
      </w:r>
    </w:p>
    <w:p>
      <w:pPr>
        <w:spacing w:line="205" w:lineRule="exact"/>
        <w:ind w:start="100"/>
        <w:rPr>
          <w:sz w:val="18"/>
        </w:rPr>
      </w:pPr>
      <w:r>
        <w:rPr>
          <w:sz w:val="18"/>
        </w:rPr>
        <w:t xml:space="preserve">Échelle d'</w:t>
      </w:r>
      <w:r>
        <w:rPr>
          <w:sz w:val="18"/>
        </w:rPr>
        <w:t xml:space="preserve">intelligence </w:t>
      </w:r>
      <w:r>
        <w:rPr>
          <w:sz w:val="18"/>
        </w:rPr>
        <w:t xml:space="preserve">pour adultes </w:t>
      </w:r>
      <w:r>
        <w:rPr>
          <w:sz w:val="18"/>
        </w:rPr>
        <w:t xml:space="preserve">de </w:t>
      </w:r>
      <w:r>
        <w:rPr>
          <w:sz w:val="18"/>
        </w:rPr>
        <w:t xml:space="preserve">Wechsler</w:t>
      </w:r>
      <w:r>
        <w:rPr>
          <w:sz w:val="18"/>
        </w:rPr>
        <w:t xml:space="preserve">, </w:t>
      </w:r>
      <w:r>
        <w:rPr>
          <w:sz w:val="18"/>
        </w:rPr>
        <w:t xml:space="preserve">troisième </w:t>
      </w:r>
      <w:r>
        <w:rPr>
          <w:sz w:val="18"/>
        </w:rPr>
        <w:t xml:space="preserve">édition </w:t>
      </w:r>
      <w:r>
        <w:rPr>
          <w:sz w:val="18"/>
        </w:rPr>
        <w:t xml:space="preserve">(WAIS-III®, </w:t>
      </w:r>
      <w:r>
        <w:rPr>
          <w:sz w:val="18"/>
        </w:rPr>
        <w:t xml:space="preserve">Wechsler </w:t>
      </w:r>
      <w:r>
        <w:rPr>
          <w:sz w:val="18"/>
        </w:rPr>
        <w:t xml:space="preserve">1997), en </w:t>
      </w:r>
      <w:r>
        <w:rPr>
          <w:sz w:val="18"/>
        </w:rPr>
        <w:t xml:space="preserve">fonction </w:t>
      </w:r>
      <w:r>
        <w:rPr>
          <w:sz w:val="18"/>
        </w:rPr>
        <w:t xml:space="preserve">de l'</w:t>
      </w:r>
      <w:r>
        <w:rPr>
          <w:sz w:val="18"/>
        </w:rPr>
        <w:t xml:space="preserve">âge </w:t>
      </w:r>
      <w:r>
        <w:rPr>
          <w:sz w:val="18"/>
        </w:rPr>
        <w:t xml:space="preserve">du participant</w:t>
      </w:r>
      <w:r>
        <w:rPr>
          <w:sz w:val="18"/>
        </w:rPr>
        <w:t xml:space="preserve">.</w:t>
      </w:r>
    </w:p>
    <w:p>
      <w:pPr>
        <w:spacing w:line="206" w:lineRule="exact"/>
        <w:ind w:start="100"/>
        <w:rPr>
          <w:sz w:val="18"/>
        </w:rPr>
      </w:pPr>
      <w:r>
        <w:rPr>
          <w:position w:val="6"/>
          <w:sz w:val="12"/>
        </w:rPr>
        <w:t xml:space="preserve">2 </w:t>
      </w:r>
      <w:r>
        <w:rPr>
          <w:sz w:val="18"/>
        </w:rPr>
        <w:t xml:space="preserve">Temps de </w:t>
      </w:r>
      <w:r>
        <w:rPr>
          <w:sz w:val="18"/>
        </w:rPr>
        <w:t xml:space="preserve">réaction </w:t>
      </w:r>
      <w:r>
        <w:rPr>
          <w:sz w:val="18"/>
        </w:rPr>
        <w:t xml:space="preserve">en </w:t>
      </w:r>
      <w:r>
        <w:rPr>
          <w:sz w:val="18"/>
        </w:rPr>
        <w:t xml:space="preserve">secondes </w:t>
      </w:r>
      <w:r>
        <w:rPr>
          <w:sz w:val="18"/>
        </w:rPr>
        <w:t xml:space="preserve">dans la </w:t>
      </w:r>
      <w:r>
        <w:rPr>
          <w:sz w:val="18"/>
        </w:rPr>
        <w:t xml:space="preserve">tâche de </w:t>
      </w:r>
      <w:r>
        <w:rPr>
          <w:sz w:val="18"/>
        </w:rPr>
        <w:t xml:space="preserve">la </w:t>
      </w:r>
      <w:r>
        <w:rPr>
          <w:sz w:val="18"/>
        </w:rPr>
        <w:t xml:space="preserve">Tour </w:t>
      </w:r>
      <w:r>
        <w:rPr>
          <w:sz w:val="18"/>
        </w:rPr>
        <w:t xml:space="preserve">de Londres</w:t>
      </w:r>
    </w:p>
    <w:p>
      <w:pPr>
        <w:spacing w:line="209" w:lineRule="exact"/>
        <w:ind w:start="100"/>
        <w:rPr>
          <w:sz w:val="18"/>
        </w:rPr>
      </w:pPr>
      <w:r>
        <w:rPr>
          <w:position w:val="6"/>
          <w:sz w:val="12"/>
        </w:rPr>
        <w:t xml:space="preserve">3 </w:t>
      </w:r>
      <w:r>
        <w:rPr>
          <w:sz w:val="18"/>
        </w:rPr>
        <w:t xml:space="preserve">Pourcentage d</w:t>
      </w:r>
      <w:r>
        <w:rPr>
          <w:sz w:val="18"/>
        </w:rPr>
        <w:t xml:space="preserve">'</w:t>
      </w:r>
      <w:r>
        <w:rPr>
          <w:sz w:val="18"/>
        </w:rPr>
        <w:t xml:space="preserve">essais </w:t>
      </w:r>
      <w:r>
        <w:rPr>
          <w:sz w:val="18"/>
        </w:rPr>
        <w:t xml:space="preserve">corrects </w:t>
      </w:r>
      <w:r>
        <w:rPr>
          <w:sz w:val="18"/>
        </w:rPr>
        <w:t xml:space="preserve">dans la </w:t>
      </w:r>
      <w:r>
        <w:rPr>
          <w:sz w:val="18"/>
        </w:rPr>
        <w:t xml:space="preserve">tâche de </w:t>
      </w:r>
      <w:r>
        <w:rPr>
          <w:sz w:val="18"/>
        </w:rPr>
        <w:t xml:space="preserve">la </w:t>
      </w:r>
      <w:r>
        <w:rPr>
          <w:sz w:val="18"/>
        </w:rPr>
        <w:t xml:space="preserve">Tour de </w:t>
      </w:r>
      <w:r>
        <w:rPr>
          <w:sz w:val="18"/>
        </w:rPr>
        <w:t xml:space="preserve">Londres</w:t>
      </w:r>
    </w:p>
    <w:p w:rsidR="00432386" w:rsidRDefault="00432386">
      <w:pPr>
        <w:pStyle w:val="Corpsdetexte"/>
        <w:spacing w:before="0"/>
        <w:ind w:start="0"/>
        <w:rPr>
          <w:sz w:val="20"/>
        </w:rPr>
      </w:pPr>
    </w:p>
    <w:p w:rsidR="00432386" w:rsidRDefault="00432386">
      <w:pPr>
        <w:pStyle w:val="Corpsdetexte"/>
        <w:spacing w:before="5" w:after="1"/>
        <w:ind w:start="0"/>
        <w:rPr>
          <w:sz w:val="24"/>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290"/>
        </w:trPr>
        <w:tc>
          <w:tcPr>
            <w:tcW w:w="2972" w:type="dxa"/>
            <w:shd w:val="clear" w:color="auto" w:fill="8DB3E1"/>
          </w:tcPr>
          <w:p>
            <w:pPr>
              <w:pStyle w:val="TableParagraph"/>
              <w:spacing w:line="229" w:lineRule="exact"/>
              <w:ind w:start="107"/>
              <w:rPr>
                <w:b/>
                <w:sz w:val="20"/>
              </w:rPr>
            </w:pPr>
            <w:r>
              <w:rPr>
                <w:b/>
                <w:sz w:val="20"/>
              </w:rPr>
              <w:t xml:space="preserve">Détails de l'</w:t>
            </w:r>
            <w:r>
              <w:rPr>
                <w:b/>
                <w:sz w:val="20"/>
              </w:rPr>
              <w:t xml:space="preserve">étude</w:t>
            </w:r>
          </w:p>
        </w:tc>
        <w:tc>
          <w:tcPr>
            <w:tcW w:w="3121" w:type="dxa"/>
            <w:shd w:val="clear" w:color="auto" w:fill="8DB3E1"/>
          </w:tcPr>
          <w:p>
            <w:pPr>
              <w:pStyle w:val="TableParagraph"/>
              <w:spacing w:line="229" w:lineRule="exact"/>
              <w:ind w:start="107"/>
              <w:rPr>
                <w:b/>
                <w:sz w:val="20"/>
              </w:rPr>
            </w:pPr>
            <w:r>
              <w:rPr>
                <w:b/>
                <w:sz w:val="20"/>
              </w:rPr>
              <w:t xml:space="preserve">Population</w:t>
            </w:r>
          </w:p>
        </w:tc>
        <w:tc>
          <w:tcPr>
            <w:tcW w:w="2127" w:type="dxa"/>
            <w:shd w:val="clear" w:color="auto" w:fill="8DB3E1"/>
          </w:tcPr>
          <w:p>
            <w:pPr>
              <w:pStyle w:val="TableParagraph"/>
              <w:spacing w:line="229" w:lineRule="exact"/>
              <w:ind w:start="107"/>
              <w:rPr>
                <w:b/>
                <w:sz w:val="20"/>
              </w:rPr>
            </w:pPr>
            <w:r>
              <w:rPr>
                <w:b/>
                <w:sz w:val="20"/>
              </w:rPr>
              <w:t xml:space="preserve">Interventions</w:t>
            </w:r>
          </w:p>
        </w:tc>
        <w:tc>
          <w:tcPr>
            <w:tcW w:w="3971" w:type="dxa"/>
            <w:shd w:val="clear" w:color="auto" w:fill="8DB3E1"/>
          </w:tcPr>
          <w:p>
            <w:pPr>
              <w:pStyle w:val="TableParagraph"/>
              <w:spacing w:line="229"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9" w:lineRule="exact"/>
              <w:ind w:start="105"/>
              <w:rPr>
                <w:b/>
                <w:sz w:val="20"/>
              </w:rPr>
            </w:pPr>
            <w:r>
              <w:rPr>
                <w:b/>
                <w:sz w:val="20"/>
              </w:rPr>
              <w:t xml:space="preserve">Évaluation </w:t>
            </w:r>
            <w:r>
              <w:rPr>
                <w:b/>
                <w:sz w:val="20"/>
              </w:rPr>
              <w:t xml:space="preserve">et </w:t>
            </w:r>
            <w:r>
              <w:rPr>
                <w:b/>
                <w:sz w:val="20"/>
              </w:rPr>
              <w:t xml:space="preserve">financement</w:t>
            </w:r>
          </w:p>
        </w:tc>
      </w:tr>
      <w:tr w:rsidR="00432386">
        <w:trPr>
          <w:trHeight w:val="3910"/>
        </w:trPr>
        <w:tc>
          <w:tcPr>
            <w:tcW w:w="2972" w:type="dxa"/>
          </w:tcPr>
          <w:p>
            <w:pPr>
              <w:pStyle w:val="TableParagraph"/>
              <w:ind w:start="107" w:end="274"/>
              <w:rPr>
                <w:sz w:val="20"/>
              </w:rPr>
            </w:pPr>
            <w:r>
              <w:rPr>
                <w:sz w:val="20"/>
              </w:rPr>
              <w:t xml:space="preserve">Vlot, </w:t>
            </w:r>
            <w:r>
              <w:rPr>
                <w:sz w:val="20"/>
              </w:rPr>
              <w:t xml:space="preserve">Mariska </w:t>
            </w:r>
            <w:r>
              <w:rPr>
                <w:sz w:val="20"/>
              </w:rPr>
              <w:t xml:space="preserve">C, </w:t>
            </w:r>
            <w:r>
              <w:rPr>
                <w:sz w:val="20"/>
              </w:rPr>
              <w:t xml:space="preserve">Klink, </w:t>
            </w:r>
            <w:r>
              <w:rPr>
                <w:sz w:val="20"/>
              </w:rPr>
              <w:t xml:space="preserve">Daniel </w:t>
            </w:r>
            <w:r>
              <w:rPr>
                <w:sz w:val="20"/>
              </w:rPr>
              <w:t xml:space="preserve">T, den Heijer, Martin et al. </w:t>
            </w:r>
            <w:r>
              <w:rPr>
                <w:sz w:val="20"/>
              </w:rPr>
              <w:t xml:space="preserve">(2017) </w:t>
            </w:r>
            <w:hyperlink r:id="rId297">
              <w:r>
                <w:rPr>
                  <w:color w:val="0000FF"/>
                  <w:sz w:val="20"/>
                  <w:u w:val="single" w:color="0000FF"/>
                </w:rPr>
                <w:t xml:space="preserve">Effet de la </w:t>
              </w:r>
            </w:hyperlink>
            <w:hyperlink r:id="rId298">
              <w:r>
                <w:rPr>
                  <w:color w:val="0000FF"/>
                  <w:sz w:val="20"/>
                  <w:u w:val="single" w:color="0000FF"/>
                </w:rPr>
                <w:t xml:space="preserve">suppression </w:t>
              </w:r>
            </w:hyperlink>
            <w:hyperlink r:id="rId297">
              <w:r>
                <w:rPr>
                  <w:color w:val="0000FF"/>
                  <w:sz w:val="20"/>
                  <w:u w:val="single" w:color="0000FF"/>
                </w:rPr>
                <w:t xml:space="preserve">pubertaire </w:t>
              </w:r>
            </w:hyperlink>
            <w:hyperlink r:id="rId298">
              <w:r>
                <w:rPr>
                  <w:color w:val="0000FF"/>
                  <w:sz w:val="20"/>
                  <w:u w:val="single" w:color="0000FF"/>
                </w:rPr>
                <w:t xml:space="preserve">et de l'</w:t>
              </w:r>
            </w:hyperlink>
            <w:hyperlink r:id="rId299">
              <w:r>
                <w:rPr>
                  <w:color w:val="0000FF"/>
                  <w:sz w:val="20"/>
                  <w:u w:val="single" w:color="0000FF"/>
                </w:rPr>
                <w:t xml:space="preserve">hormonothérapie </w:t>
              </w:r>
            </w:hyperlink>
            <w:hyperlink r:id="rId298">
              <w:r>
                <w:rPr>
                  <w:color w:val="0000FF"/>
                  <w:sz w:val="20"/>
                  <w:u w:val="single" w:color="0000FF"/>
                </w:rPr>
                <w:t xml:space="preserve">transsexuelle </w:t>
              </w:r>
            </w:hyperlink>
            <w:hyperlink r:id="rId299">
              <w:r>
                <w:rPr>
                  <w:color w:val="0000FF"/>
                  <w:sz w:val="20"/>
                  <w:u w:val="single" w:color="0000FF"/>
                </w:rPr>
                <w:t xml:space="preserve">sur les </w:t>
              </w:r>
            </w:hyperlink>
            <w:hyperlink r:id="rId300">
              <w:r>
                <w:rPr>
                  <w:color w:val="0000FF"/>
                  <w:sz w:val="20"/>
                  <w:u w:val="single" w:color="0000FF"/>
                </w:rPr>
                <w:t xml:space="preserve">marqueurs du turnover </w:t>
              </w:r>
            </w:hyperlink>
            <w:hyperlink r:id="rId299">
              <w:r>
                <w:rPr>
                  <w:color w:val="0000FF"/>
                  <w:sz w:val="20"/>
                  <w:u w:val="single" w:color="0000FF"/>
                </w:rPr>
                <w:t xml:space="preserve">osseux </w:t>
              </w:r>
            </w:hyperlink>
            <w:hyperlink r:id="rId300">
              <w:r>
                <w:rPr>
                  <w:color w:val="0000FF"/>
                  <w:sz w:val="20"/>
                  <w:u w:val="single" w:color="0000FF"/>
                </w:rPr>
                <w:t xml:space="preserve">et la </w:t>
              </w:r>
            </w:hyperlink>
            <w:hyperlink r:id="rId301">
              <w:r>
                <w:rPr>
                  <w:color w:val="0000FF"/>
                  <w:sz w:val="20"/>
                  <w:u w:val="single" w:color="0000FF"/>
                </w:rPr>
                <w:t xml:space="preserve">densité minérale apparente </w:t>
              </w:r>
            </w:hyperlink>
            <w:hyperlink r:id="rId300">
              <w:r>
                <w:rPr>
                  <w:color w:val="0000FF"/>
                  <w:sz w:val="20"/>
                  <w:u w:val="single" w:color="0000FF"/>
                </w:rPr>
                <w:t xml:space="preserve">osseuse </w:t>
              </w:r>
            </w:hyperlink>
            <w:hyperlink r:id="rId302">
              <w:r>
                <w:rPr>
                  <w:color w:val="0000FF"/>
                  <w:sz w:val="20"/>
                  <w:u w:val="single" w:color="0000FF"/>
                </w:rPr>
                <w:t xml:space="preserve">(DMAO) chez les </w:t>
              </w:r>
            </w:hyperlink>
            <w:hyperlink r:id="rId303">
              <w:r>
                <w:rPr>
                  <w:color w:val="0000FF"/>
                  <w:sz w:val="20"/>
                  <w:u w:val="single" w:color="0000FF"/>
                </w:rPr>
                <w:t xml:space="preserve">adolescents </w:t>
              </w:r>
            </w:hyperlink>
            <w:hyperlink r:id="rId302">
              <w:r>
                <w:rPr>
                  <w:color w:val="0000FF"/>
                  <w:sz w:val="20"/>
                  <w:u w:val="single" w:color="0000FF"/>
                </w:rPr>
                <w:t xml:space="preserve">transgenres</w:t>
              </w:r>
            </w:hyperlink>
            <w:hyperlink r:id="rId303">
              <w:r>
                <w:rPr>
                  <w:sz w:val="20"/>
                </w:rPr>
                <w:t xml:space="preserve">. </w:t>
              </w:r>
            </w:hyperlink>
            <w:r>
              <w:rPr>
                <w:sz w:val="20"/>
              </w:rPr>
              <w:t xml:space="preserve">Bone </w:t>
            </w:r>
            <w:r>
              <w:rPr>
                <w:sz w:val="20"/>
              </w:rPr>
              <w:t xml:space="preserve">95 : </w:t>
            </w:r>
            <w:r>
              <w:rPr>
                <w:sz w:val="20"/>
              </w:rPr>
              <w:t xml:space="preserve">11-19</w:t>
            </w:r>
          </w:p>
          <w:p w:rsidR="00432386" w:rsidRDefault="00432386">
            <w:pPr>
              <w:pStyle w:val="TableParagraph"/>
              <w:spacing w:before="4"/>
              <w:rPr>
                <w:sz w:val="30"/>
              </w:rPr>
            </w:pPr>
          </w:p>
          <w:p>
            <w:pPr>
              <w:pStyle w:val="TableParagraph"/>
              <w:ind w:start="107"/>
              <w:rPr>
                <w:sz w:val="20"/>
              </w:rPr>
            </w:pPr>
            <w:r>
              <w:rPr>
                <w:sz w:val="20"/>
              </w:rPr>
              <w:t xml:space="preserve">Pays-Bas</w:t>
            </w:r>
          </w:p>
          <w:p w:rsidR="00432386" w:rsidRDefault="00432386">
            <w:pPr>
              <w:pStyle w:val="TableParagraph"/>
              <w:spacing w:before="6"/>
              <w:rPr>
                <w:sz w:val="30"/>
              </w:rPr>
            </w:pPr>
          </w:p>
          <w:p>
            <w:pPr>
              <w:pStyle w:val="TableParagraph"/>
              <w:ind w:start="107" w:end="381"/>
              <w:rPr>
                <w:sz w:val="20"/>
              </w:rPr>
            </w:pPr>
            <w:r>
              <w:rPr>
                <w:sz w:val="20"/>
              </w:rPr>
              <w:t xml:space="preserve">Étude </w:t>
            </w:r>
            <w:r>
              <w:rPr>
                <w:spacing w:val="-1"/>
                <w:sz w:val="20"/>
              </w:rPr>
              <w:t xml:space="preserve">rétrospective </w:t>
            </w:r>
            <w:r>
              <w:rPr>
                <w:sz w:val="20"/>
              </w:rPr>
              <w:t xml:space="preserve">d'analyse de données d'</w:t>
            </w:r>
            <w:r>
              <w:rPr>
                <w:sz w:val="20"/>
              </w:rPr>
              <w:t xml:space="preserve">observation</w:t>
            </w:r>
          </w:p>
        </w:tc>
        <w:tc>
          <w:tcPr>
            <w:tcW w:w="3121" w:type="dxa"/>
          </w:tcPr>
          <w:p>
            <w:pPr>
              <w:pStyle w:val="TableParagraph"/>
              <w:ind w:start="107" w:end="819"/>
              <w:rPr>
                <w:sz w:val="20"/>
              </w:rPr>
            </w:pPr>
            <w:r>
              <w:rPr>
                <w:sz w:val="20"/>
              </w:rPr>
              <w:t xml:space="preserve">Adolescents </w:t>
            </w:r>
            <w:r>
              <w:rPr>
                <w:sz w:val="20"/>
              </w:rPr>
              <w:t xml:space="preserve">avec </w:t>
            </w:r>
            <w:r>
              <w:rPr>
                <w:sz w:val="20"/>
              </w:rPr>
              <w:t xml:space="preserve">dysphorie de </w:t>
            </w:r>
            <w:r>
              <w:rPr>
                <w:sz w:val="20"/>
              </w:rPr>
              <w:t xml:space="preserve">genre</w:t>
            </w:r>
            <w:r>
              <w:rPr>
                <w:sz w:val="20"/>
              </w:rPr>
              <w:t xml:space="preserve">, </w:t>
            </w:r>
            <w:r>
              <w:rPr>
                <w:sz w:val="20"/>
              </w:rPr>
              <w:t xml:space="preserve">n=70.</w:t>
            </w:r>
          </w:p>
          <w:p>
            <w:pPr>
              <w:pStyle w:val="TableParagraph"/>
              <w:spacing w:before="58"/>
              <w:ind w:start="107" w:end="96"/>
              <w:rPr>
                <w:sz w:val="20"/>
              </w:rPr>
            </w:pPr>
            <w:r>
              <w:rPr>
                <w:sz w:val="20"/>
              </w:rPr>
              <w:t xml:space="preserve">Âge médian (fourchette) 15,1 ans </w:t>
            </w:r>
            <w:r>
              <w:rPr>
                <w:sz w:val="20"/>
              </w:rPr>
              <w:t xml:space="preserve">(11,7 </w:t>
            </w:r>
            <w:r>
              <w:rPr>
                <w:sz w:val="20"/>
              </w:rPr>
              <w:t xml:space="preserve">à </w:t>
            </w:r>
            <w:r>
              <w:rPr>
                <w:sz w:val="20"/>
              </w:rPr>
              <w:t xml:space="preserve">18,6) </w:t>
            </w:r>
            <w:r>
              <w:rPr>
                <w:sz w:val="20"/>
              </w:rPr>
              <w:t xml:space="preserve">pour les </w:t>
            </w:r>
            <w:r>
              <w:rPr>
                <w:sz w:val="20"/>
              </w:rPr>
              <w:t xml:space="preserve">transmales </w:t>
            </w:r>
            <w:r>
              <w:rPr>
                <w:sz w:val="20"/>
              </w:rPr>
              <w:t xml:space="preserve">et les</w:t>
            </w:r>
          </w:p>
          <w:p>
            <w:pPr>
              <w:pStyle w:val="TableParagraph"/>
              <w:ind w:start="107" w:end="353"/>
              <w:rPr>
                <w:sz w:val="20"/>
              </w:rPr>
            </w:pPr>
            <w:r>
              <w:rPr>
                <w:sz w:val="20"/>
              </w:rPr>
              <w:t xml:space="preserve">13,5 ans (11,5 à 18,3) pour les </w:t>
            </w:r>
            <w:r>
              <w:rPr>
                <w:sz w:val="20"/>
              </w:rPr>
              <w:t xml:space="preserve">transfemmes </w:t>
            </w:r>
            <w:r>
              <w:rPr>
                <w:sz w:val="20"/>
              </w:rPr>
              <w:t xml:space="preserve">au </w:t>
            </w:r>
            <w:r>
              <w:rPr>
                <w:sz w:val="20"/>
              </w:rPr>
              <w:t xml:space="preserve">début du </w:t>
            </w:r>
            <w:r>
              <w:rPr>
                <w:sz w:val="20"/>
              </w:rPr>
              <w:t xml:space="preserve">traitement par </w:t>
            </w:r>
            <w:r>
              <w:rPr>
                <w:sz w:val="20"/>
              </w:rPr>
              <w:t xml:space="preserve">analogues de la </w:t>
            </w:r>
            <w:r>
              <w:rPr>
                <w:sz w:val="20"/>
              </w:rPr>
              <w:t xml:space="preserve">GnRH</w:t>
            </w:r>
            <w:r>
              <w:rPr>
                <w:sz w:val="20"/>
              </w:rPr>
              <w:t xml:space="preserve">.</w:t>
            </w:r>
          </w:p>
          <w:p>
            <w:pPr>
              <w:pStyle w:val="TableParagraph"/>
              <w:spacing w:before="60"/>
              <w:ind w:start="107" w:end="169"/>
              <w:rPr>
                <w:sz w:val="20"/>
              </w:rPr>
            </w:pPr>
            <w:r>
              <w:rPr>
                <w:sz w:val="20"/>
              </w:rPr>
              <w:t xml:space="preserve">Les participants ont été inclus s'ils </w:t>
            </w:r>
            <w:r>
              <w:rPr>
                <w:sz w:val="20"/>
              </w:rPr>
              <w:t xml:space="preserve">avaient reçu un diagnostic de </w:t>
            </w:r>
            <w:r>
              <w:rPr>
                <w:sz w:val="20"/>
              </w:rPr>
              <w:t xml:space="preserve">dysphorie de </w:t>
            </w:r>
            <w:r>
              <w:rPr>
                <w:sz w:val="20"/>
              </w:rPr>
              <w:t xml:space="preserve">genre </w:t>
            </w:r>
            <w:r>
              <w:rPr>
                <w:sz w:val="20"/>
              </w:rPr>
              <w:t xml:space="preserve">selon </w:t>
            </w:r>
            <w:r>
              <w:rPr>
                <w:sz w:val="20"/>
              </w:rPr>
              <w:t xml:space="preserve">les </w:t>
            </w:r>
            <w:r>
              <w:rPr>
                <w:sz w:val="20"/>
              </w:rPr>
              <w:t xml:space="preserve">critères du </w:t>
            </w:r>
            <w:r>
              <w:rPr>
                <w:sz w:val="20"/>
              </w:rPr>
              <w:t xml:space="preserve">DSM-IV- </w:t>
            </w:r>
            <w:r>
              <w:rPr>
                <w:sz w:val="20"/>
              </w:rPr>
              <w:t xml:space="preserve">TR et s'ils avaient été traités </w:t>
            </w:r>
            <w:r>
              <w:rPr>
                <w:sz w:val="20"/>
              </w:rPr>
              <w:t xml:space="preserve">par des analogues de la GnRH puis par des </w:t>
            </w:r>
            <w:r>
              <w:rPr>
                <w:sz w:val="20"/>
              </w:rPr>
              <w:t xml:space="preserve">hormones d'affirmation du genre. Aucun </w:t>
            </w:r>
            <w:r>
              <w:rPr>
                <w:sz w:val="20"/>
              </w:rPr>
              <w:t xml:space="preserve">traitement </w:t>
            </w:r>
            <w:r>
              <w:rPr>
                <w:sz w:val="20"/>
              </w:rPr>
              <w:t xml:space="preserve">concomitant </w:t>
            </w:r>
            <w:r>
              <w:rPr>
                <w:sz w:val="20"/>
              </w:rPr>
              <w:t xml:space="preserve">n'a été </w:t>
            </w:r>
            <w:r>
              <w:rPr>
                <w:sz w:val="20"/>
              </w:rPr>
              <w:t xml:space="preserve">signalé.</w:t>
            </w:r>
          </w:p>
          <w:p>
            <w:pPr>
              <w:pStyle w:val="TableParagraph"/>
              <w:spacing w:before="61"/>
              <w:ind w:start="107"/>
              <w:rPr>
                <w:sz w:val="20"/>
              </w:rPr>
            </w:pPr>
            <w:r>
              <w:rPr>
                <w:sz w:val="20"/>
              </w:rPr>
              <w:t xml:space="preserve">L'</w:t>
            </w:r>
            <w:r>
              <w:rPr>
                <w:sz w:val="20"/>
              </w:rPr>
              <w:t xml:space="preserve">étude </w:t>
            </w:r>
            <w:r>
              <w:rPr>
                <w:sz w:val="20"/>
              </w:rPr>
              <w:t xml:space="preserve">a </w:t>
            </w:r>
            <w:r>
              <w:rPr>
                <w:sz w:val="20"/>
              </w:rPr>
              <w:t xml:space="preserve">catégorisé</w:t>
            </w:r>
          </w:p>
        </w:tc>
        <w:tc>
          <w:tcPr>
            <w:tcW w:w="2127" w:type="dxa"/>
          </w:tcPr>
          <w:p>
            <w:pPr>
              <w:pStyle w:val="TableParagraph"/>
              <w:ind w:start="107" w:end="276"/>
              <w:rPr>
                <w:sz w:val="20"/>
              </w:rPr>
            </w:pPr>
            <w:r>
              <w:rPr>
                <w:sz w:val="20"/>
              </w:rPr>
              <w:t xml:space="preserve">Analogues de la GnRH </w:t>
            </w:r>
            <w:r>
              <w:rPr>
                <w:sz w:val="20"/>
              </w:rPr>
              <w:t xml:space="preserve">(</w:t>
            </w:r>
            <w:r>
              <w:rPr>
                <w:sz w:val="20"/>
              </w:rPr>
              <w:t xml:space="preserve">pamoate de </w:t>
            </w:r>
            <w:r>
              <w:rPr>
                <w:sz w:val="20"/>
              </w:rPr>
              <w:t xml:space="preserve">triptoréline)</w:t>
            </w:r>
          </w:p>
          <w:p>
            <w:pPr>
              <w:pStyle w:val="TableParagraph"/>
              <w:ind w:start="107" w:end="493"/>
              <w:rPr>
                <w:sz w:val="20"/>
              </w:rPr>
            </w:pPr>
            <w:r>
              <w:rPr>
                <w:sz w:val="20"/>
              </w:rPr>
              <w:t xml:space="preserve">3,75 mg toutes les 4 </w:t>
            </w:r>
            <w:r>
              <w:rPr>
                <w:sz w:val="20"/>
              </w:rPr>
              <w:t xml:space="preserve">semaines </w:t>
            </w:r>
            <w:r>
              <w:rPr>
                <w:spacing w:val="-1"/>
                <w:sz w:val="20"/>
              </w:rPr>
              <w:t xml:space="preserve">par voie sous-cutanée).</w:t>
            </w:r>
          </w:p>
        </w:tc>
        <w:tc>
          <w:tcPr>
            <w:tcW w:w="3971" w:type="dxa"/>
          </w:tcPr>
          <w:p>
            <w:pPr>
              <w:pStyle w:val="TableParagraph"/>
              <w:spacing w:line="229" w:lineRule="exact"/>
              <w:ind w:start="106"/>
              <w:rPr>
                <w:b/>
                <w:sz w:val="20"/>
              </w:rPr>
            </w:pPr>
            <w:r>
              <w:rPr>
                <w:b/>
                <w:sz w:val="20"/>
              </w:rPr>
              <w:t xml:space="preserve">Résultats </w:t>
            </w:r>
            <w:r>
              <w:rPr>
                <w:b/>
                <w:sz w:val="20"/>
              </w:rPr>
              <w:t xml:space="preserve">critiques</w:t>
            </w:r>
          </w:p>
          <w:p>
            <w:pPr>
              <w:pStyle w:val="TableParagraph"/>
              <w:ind w:start="106"/>
              <w:rPr>
                <w:sz w:val="20"/>
              </w:rPr>
            </w:pPr>
            <w:r>
              <w:rPr>
                <w:sz w:val="20"/>
              </w:rPr>
              <w:t xml:space="preserve">Pas de </w:t>
            </w:r>
            <w:r>
              <w:rPr>
                <w:sz w:val="20"/>
              </w:rPr>
              <w:t xml:space="preserve">résultats </w:t>
            </w:r>
            <w:r>
              <w:rPr>
                <w:sz w:val="20"/>
              </w:rPr>
              <w:t xml:space="preserve">critiques </w:t>
            </w:r>
            <w:r>
              <w:rPr>
                <w:sz w:val="20"/>
              </w:rPr>
              <w:t xml:space="preserve">rapportés</w:t>
            </w:r>
          </w:p>
          <w:p w:rsidR="00432386" w:rsidRDefault="00432386">
            <w:pPr>
              <w:pStyle w:val="TableParagraph"/>
              <w:spacing w:before="10"/>
              <w:rPr>
                <w:sz w:val="19"/>
              </w:rPr>
            </w:pPr>
          </w:p>
          <w:p>
            <w:pPr>
              <w:pStyle w:val="TableParagraph"/>
              <w:ind w:start="106"/>
              <w:rPr>
                <w:b/>
                <w:sz w:val="20"/>
              </w:rPr>
            </w:pPr>
            <w:r>
              <w:rPr>
                <w:b/>
                <w:sz w:val="20"/>
              </w:rPr>
              <w:t xml:space="preserve">Résultats </w:t>
            </w:r>
            <w:r>
              <w:rPr>
                <w:b/>
                <w:sz w:val="20"/>
              </w:rPr>
              <w:t xml:space="preserve">importants</w:t>
            </w:r>
          </w:p>
          <w:p>
            <w:pPr>
              <w:pStyle w:val="TableParagraph"/>
              <w:ind w:start="106"/>
              <w:rPr>
                <w:b/>
                <w:i/>
                <w:sz w:val="20"/>
              </w:rPr>
            </w:pPr>
            <w:r>
              <w:rPr>
                <w:b/>
                <w:i/>
                <w:sz w:val="20"/>
              </w:rPr>
              <w:t xml:space="preserve">Densité </w:t>
            </w:r>
            <w:r>
              <w:rPr>
                <w:b/>
                <w:i/>
                <w:sz w:val="20"/>
              </w:rPr>
              <w:t xml:space="preserve">osseuse </w:t>
            </w:r>
            <w:r>
              <w:rPr>
                <w:b/>
                <w:i/>
                <w:sz w:val="20"/>
              </w:rPr>
              <w:t xml:space="preserve">: </w:t>
            </w:r>
            <w:r>
              <w:rPr>
                <w:b/>
                <w:i/>
                <w:sz w:val="20"/>
              </w:rPr>
              <w:t xml:space="preserve">lombaire</w:t>
            </w:r>
          </w:p>
          <w:p>
            <w:pPr>
              <w:pStyle w:val="TableParagraph"/>
              <w:spacing w:before="1"/>
              <w:ind w:start="106"/>
              <w:rPr>
                <w:b/>
                <w:sz w:val="20"/>
              </w:rPr>
            </w:pPr>
            <w:r>
              <w:rPr>
                <w:b/>
                <w:sz w:val="20"/>
              </w:rPr>
              <w:t xml:space="preserve">Densité </w:t>
            </w:r>
            <w:r>
              <w:rPr>
                <w:b/>
                <w:sz w:val="20"/>
              </w:rPr>
              <w:t xml:space="preserve">minérale </w:t>
            </w:r>
            <w:r>
              <w:rPr>
                <w:b/>
                <w:sz w:val="20"/>
              </w:rPr>
              <w:t xml:space="preserve">apparente </w:t>
            </w:r>
            <w:r>
              <w:rPr>
                <w:b/>
                <w:sz w:val="20"/>
              </w:rPr>
              <w:t xml:space="preserve">osseuse </w:t>
            </w:r>
            <w:r>
              <w:rPr>
                <w:b/>
                <w:sz w:val="20"/>
              </w:rPr>
              <w:t xml:space="preserve">du rachis </w:t>
            </w:r>
            <w:r>
              <w:rPr>
                <w:b/>
                <w:sz w:val="20"/>
              </w:rPr>
              <w:t xml:space="preserve">lombaire </w:t>
            </w:r>
            <w:r>
              <w:rPr>
                <w:b/>
                <w:sz w:val="20"/>
              </w:rPr>
              <w:t xml:space="preserve">(DMAO)</w:t>
            </w:r>
          </w:p>
          <w:p>
            <w:pPr>
              <w:pStyle w:val="TableParagraph"/>
              <w:ind w:start="106"/>
              <w:rPr>
                <w:sz w:val="20"/>
              </w:rPr>
            </w:pPr>
            <w:r>
              <w:rPr>
                <w:sz w:val="20"/>
              </w:rPr>
              <w:t xml:space="preserve">Changement </w:t>
            </w:r>
            <w:r>
              <w:rPr>
                <w:sz w:val="20"/>
              </w:rPr>
              <w:t xml:space="preserve">entre le </w:t>
            </w:r>
            <w:r>
              <w:rPr>
                <w:sz w:val="20"/>
              </w:rPr>
              <w:t xml:space="preserve">début de l'administration d'</w:t>
            </w:r>
            <w:r>
              <w:rPr>
                <w:sz w:val="20"/>
              </w:rPr>
              <w:t xml:space="preserve">un analogue de la </w:t>
            </w:r>
            <w:r>
              <w:rPr>
                <w:sz w:val="20"/>
              </w:rPr>
              <w:t xml:space="preserve">GnRH </w:t>
            </w:r>
            <w:r>
              <w:rPr>
                <w:sz w:val="20"/>
              </w:rPr>
              <w:t xml:space="preserve">et le </w:t>
            </w:r>
            <w:r>
              <w:rPr>
                <w:sz w:val="20"/>
              </w:rPr>
              <w:t xml:space="preserve">début de l'administration d'hormones d'affirmation du genre chez les </w:t>
            </w:r>
            <w:r>
              <w:rPr>
                <w:sz w:val="20"/>
              </w:rPr>
              <w:t xml:space="preserve">transfemmes (âge osseux &lt; 15 ans ; </w:t>
            </w:r>
            <w:r>
              <w:rPr>
                <w:spacing w:val="1"/>
                <w:sz w:val="20"/>
              </w:rPr>
              <w:t xml:space="preserve">médiane </w:t>
            </w:r>
            <w:r>
              <w:rPr>
                <w:sz w:val="20"/>
              </w:rPr>
              <w:t xml:space="preserve">[fourchette]), analogue de la GnRH : 0,21 </w:t>
            </w:r>
            <w:r>
              <w:rPr>
                <w:sz w:val="20"/>
              </w:rPr>
              <w:t xml:space="preserve">(0,17 </w:t>
            </w:r>
            <w:r>
              <w:rPr>
                <w:sz w:val="20"/>
              </w:rPr>
              <w:t xml:space="preserve">à </w:t>
            </w:r>
            <w:r>
              <w:rPr>
                <w:sz w:val="20"/>
              </w:rPr>
              <w:t xml:space="preserve">0,25) </w:t>
            </w:r>
            <w:r>
              <w:rPr>
                <w:sz w:val="20"/>
              </w:rPr>
              <w:t xml:space="preserve">g/cm3, hormones </w:t>
            </w:r>
            <w:r>
              <w:rPr>
                <w:sz w:val="20"/>
              </w:rPr>
              <w:t xml:space="preserve">d'affirmation du sexe</w:t>
            </w:r>
          </w:p>
          <w:p>
            <w:pPr>
              <w:pStyle w:val="TableParagraph"/>
              <w:spacing w:before="1"/>
              <w:ind w:start="106" w:end="570"/>
              <w:jc w:val="both"/>
              <w:rPr>
                <w:sz w:val="20"/>
              </w:rPr>
            </w:pPr>
            <w:r>
              <w:rPr>
                <w:sz w:val="20"/>
              </w:rPr>
              <w:t xml:space="preserve">hormones : 0,20 (0,18 à 0,24) g/cm3 </w:t>
            </w:r>
            <w:r>
              <w:rPr>
                <w:sz w:val="20"/>
              </w:rPr>
              <w:t xml:space="preserve">(NS) ; z-score analogue GnRH : -0,20 </w:t>
            </w:r>
            <w:r>
              <w:rPr>
                <w:sz w:val="20"/>
              </w:rPr>
              <w:t xml:space="preserve">(-1,82 </w:t>
            </w:r>
            <w:r>
              <w:rPr>
                <w:sz w:val="20"/>
              </w:rPr>
              <w:t xml:space="preserve">à </w:t>
            </w:r>
            <w:r>
              <w:rPr>
                <w:sz w:val="20"/>
              </w:rPr>
              <w:t xml:space="preserve">1,18), </w:t>
            </w:r>
            <w:r>
              <w:rPr>
                <w:sz w:val="20"/>
              </w:rPr>
              <w:t xml:space="preserve">affirmation du genre</w:t>
            </w:r>
          </w:p>
          <w:p>
            <w:pPr>
              <w:pStyle w:val="TableParagraph"/>
              <w:spacing w:line="229" w:lineRule="exact"/>
              <w:ind w:start="106"/>
              <w:rPr>
                <w:sz w:val="20"/>
              </w:rPr>
            </w:pPr>
            <w:r>
              <w:rPr>
                <w:sz w:val="20"/>
              </w:rPr>
              <w:t xml:space="preserve">hormones : </w:t>
            </w:r>
            <w:r>
              <w:rPr>
                <w:sz w:val="20"/>
              </w:rPr>
              <w:t xml:space="preserve">-1,52 </w:t>
            </w:r>
            <w:r>
              <w:rPr>
                <w:sz w:val="20"/>
              </w:rPr>
              <w:t xml:space="preserve">(-2,36 </w:t>
            </w:r>
            <w:r>
              <w:rPr>
                <w:sz w:val="20"/>
              </w:rPr>
              <w:t xml:space="preserve">à </w:t>
            </w:r>
            <w:r>
              <w:rPr>
                <w:sz w:val="20"/>
              </w:rPr>
              <w:t xml:space="preserve">0,42)</w:t>
            </w:r>
          </w:p>
          <w:p>
            <w:pPr>
              <w:pStyle w:val="TableParagraph"/>
              <w:spacing w:before="1" w:line="211" w:lineRule="exact"/>
              <w:ind w:start="106"/>
              <w:rPr>
                <w:sz w:val="20"/>
              </w:rPr>
            </w:pPr>
            <w:r>
              <w:rPr>
                <w:sz w:val="20"/>
              </w:rPr>
              <w:t xml:space="preserve">(p=0.001)</w:t>
            </w:r>
          </w:p>
        </w:tc>
        <w:tc>
          <w:tcPr>
            <w:tcW w:w="3203" w:type="dxa"/>
          </w:tcPr>
          <w:p>
            <w:pPr>
              <w:pStyle w:val="TableParagraph"/>
              <w:ind w:start="105" w:end="294"/>
              <w:rPr>
                <w:sz w:val="20"/>
              </w:rPr>
            </w:pPr>
            <w:r>
              <w:rPr>
                <w:sz w:val="20"/>
              </w:rPr>
              <w:t xml:space="preserve">Cette </w:t>
            </w:r>
            <w:r>
              <w:rPr>
                <w:sz w:val="20"/>
              </w:rPr>
              <w:t xml:space="preserve">étude </w:t>
            </w:r>
            <w:r>
              <w:rPr>
                <w:sz w:val="20"/>
              </w:rPr>
              <w:t xml:space="preserve">a été </w:t>
            </w:r>
            <w:r>
              <w:rPr>
                <w:sz w:val="20"/>
              </w:rPr>
              <w:t xml:space="preserve">évaluée à l</w:t>
            </w:r>
            <w:r>
              <w:rPr>
                <w:sz w:val="20"/>
              </w:rPr>
              <w:t xml:space="preserve">'aide de </w:t>
            </w:r>
            <w:r>
              <w:rPr>
                <w:sz w:val="20"/>
              </w:rPr>
              <w:t xml:space="preserve">la </w:t>
            </w:r>
            <w:r>
              <w:rPr>
                <w:sz w:val="20"/>
              </w:rPr>
              <w:t xml:space="preserve">liste de contrôle d'</w:t>
            </w:r>
            <w:r>
              <w:rPr>
                <w:sz w:val="20"/>
              </w:rPr>
              <w:t xml:space="preserve">évaluation de la </w:t>
            </w:r>
            <w:r>
              <w:rPr>
                <w:sz w:val="20"/>
              </w:rPr>
              <w:t xml:space="preserve">qualité de Newcastle-Ottawa </w:t>
            </w:r>
            <w:r>
              <w:rPr>
                <w:sz w:val="20"/>
              </w:rPr>
              <w:t xml:space="preserve">pour les </w:t>
            </w:r>
            <w:r>
              <w:rPr>
                <w:sz w:val="20"/>
              </w:rPr>
              <w:t xml:space="preserve">études de </w:t>
            </w:r>
            <w:r>
              <w:rPr>
                <w:sz w:val="20"/>
              </w:rPr>
              <w:t xml:space="preserve">cohorte</w:t>
            </w:r>
            <w:r>
              <w:rPr>
                <w:sz w:val="20"/>
              </w:rPr>
              <w:t xml:space="preserve">.</w:t>
            </w:r>
          </w:p>
          <w:p w:rsidR="00432386" w:rsidRDefault="00432386">
            <w:pPr>
              <w:pStyle w:val="TableParagraph"/>
              <w:spacing w:before="10"/>
              <w:rPr>
                <w:sz w:val="19"/>
              </w:rPr>
            </w:pPr>
          </w:p>
          <w:p>
            <w:pPr>
              <w:pStyle w:val="TableParagraph"/>
              <w:ind w:start="105"/>
              <w:rPr>
                <w:b/>
                <w:sz w:val="20"/>
              </w:rPr>
            </w:pPr>
            <w:r>
              <w:rPr>
                <w:b/>
                <w:sz w:val="20"/>
              </w:rPr>
              <w:t xml:space="preserve">Domaine </w:t>
            </w:r>
            <w:r>
              <w:rPr>
                <w:b/>
                <w:sz w:val="20"/>
              </w:rPr>
              <w:t xml:space="preserve">1 : </w:t>
            </w:r>
            <w:r>
              <w:rPr>
                <w:b/>
                <w:sz w:val="20"/>
              </w:rPr>
              <w:t xml:space="preserve">Sélection</w:t>
            </w:r>
          </w:p>
          <w:p>
            <w:pPr>
              <w:pStyle w:val="TableParagraph"/>
              <w:numPr>
                <w:ilvl w:val="0"/>
                <w:numId w:val="10"/>
              </w:numPr>
              <w:tabs>
                <w:tab w:val="left" w:pos="326"/>
              </w:tabs>
              <w:spacing w:before="1"/>
              <w:ind w:end="378" w:firstLine="0"/>
              <w:rPr>
                <w:sz w:val="20"/>
              </w:rPr>
            </w:pPr>
            <w:r>
              <w:rPr>
                <w:sz w:val="20"/>
              </w:rPr>
              <w:t xml:space="preserve">Assez </w:t>
            </w:r>
            <w:r>
              <w:rPr>
                <w:sz w:val="20"/>
              </w:rPr>
              <w:t xml:space="preserve">représentatif </w:t>
            </w:r>
            <w:r>
              <w:rPr>
                <w:sz w:val="20"/>
              </w:rPr>
              <w:t xml:space="preserve">des </w:t>
            </w:r>
            <w:r>
              <w:rPr>
                <w:sz w:val="20"/>
              </w:rPr>
              <w:t xml:space="preserve">enfants et adolescents </w:t>
            </w:r>
            <w:r>
              <w:rPr>
                <w:sz w:val="20"/>
              </w:rPr>
              <w:t xml:space="preserve">souffrant de </w:t>
            </w:r>
            <w:r>
              <w:rPr>
                <w:sz w:val="20"/>
              </w:rPr>
              <w:t xml:space="preserve">dysphorie de </w:t>
            </w:r>
            <w:r>
              <w:rPr>
                <w:sz w:val="20"/>
              </w:rPr>
              <w:t xml:space="preserve">genre.</w:t>
            </w:r>
          </w:p>
          <w:p>
            <w:pPr>
              <w:pStyle w:val="TableParagraph"/>
              <w:numPr>
                <w:ilvl w:val="0"/>
                <w:numId w:val="10"/>
              </w:numPr>
              <w:tabs>
                <w:tab w:val="left" w:pos="326"/>
              </w:tabs>
              <w:spacing w:line="229" w:lineRule="exact"/>
              <w:ind w:start="325"/>
              <w:rPr>
                <w:sz w:val="20"/>
              </w:rPr>
            </w:pPr>
            <w:r>
              <w:rPr>
                <w:sz w:val="20"/>
              </w:rPr>
              <w:t xml:space="preserve">Non </w:t>
            </w:r>
            <w:r>
              <w:rPr>
                <w:sz w:val="20"/>
              </w:rPr>
              <w:t xml:space="preserve">applicable</w:t>
            </w:r>
          </w:p>
          <w:p>
            <w:pPr>
              <w:pStyle w:val="TableParagraph"/>
              <w:numPr>
                <w:ilvl w:val="0"/>
                <w:numId w:val="10"/>
              </w:numPr>
              <w:tabs>
                <w:tab w:val="left" w:pos="326"/>
              </w:tabs>
              <w:spacing w:before="1"/>
              <w:ind w:start="325"/>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10"/>
              </w:numPr>
              <w:tabs>
                <w:tab w:val="left" w:pos="326"/>
              </w:tabs>
              <w:ind w:start="325"/>
              <w:rPr>
                <w:sz w:val="20"/>
              </w:rPr>
            </w:pPr>
            <w:r>
              <w:rPr>
                <w:sz w:val="20"/>
              </w:rPr>
              <w:t xml:space="preserve">Non</w:t>
            </w:r>
          </w:p>
          <w:p>
            <w:pPr>
              <w:pStyle w:val="TableParagraph"/>
              <w:spacing w:before="1" w:line="229" w:lineRule="exact"/>
              <w:ind w:start="105"/>
              <w:rPr>
                <w:b/>
                <w:sz w:val="20"/>
              </w:rPr>
            </w:pPr>
            <w:r>
              <w:rPr>
                <w:b/>
                <w:sz w:val="20"/>
              </w:rPr>
              <w:t xml:space="preserve">Domaine </w:t>
            </w:r>
            <w:r>
              <w:rPr>
                <w:b/>
                <w:sz w:val="20"/>
              </w:rPr>
              <w:t xml:space="preserve">2 : </w:t>
            </w:r>
            <w:r>
              <w:rPr>
                <w:b/>
                <w:sz w:val="20"/>
              </w:rPr>
              <w:t xml:space="preserve">Comparabilité</w:t>
            </w:r>
          </w:p>
          <w:p>
            <w:pPr>
              <w:pStyle w:val="TableParagraph"/>
              <w:spacing w:line="229" w:lineRule="exact"/>
              <w:ind w:start="105"/>
              <w:rPr>
                <w:sz w:val="20"/>
              </w:rPr>
            </w:pPr>
            <w:r>
              <w:rPr>
                <w:sz w:val="20"/>
              </w:rPr>
              <w:t xml:space="preserve">1. </w:t>
            </w:r>
            <w:r>
              <w:rPr>
                <w:sz w:val="20"/>
              </w:rPr>
              <w:t xml:space="preserve">Pas de </w:t>
            </w:r>
            <w:r>
              <w:rPr>
                <w:sz w:val="20"/>
              </w:rPr>
              <w:t xml:space="preserve">groupe de </w:t>
            </w:r>
            <w:r>
              <w:rPr>
                <w:sz w:val="20"/>
              </w:rPr>
              <w:t xml:space="preserve">contrôle</w:t>
            </w:r>
          </w:p>
          <w:p>
            <w:pPr>
              <w:pStyle w:val="TableParagraph"/>
              <w:ind w:start="105"/>
              <w:rPr>
                <w:b/>
                <w:sz w:val="20"/>
              </w:rPr>
            </w:pPr>
            <w:r>
              <w:rPr>
                <w:b/>
                <w:sz w:val="20"/>
              </w:rPr>
              <w:t xml:space="preserve">Domaine </w:t>
            </w:r>
            <w:r>
              <w:rPr>
                <w:b/>
                <w:sz w:val="20"/>
              </w:rPr>
              <w:t xml:space="preserve">3 : </w:t>
            </w:r>
            <w:r>
              <w:rPr>
                <w:b/>
                <w:sz w:val="20"/>
              </w:rPr>
              <w:t xml:space="preserve">Résultat</w:t>
            </w:r>
          </w:p>
          <w:p>
            <w:pPr>
              <w:pStyle w:val="TableParagraph"/>
              <w:numPr>
                <w:ilvl w:val="0"/>
                <w:numId w:val="9"/>
              </w:numPr>
              <w:tabs>
                <w:tab w:val="left" w:pos="326"/>
              </w:tabs>
              <w:rPr>
                <w:sz w:val="20"/>
              </w:rPr>
            </w:pPr>
            <w:r>
              <w:rPr>
                <w:sz w:val="20"/>
              </w:rPr>
              <w:t xml:space="preserve">Via les </w:t>
            </w:r>
            <w:r>
              <w:rPr>
                <w:sz w:val="20"/>
              </w:rPr>
              <w:t xml:space="preserve">dossiers </w:t>
            </w:r>
            <w:r>
              <w:rPr>
                <w:sz w:val="20"/>
              </w:rPr>
              <w:t xml:space="preserve">cliniques </w:t>
            </w:r>
            <w:r>
              <w:rPr>
                <w:sz w:val="20"/>
              </w:rPr>
              <w:t xml:space="preserve">de routine</w:t>
            </w:r>
          </w:p>
          <w:p>
            <w:pPr>
              <w:pStyle w:val="TableParagraph"/>
              <w:numPr>
                <w:ilvl w:val="0"/>
                <w:numId w:val="9"/>
              </w:numPr>
              <w:tabs>
                <w:tab w:val="left" w:pos="326"/>
              </w:tabs>
              <w:spacing w:before="1" w:line="211" w:lineRule="exact"/>
              <w:rPr>
                <w:sz w:val="20"/>
              </w:rPr>
            </w:pPr>
            <w:r>
              <w:rPr>
                <w:sz w:val="20"/>
              </w:rPr>
              <w:t xml:space="preserve">Oui</w:t>
            </w:r>
          </w:p>
        </w:tc>
      </w:tr>
    </w:tbl>
    <w:p w:rsidR="00432386" w:rsidRDefault="00432386">
      <w:pPr>
        <w:spacing w:line="211" w:lineRule="exact"/>
        <w:rPr>
          <w:sz w:val="20"/>
        </w:rPr>
        <w:sectPr w:rsidR="00432386">
          <w:type w:val="continuous"/>
          <w:pgSz w:w="16840" w:h="11910" w:orient="landscape"/>
          <w:pgMar w:top="980" w:right="500" w:bottom="1380"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290"/>
        </w:trPr>
        <w:tc>
          <w:tcPr>
            <w:tcW w:w="2972"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21" w:type="dxa"/>
            <w:shd w:val="clear" w:color="auto" w:fill="8DB3E1"/>
          </w:tcPr>
          <w:p>
            <w:pPr>
              <w:pStyle w:val="TableParagraph"/>
              <w:spacing w:line="220" w:lineRule="exact"/>
              <w:ind w:start="107"/>
              <w:rPr>
                <w:b/>
                <w:sz w:val="20"/>
              </w:rPr>
            </w:pPr>
            <w:r>
              <w:rPr>
                <w:b/>
                <w:sz w:val="20"/>
              </w:rPr>
              <w:t xml:space="preserve">Population</w:t>
            </w:r>
          </w:p>
        </w:tc>
        <w:tc>
          <w:tcPr>
            <w:tcW w:w="2127" w:type="dxa"/>
            <w:shd w:val="clear" w:color="auto" w:fill="8DB3E1"/>
          </w:tcPr>
          <w:p>
            <w:pPr>
              <w:pStyle w:val="TableParagraph"/>
              <w:spacing w:line="220" w:lineRule="exact"/>
              <w:ind w:start="107"/>
              <w:rPr>
                <w:b/>
                <w:sz w:val="20"/>
              </w:rPr>
            </w:pPr>
            <w:r>
              <w:rPr>
                <w:b/>
                <w:sz w:val="20"/>
              </w:rPr>
              <w:t xml:space="preserve">Interventions</w:t>
            </w:r>
          </w:p>
        </w:tc>
        <w:tc>
          <w:tcPr>
            <w:tcW w:w="3971" w:type="dxa"/>
            <w:shd w:val="clear" w:color="auto" w:fill="8DB3E1"/>
          </w:tcPr>
          <w:p>
            <w:pPr>
              <w:pStyle w:val="TableParagraph"/>
              <w:spacing w:line="220"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0" w:lineRule="exact"/>
              <w:ind w:start="105"/>
              <w:rPr>
                <w:b/>
                <w:sz w:val="20"/>
              </w:rPr>
            </w:pPr>
            <w:r>
              <w:rPr>
                <w:b/>
                <w:sz w:val="20"/>
              </w:rPr>
              <w:t xml:space="preserve">Évaluation </w:t>
            </w:r>
            <w:r>
              <w:rPr>
                <w:b/>
                <w:sz w:val="20"/>
              </w:rPr>
              <w:t xml:space="preserve">et </w:t>
            </w:r>
            <w:r>
              <w:rPr>
                <w:b/>
                <w:sz w:val="20"/>
              </w:rPr>
              <w:t xml:space="preserve">financement</w:t>
            </w:r>
          </w:p>
        </w:tc>
      </w:tr>
      <w:tr w:rsidR="00432386">
        <w:trPr>
          <w:trHeight w:val="8972"/>
        </w:trPr>
        <w:tc>
          <w:tcPr>
            <w:tcW w:w="2972" w:type="dxa"/>
          </w:tcPr>
          <w:p>
            <w:pPr>
              <w:pStyle w:val="TableParagraph"/>
              <w:ind w:start="107" w:end="227"/>
              <w:rPr>
                <w:sz w:val="20"/>
              </w:rPr>
            </w:pPr>
            <w:r>
              <w:rPr>
                <w:sz w:val="20"/>
              </w:rPr>
              <w:t xml:space="preserve">Étudier </w:t>
            </w:r>
            <w:r>
              <w:rPr>
                <w:sz w:val="20"/>
              </w:rPr>
              <w:t xml:space="preserve">l'</w:t>
            </w:r>
            <w:r>
              <w:rPr>
                <w:sz w:val="20"/>
              </w:rPr>
              <w:t xml:space="preserve">évolution </w:t>
            </w:r>
            <w:r>
              <w:rPr>
                <w:sz w:val="20"/>
              </w:rPr>
              <w:t xml:space="preserve">de </w:t>
            </w:r>
            <w:r>
              <w:rPr>
                <w:sz w:val="20"/>
              </w:rPr>
              <w:t xml:space="preserve">trois </w:t>
            </w:r>
            <w:r>
              <w:rPr>
                <w:sz w:val="20"/>
              </w:rPr>
              <w:t xml:space="preserve">marqueurs du renouvellement osseux en </w:t>
            </w:r>
            <w:r>
              <w:rPr>
                <w:sz w:val="20"/>
              </w:rPr>
              <w:t xml:space="preserve">relation avec la </w:t>
            </w:r>
            <w:r>
              <w:rPr>
                <w:sz w:val="20"/>
              </w:rPr>
              <w:t xml:space="preserve">densité </w:t>
            </w:r>
            <w:r>
              <w:rPr>
                <w:sz w:val="20"/>
              </w:rPr>
              <w:t xml:space="preserve">minérale osseuse</w:t>
            </w:r>
            <w:r>
              <w:rPr>
                <w:sz w:val="20"/>
              </w:rPr>
              <w:t xml:space="preserve">, chez des adolescents souffrant de </w:t>
            </w:r>
            <w:r>
              <w:rPr>
                <w:sz w:val="20"/>
              </w:rPr>
              <w:t xml:space="preserve">dysphorie de genre pendant l'administration d'</w:t>
            </w:r>
            <w:r>
              <w:rPr>
                <w:sz w:val="20"/>
              </w:rPr>
              <w:t xml:space="preserve">hormones </w:t>
            </w:r>
            <w:r>
              <w:rPr>
                <w:sz w:val="20"/>
              </w:rPr>
              <w:t xml:space="preserve">analogues à la GnRH et d'</w:t>
            </w:r>
            <w:r>
              <w:rPr>
                <w:sz w:val="20"/>
              </w:rPr>
              <w:t xml:space="preserve">hormones d</w:t>
            </w:r>
            <w:r>
              <w:rPr>
                <w:sz w:val="20"/>
              </w:rPr>
              <w:t xml:space="preserve">'affirmation du </w:t>
            </w:r>
            <w:r>
              <w:rPr>
                <w:sz w:val="20"/>
              </w:rPr>
              <w:t xml:space="preserve">genre</w:t>
            </w:r>
            <w:r>
              <w:rPr>
                <w:sz w:val="20"/>
              </w:rPr>
              <w:t xml:space="preserve">.</w:t>
            </w:r>
          </w:p>
          <w:p w:rsidR="00432386" w:rsidRDefault="00432386">
            <w:pPr>
              <w:pStyle w:val="TableParagraph"/>
              <w:spacing w:before="7"/>
              <w:rPr>
                <w:sz w:val="29"/>
              </w:rPr>
            </w:pPr>
          </w:p>
          <w:p>
            <w:pPr>
              <w:pStyle w:val="TableParagraph"/>
              <w:ind w:start="107"/>
              <w:rPr>
                <w:sz w:val="20"/>
              </w:rPr>
            </w:pPr>
            <w:r>
              <w:rPr>
                <w:sz w:val="20"/>
              </w:rPr>
              <w:t xml:space="preserve">2001 </w:t>
            </w:r>
            <w:r>
              <w:rPr>
                <w:sz w:val="20"/>
              </w:rPr>
              <w:t xml:space="preserve">à </w:t>
            </w:r>
            <w:r>
              <w:rPr>
                <w:sz w:val="20"/>
              </w:rPr>
              <w:t xml:space="preserve">2011</w:t>
            </w:r>
          </w:p>
        </w:tc>
        <w:tc>
          <w:tcPr>
            <w:tcW w:w="3121" w:type="dxa"/>
          </w:tcPr>
          <w:p>
            <w:pPr>
              <w:pStyle w:val="TableParagraph"/>
              <w:ind w:start="107" w:end="126"/>
              <w:rPr>
                <w:sz w:val="20"/>
              </w:rPr>
            </w:pPr>
            <w:r>
              <w:rPr>
                <w:sz w:val="20"/>
              </w:rPr>
              <w:t xml:space="preserve">Les </w:t>
            </w:r>
            <w:r>
              <w:rPr>
                <w:sz w:val="20"/>
              </w:rPr>
              <w:t xml:space="preserve">participants ont été </w:t>
            </w:r>
            <w:r>
              <w:rPr>
                <w:sz w:val="20"/>
              </w:rPr>
              <w:t xml:space="preserve">répartis entre </w:t>
            </w:r>
            <w:r>
              <w:rPr>
                <w:sz w:val="20"/>
              </w:rPr>
              <w:t xml:space="preserve">un </w:t>
            </w:r>
            <w:r>
              <w:rPr>
                <w:sz w:val="20"/>
              </w:rPr>
              <w:t xml:space="preserve">groupe de </w:t>
            </w:r>
            <w:r>
              <w:rPr>
                <w:sz w:val="20"/>
              </w:rPr>
              <w:t xml:space="preserve">jeunes </w:t>
            </w:r>
            <w:r>
              <w:rPr>
                <w:sz w:val="20"/>
              </w:rPr>
              <w:t xml:space="preserve">et un groupe de </w:t>
            </w:r>
            <w:r>
              <w:rPr>
                <w:sz w:val="20"/>
              </w:rPr>
              <w:t xml:space="preserve">vieux </w:t>
            </w:r>
            <w:r>
              <w:rPr>
                <w:sz w:val="20"/>
              </w:rPr>
              <w:t xml:space="preserve">pubères, en fonction de leur </w:t>
            </w:r>
            <w:r>
              <w:rPr>
                <w:sz w:val="20"/>
              </w:rPr>
              <w:t xml:space="preserve">âge </w:t>
            </w:r>
            <w:r>
              <w:rPr>
                <w:sz w:val="20"/>
              </w:rPr>
              <w:t xml:space="preserve">osseux</w:t>
            </w:r>
            <w:r>
              <w:rPr>
                <w:sz w:val="20"/>
              </w:rPr>
              <w:t xml:space="preserve">. </w:t>
            </w:r>
            <w:r>
              <w:rPr>
                <w:sz w:val="20"/>
              </w:rPr>
              <w:t xml:space="preserve">Les </w:t>
            </w:r>
            <w:r>
              <w:rPr>
                <w:sz w:val="20"/>
              </w:rPr>
              <w:t xml:space="preserve">jeunes </w:t>
            </w:r>
            <w:r>
              <w:rPr>
                <w:sz w:val="20"/>
              </w:rPr>
              <w:t xml:space="preserve">transmales </w:t>
            </w:r>
            <w:r>
              <w:rPr>
                <w:sz w:val="20"/>
              </w:rPr>
              <w:t xml:space="preserve">avaient </w:t>
            </w:r>
            <w:r>
              <w:rPr>
                <w:sz w:val="20"/>
              </w:rPr>
              <w:t xml:space="preserve">un </w:t>
            </w:r>
            <w:r>
              <w:rPr>
                <w:sz w:val="20"/>
              </w:rPr>
              <w:t xml:space="preserve">âge </w:t>
            </w:r>
            <w:r>
              <w:rPr>
                <w:sz w:val="20"/>
              </w:rPr>
              <w:t xml:space="preserve">osseux </w:t>
            </w:r>
            <w:r>
              <w:rPr>
                <w:sz w:val="20"/>
              </w:rPr>
              <w:t xml:space="preserve">de</w:t>
            </w:r>
          </w:p>
          <w:p>
            <w:pPr>
              <w:pStyle w:val="TableParagraph"/>
              <w:ind w:start="107" w:end="354"/>
              <w:rPr>
                <w:sz w:val="20"/>
              </w:rPr>
            </w:pPr>
            <w:r>
              <w:rPr>
                <w:sz w:val="20"/>
              </w:rPr>
              <w:t xml:space="preserve">&lt;14 ans et les vieux </w:t>
            </w:r>
            <w:r>
              <w:rPr>
                <w:sz w:val="20"/>
              </w:rPr>
              <w:t xml:space="preserve">transmales </w:t>
            </w:r>
            <w:r>
              <w:rPr>
                <w:spacing w:val="-4"/>
                <w:sz w:val="20"/>
              </w:rPr>
              <w:t xml:space="preserve">avaient </w:t>
            </w:r>
            <w:r>
              <w:rPr>
                <w:sz w:val="20"/>
              </w:rPr>
              <w:t xml:space="preserve">un </w:t>
            </w:r>
            <w:r>
              <w:rPr>
                <w:spacing w:val="-4"/>
                <w:sz w:val="20"/>
              </w:rPr>
              <w:t xml:space="preserve">âge</w:t>
            </w:r>
            <w:r>
              <w:rPr>
                <w:sz w:val="20"/>
              </w:rPr>
              <w:t xml:space="preserve"> osseux </w:t>
            </w:r>
            <w:r>
              <w:rPr>
                <w:sz w:val="20"/>
              </w:rPr>
              <w:t xml:space="preserve">de</w:t>
            </w:r>
          </w:p>
          <w:p>
            <w:pPr>
              <w:pStyle w:val="TableParagraph"/>
              <w:ind w:start="107" w:end="231"/>
              <w:rPr>
                <w:sz w:val="20"/>
              </w:rPr>
            </w:pPr>
            <w:r>
              <w:rPr>
                <w:sz w:val="20"/>
              </w:rPr>
              <w:t xml:space="preserve">≥14 ans. Le </w:t>
            </w:r>
            <w:r>
              <w:rPr>
                <w:sz w:val="20"/>
              </w:rPr>
              <w:t xml:space="preserve">groupe des </w:t>
            </w:r>
            <w:r>
              <w:rPr>
                <w:sz w:val="20"/>
              </w:rPr>
              <w:t xml:space="preserve">jeunes </w:t>
            </w:r>
            <w:r>
              <w:rPr>
                <w:sz w:val="20"/>
              </w:rPr>
              <w:t xml:space="preserve">transfemmes </w:t>
            </w:r>
            <w:r>
              <w:rPr>
                <w:sz w:val="20"/>
              </w:rPr>
              <w:t xml:space="preserve">avait </w:t>
            </w:r>
            <w:r>
              <w:rPr>
                <w:sz w:val="20"/>
              </w:rPr>
              <w:t xml:space="preserve">un </w:t>
            </w:r>
            <w:r>
              <w:rPr>
                <w:sz w:val="20"/>
              </w:rPr>
              <w:t xml:space="preserve">âge </w:t>
            </w:r>
            <w:r>
              <w:rPr>
                <w:sz w:val="20"/>
              </w:rPr>
              <w:t xml:space="preserve">osseux </w:t>
            </w:r>
            <w:r>
              <w:rPr>
                <w:sz w:val="20"/>
              </w:rPr>
              <w:t xml:space="preserve">&lt;15 ans et le </w:t>
            </w:r>
            <w:r>
              <w:rPr>
                <w:sz w:val="20"/>
              </w:rPr>
              <w:t xml:space="preserve">groupe des </w:t>
            </w:r>
            <w:r>
              <w:rPr>
                <w:sz w:val="20"/>
              </w:rPr>
              <w:t xml:space="preserve">vieilles </w:t>
            </w:r>
            <w:r>
              <w:rPr>
                <w:sz w:val="20"/>
              </w:rPr>
              <w:t xml:space="preserve">transfemmes</w:t>
            </w:r>
            <w:r>
              <w:rPr>
                <w:sz w:val="20"/>
              </w:rPr>
              <w:t xml:space="preserve"> ≥15 </w:t>
            </w:r>
            <w:r>
              <w:rPr>
                <w:sz w:val="20"/>
              </w:rPr>
              <w:t xml:space="preserve">ans.</w:t>
            </w:r>
          </w:p>
        </w:tc>
        <w:tc>
          <w:tcPr>
            <w:tcW w:w="2127" w:type="dxa"/>
          </w:tcPr>
          <w:p w:rsidR="00432386" w:rsidRDefault="00432386">
            <w:pPr>
              <w:pStyle w:val="TableParagraph"/>
              <w:rPr>
                <w:rFonts w:ascii="Times New Roman"/>
                <w:sz w:val="18"/>
              </w:rPr>
            </w:pPr>
          </w:p>
        </w:tc>
        <w:tc>
          <w:tcPr>
            <w:tcW w:w="3971" w:type="dxa"/>
          </w:tcPr>
          <w:p>
            <w:pPr>
              <w:pStyle w:val="TableParagraph"/>
              <w:ind w:start="106"/>
              <w:rPr>
                <w:sz w:val="20"/>
              </w:rPr>
            </w:pPr>
            <w:r>
              <w:rPr>
                <w:sz w:val="20"/>
              </w:rPr>
              <w:t xml:space="preserve">Changement entre le début de l'administration d'un analogue de la GnRH et le </w:t>
            </w:r>
            <w:r>
              <w:rPr>
                <w:sz w:val="20"/>
              </w:rPr>
              <w:t xml:space="preserve">début de l'administration d'hormones d'affirmation du genre chez les </w:t>
            </w:r>
            <w:r>
              <w:rPr>
                <w:sz w:val="20"/>
              </w:rPr>
              <w:t xml:space="preserve">transfemmes (âge osseux de ≥15 ; médiane </w:t>
            </w:r>
            <w:r>
              <w:rPr>
                <w:sz w:val="20"/>
              </w:rPr>
              <w:t xml:space="preserve">[fourchette]), analogue de la GnRH : 0,22 (0,18 à </w:t>
            </w:r>
            <w:r>
              <w:rPr>
                <w:sz w:val="20"/>
              </w:rPr>
              <w:t xml:space="preserve">0,25) </w:t>
            </w:r>
            <w:r>
              <w:rPr>
                <w:sz w:val="20"/>
              </w:rPr>
              <w:t xml:space="preserve">g/cm3, </w:t>
            </w:r>
            <w:r>
              <w:rPr>
                <w:sz w:val="20"/>
              </w:rPr>
              <w:t xml:space="preserve">hormones d'</w:t>
            </w:r>
            <w:r>
              <w:rPr>
                <w:sz w:val="20"/>
              </w:rPr>
              <w:t xml:space="preserve">affirmation du genre </w:t>
            </w:r>
            <w:r>
              <w:rPr>
                <w:sz w:val="20"/>
              </w:rPr>
              <w:t xml:space="preserve">: </w:t>
            </w:r>
            <w:r>
              <w:rPr>
                <w:sz w:val="20"/>
              </w:rPr>
              <w:t xml:space="preserve">0,22 </w:t>
            </w:r>
            <w:r>
              <w:rPr>
                <w:sz w:val="20"/>
              </w:rPr>
              <w:t xml:space="preserve">(0,19 </w:t>
            </w:r>
            <w:r>
              <w:rPr>
                <w:sz w:val="20"/>
              </w:rPr>
              <w:t xml:space="preserve">à </w:t>
            </w:r>
            <w:r>
              <w:rPr>
                <w:sz w:val="20"/>
              </w:rPr>
              <w:t xml:space="preserve">0,24) </w:t>
            </w:r>
            <w:r>
              <w:rPr>
                <w:sz w:val="20"/>
              </w:rPr>
              <w:t xml:space="preserve">g/cm3 </w:t>
            </w:r>
            <w:r>
              <w:rPr>
                <w:sz w:val="20"/>
              </w:rPr>
              <w:t xml:space="preserve">(NS) ; </w:t>
            </w:r>
            <w:r>
              <w:rPr>
                <w:sz w:val="20"/>
              </w:rPr>
              <w:t xml:space="preserve">score z</w:t>
            </w:r>
          </w:p>
          <w:p>
            <w:pPr>
              <w:pStyle w:val="TableParagraph"/>
              <w:ind w:start="106"/>
              <w:rPr>
                <w:sz w:val="20"/>
              </w:rPr>
            </w:pPr>
            <w:r>
              <w:rPr>
                <w:sz w:val="20"/>
              </w:rPr>
              <w:t xml:space="preserve">Analogue de la </w:t>
            </w:r>
            <w:r>
              <w:rPr>
                <w:sz w:val="20"/>
              </w:rPr>
              <w:t xml:space="preserve">GnRH </w:t>
            </w:r>
            <w:r>
              <w:rPr>
                <w:sz w:val="20"/>
              </w:rPr>
              <w:t xml:space="preserve">: </w:t>
            </w:r>
            <w:r>
              <w:rPr>
                <w:sz w:val="20"/>
              </w:rPr>
              <w:t xml:space="preserve">-1,18 </w:t>
            </w:r>
            <w:r>
              <w:rPr>
                <w:sz w:val="20"/>
              </w:rPr>
              <w:t xml:space="preserve">(-1,78 </w:t>
            </w:r>
            <w:r>
              <w:rPr>
                <w:sz w:val="20"/>
              </w:rPr>
              <w:t xml:space="preserve">à </w:t>
            </w:r>
            <w:r>
              <w:rPr>
                <w:sz w:val="20"/>
              </w:rPr>
              <w:t xml:space="preserve">1,09),</w:t>
            </w:r>
          </w:p>
          <w:p>
            <w:pPr>
              <w:pStyle w:val="TableParagraph"/>
              <w:ind w:start="106"/>
              <w:rPr>
                <w:sz w:val="20"/>
              </w:rPr>
            </w:pPr>
            <w:r>
              <w:rPr>
                <w:sz w:val="20"/>
              </w:rPr>
              <w:t xml:space="preserve">hormones d'</w:t>
            </w:r>
            <w:r>
              <w:rPr>
                <w:sz w:val="20"/>
              </w:rPr>
              <w:t xml:space="preserve">affirmation du genre </w:t>
            </w:r>
            <w:r>
              <w:rPr>
                <w:sz w:val="20"/>
              </w:rPr>
              <w:t xml:space="preserve">: </w:t>
            </w:r>
            <w:r>
              <w:rPr>
                <w:sz w:val="20"/>
              </w:rPr>
              <w:t xml:space="preserve">−1.15 </w:t>
            </w:r>
            <w:r>
              <w:rPr>
                <w:sz w:val="20"/>
              </w:rPr>
              <w:t xml:space="preserve">(−2.21</w:t>
            </w:r>
          </w:p>
          <w:p>
            <w:pPr>
              <w:pStyle w:val="TableParagraph"/>
              <w:ind w:start="106"/>
              <w:rPr>
                <w:sz w:val="20"/>
              </w:rPr>
            </w:pPr>
            <w:r>
              <w:rPr>
                <w:sz w:val="20"/>
              </w:rPr>
              <w:t xml:space="preserve">à </w:t>
            </w:r>
            <w:r>
              <w:rPr>
                <w:sz w:val="20"/>
              </w:rPr>
              <w:t xml:space="preserve">0,08) </w:t>
            </w:r>
            <w:r>
              <w:rPr>
                <w:sz w:val="20"/>
              </w:rPr>
              <w:t xml:space="preserve">(p≤0,1)</w:t>
            </w:r>
          </w:p>
          <w:p>
            <w:pPr>
              <w:pStyle w:val="TableParagraph"/>
              <w:ind w:start="106" w:end="118"/>
              <w:rPr>
                <w:sz w:val="20"/>
              </w:rPr>
            </w:pPr>
            <w:r>
              <w:rPr>
                <w:sz w:val="20"/>
              </w:rPr>
              <w:t xml:space="preserve">Changement </w:t>
            </w:r>
            <w:r>
              <w:rPr>
                <w:sz w:val="20"/>
              </w:rPr>
              <w:t xml:space="preserve">entre le </w:t>
            </w:r>
            <w:r>
              <w:rPr>
                <w:sz w:val="20"/>
              </w:rPr>
              <w:t xml:space="preserve">début de l'administration d'</w:t>
            </w:r>
            <w:r>
              <w:rPr>
                <w:sz w:val="20"/>
              </w:rPr>
              <w:t xml:space="preserve">un analogue de la </w:t>
            </w:r>
            <w:r>
              <w:rPr>
                <w:sz w:val="20"/>
              </w:rPr>
              <w:t xml:space="preserve">GnRH </w:t>
            </w:r>
            <w:r>
              <w:rPr>
                <w:sz w:val="20"/>
              </w:rPr>
              <w:t xml:space="preserve">et le </w:t>
            </w:r>
            <w:r>
              <w:rPr>
                <w:sz w:val="20"/>
              </w:rPr>
              <w:t xml:space="preserve">début de l'administration d'hormones d'affirmation du genre chez les </w:t>
            </w:r>
            <w:r>
              <w:rPr>
                <w:sz w:val="20"/>
              </w:rPr>
              <w:t xml:space="preserve">transmaliens (âge osseux &lt; 15 ans ; </w:t>
            </w:r>
            <w:r>
              <w:rPr>
                <w:spacing w:val="1"/>
                <w:sz w:val="20"/>
              </w:rPr>
              <w:t xml:space="preserve">médiane </w:t>
            </w:r>
            <w:r>
              <w:rPr>
                <w:sz w:val="20"/>
              </w:rPr>
              <w:t xml:space="preserve">[fourchette]), analogue de la GnRH : 0,23 </w:t>
            </w:r>
            <w:r>
              <w:rPr>
                <w:sz w:val="20"/>
              </w:rPr>
              <w:t xml:space="preserve">(0,20 </w:t>
            </w:r>
            <w:r>
              <w:rPr>
                <w:sz w:val="20"/>
              </w:rPr>
              <w:t xml:space="preserve">à </w:t>
            </w:r>
            <w:r>
              <w:rPr>
                <w:sz w:val="20"/>
              </w:rPr>
              <w:t xml:space="preserve">0,29) </w:t>
            </w:r>
            <w:r>
              <w:rPr>
                <w:sz w:val="20"/>
              </w:rPr>
              <w:t xml:space="preserve">g/cm3, hormones </w:t>
            </w:r>
            <w:r>
              <w:rPr>
                <w:sz w:val="20"/>
              </w:rPr>
              <w:t xml:space="preserve">d'affirmation du sexe</w:t>
            </w:r>
          </w:p>
          <w:p>
            <w:pPr>
              <w:pStyle w:val="TableParagraph"/>
              <w:ind w:start="106" w:end="570"/>
              <w:jc w:val="both"/>
              <w:rPr>
                <w:sz w:val="20"/>
              </w:rPr>
            </w:pPr>
            <w:r>
              <w:rPr>
                <w:sz w:val="20"/>
              </w:rPr>
              <w:t xml:space="preserve">hormones : 0,23 (0,19 à 0,28) g/cm3 </w:t>
            </w:r>
            <w:r>
              <w:rPr>
                <w:sz w:val="20"/>
              </w:rPr>
              <w:t xml:space="preserve">(NS) ; z-score analogue à la GnRH : -0,05 </w:t>
            </w:r>
            <w:r>
              <w:rPr>
                <w:sz w:val="20"/>
              </w:rPr>
              <w:t xml:space="preserve">(-0,78 </w:t>
            </w:r>
            <w:r>
              <w:rPr>
                <w:sz w:val="20"/>
              </w:rPr>
              <w:t xml:space="preserve">à </w:t>
            </w:r>
            <w:r>
              <w:rPr>
                <w:sz w:val="20"/>
              </w:rPr>
              <w:t xml:space="preserve">2,94), </w:t>
            </w:r>
            <w:r>
              <w:rPr>
                <w:sz w:val="20"/>
              </w:rPr>
              <w:t xml:space="preserve">affirmation du genre</w:t>
            </w:r>
          </w:p>
          <w:p>
            <w:pPr>
              <w:pStyle w:val="TableParagraph"/>
              <w:spacing w:line="229" w:lineRule="exact"/>
              <w:ind w:start="106"/>
              <w:jc w:val="both"/>
              <w:rPr>
                <w:sz w:val="20"/>
              </w:rPr>
            </w:pPr>
            <w:r>
              <w:rPr>
                <w:sz w:val="20"/>
              </w:rPr>
              <w:t xml:space="preserve">hormones : </w:t>
            </w:r>
            <w:r>
              <w:rPr>
                <w:sz w:val="20"/>
              </w:rPr>
              <w:t xml:space="preserve">-0,84 </w:t>
            </w:r>
            <w:r>
              <w:rPr>
                <w:sz w:val="20"/>
              </w:rPr>
              <w:t xml:space="preserve">(-2,20 </w:t>
            </w:r>
            <w:r>
              <w:rPr>
                <w:sz w:val="20"/>
              </w:rPr>
              <w:t xml:space="preserve">à </w:t>
            </w:r>
            <w:r>
              <w:rPr>
                <w:sz w:val="20"/>
              </w:rPr>
              <w:t xml:space="preserve">0,87)</w:t>
            </w:r>
          </w:p>
          <w:p>
            <w:pPr>
              <w:pStyle w:val="TableParagraph"/>
              <w:ind w:start="106"/>
              <w:rPr>
                <w:sz w:val="20"/>
              </w:rPr>
            </w:pPr>
            <w:r>
              <w:rPr>
                <w:sz w:val="20"/>
              </w:rPr>
              <w:t xml:space="preserve">(p=0.003)</w:t>
            </w:r>
          </w:p>
          <w:p>
            <w:pPr>
              <w:pStyle w:val="TableParagraph"/>
              <w:ind w:start="106"/>
              <w:rPr>
                <w:sz w:val="20"/>
              </w:rPr>
            </w:pPr>
            <w:r>
              <w:rPr>
                <w:sz w:val="20"/>
              </w:rPr>
              <w:t xml:space="preserve">Changement entre le début de l'administration d'un analogue de la GnRH et le </w:t>
            </w:r>
            <w:r>
              <w:rPr>
                <w:sz w:val="20"/>
              </w:rPr>
              <w:t xml:space="preserve">début de l'administration d'hormones d'affirmation du genre chez les </w:t>
            </w:r>
            <w:r>
              <w:rPr>
                <w:sz w:val="20"/>
              </w:rPr>
              <w:t xml:space="preserve">transmales (âge osseux de ≥15 ; médiane </w:t>
            </w:r>
            <w:r>
              <w:rPr>
                <w:sz w:val="20"/>
              </w:rPr>
              <w:t xml:space="preserve">[fourchette]), analogue de la GnRH : 0,26 (0,21 à </w:t>
            </w:r>
            <w:r>
              <w:rPr>
                <w:sz w:val="20"/>
              </w:rPr>
              <w:t xml:space="preserve">0,29) </w:t>
            </w:r>
            <w:r>
              <w:rPr>
                <w:sz w:val="20"/>
              </w:rPr>
              <w:t xml:space="preserve">g/cm3, </w:t>
            </w:r>
            <w:r>
              <w:rPr>
                <w:sz w:val="20"/>
              </w:rPr>
              <w:t xml:space="preserve">hormones d'</w:t>
            </w:r>
            <w:r>
              <w:rPr>
                <w:sz w:val="20"/>
              </w:rPr>
              <w:t xml:space="preserve">affirmation du genre </w:t>
            </w:r>
            <w:r>
              <w:rPr>
                <w:sz w:val="20"/>
              </w:rPr>
              <w:t xml:space="preserve">: </w:t>
            </w:r>
            <w:r>
              <w:rPr>
                <w:sz w:val="20"/>
              </w:rPr>
              <w:t xml:space="preserve">0,24 </w:t>
            </w:r>
            <w:r>
              <w:rPr>
                <w:sz w:val="20"/>
              </w:rPr>
              <w:t xml:space="preserve">(0,20 à </w:t>
            </w:r>
            <w:r>
              <w:rPr>
                <w:sz w:val="20"/>
              </w:rPr>
              <w:t xml:space="preserve">0,28) </w:t>
            </w:r>
            <w:r>
              <w:rPr>
                <w:sz w:val="20"/>
              </w:rPr>
              <w:t xml:space="preserve">g/cm3 </w:t>
            </w:r>
            <w:r>
              <w:rPr>
                <w:sz w:val="20"/>
              </w:rPr>
              <w:t xml:space="preserve">(p≤0,01) ;</w:t>
            </w:r>
          </w:p>
          <w:p>
            <w:pPr>
              <w:pStyle w:val="TableParagraph"/>
              <w:ind w:start="106"/>
              <w:rPr>
                <w:sz w:val="20"/>
              </w:rPr>
            </w:pPr>
            <w:r>
              <w:rPr>
                <w:sz w:val="20"/>
              </w:rPr>
              <w:t xml:space="preserve">z-score </w:t>
            </w:r>
            <w:r>
              <w:rPr>
                <w:sz w:val="20"/>
              </w:rPr>
              <w:t xml:space="preserve">GnRH </w:t>
            </w:r>
            <w:r>
              <w:rPr>
                <w:sz w:val="20"/>
              </w:rPr>
              <w:t xml:space="preserve">analogue : </w:t>
            </w:r>
            <w:r>
              <w:rPr>
                <w:sz w:val="20"/>
              </w:rPr>
              <w:t xml:space="preserve">0,27 </w:t>
            </w:r>
            <w:r>
              <w:rPr>
                <w:sz w:val="20"/>
              </w:rPr>
              <w:t xml:space="preserve">(-1,60 </w:t>
            </w:r>
            <w:r>
              <w:rPr>
                <w:sz w:val="20"/>
              </w:rPr>
              <w:t xml:space="preserve">à</w:t>
            </w:r>
          </w:p>
          <w:p>
            <w:pPr>
              <w:pStyle w:val="TableParagraph"/>
              <w:ind w:start="106"/>
              <w:rPr>
                <w:sz w:val="20"/>
              </w:rPr>
            </w:pPr>
            <w:r>
              <w:rPr>
                <w:sz w:val="20"/>
              </w:rPr>
              <w:t xml:space="preserve">1,80), les </w:t>
            </w:r>
            <w:r>
              <w:rPr>
                <w:sz w:val="20"/>
              </w:rPr>
              <w:t xml:space="preserve">hormones d'</w:t>
            </w:r>
            <w:r>
              <w:rPr>
                <w:sz w:val="20"/>
              </w:rPr>
              <w:t xml:space="preserve">affirmation du genre </w:t>
            </w:r>
            <w:r>
              <w:rPr>
                <w:sz w:val="20"/>
              </w:rPr>
              <w:t xml:space="preserve">: </w:t>
            </w:r>
            <w:r>
              <w:rPr>
                <w:sz w:val="20"/>
              </w:rPr>
              <w:t xml:space="preserve">−0.29</w:t>
            </w:r>
          </w:p>
          <w:p>
            <w:pPr>
              <w:pStyle w:val="TableParagraph"/>
              <w:ind w:start="106"/>
              <w:rPr>
                <w:sz w:val="20"/>
              </w:rPr>
            </w:pPr>
            <w:r>
              <w:rPr>
                <w:sz w:val="20"/>
              </w:rPr>
              <w:t xml:space="preserve">(-2,28 </w:t>
            </w:r>
            <w:r>
              <w:rPr>
                <w:sz w:val="20"/>
              </w:rPr>
              <w:t xml:space="preserve">à </w:t>
            </w:r>
            <w:r>
              <w:rPr>
                <w:sz w:val="20"/>
              </w:rPr>
              <w:t xml:space="preserve">0,90) </w:t>
            </w:r>
            <w:r>
              <w:rPr>
                <w:sz w:val="20"/>
              </w:rPr>
              <w:t xml:space="preserve">(p≤ </w:t>
            </w:r>
            <w:r>
              <w:rPr>
                <w:sz w:val="20"/>
              </w:rPr>
              <w:t xml:space="preserve">0,0001</w:t>
            </w:r>
            <w:r>
              <w:rPr>
                <w:sz w:val="20"/>
              </w:rPr>
              <w:t xml:space="preserve">)</w:t>
            </w:r>
          </w:p>
          <w:p w:rsidR="00432386" w:rsidRDefault="00432386">
            <w:pPr>
              <w:pStyle w:val="TableParagraph"/>
              <w:spacing w:before="4"/>
              <w:rPr>
                <w:sz w:val="19"/>
              </w:rPr>
            </w:pPr>
          </w:p>
          <w:p>
            <w:pPr>
              <w:pStyle w:val="TableParagraph"/>
              <w:ind w:start="106"/>
              <w:jc w:val="both"/>
              <w:rPr>
                <w:b/>
                <w:i/>
                <w:sz w:val="20"/>
              </w:rPr>
            </w:pPr>
            <w:r>
              <w:rPr>
                <w:b/>
                <w:i/>
                <w:sz w:val="20"/>
              </w:rPr>
              <w:t xml:space="preserve">Densité </w:t>
            </w:r>
            <w:r>
              <w:rPr>
                <w:b/>
                <w:i/>
                <w:sz w:val="20"/>
              </w:rPr>
              <w:t xml:space="preserve">osseuse </w:t>
            </w:r>
            <w:r>
              <w:rPr>
                <w:b/>
                <w:i/>
                <w:sz w:val="20"/>
              </w:rPr>
              <w:t xml:space="preserve">; </w:t>
            </w:r>
            <w:r>
              <w:rPr>
                <w:b/>
                <w:i/>
                <w:sz w:val="20"/>
              </w:rPr>
              <w:t xml:space="preserve">fémorale</w:t>
            </w:r>
          </w:p>
          <w:p>
            <w:pPr>
              <w:pStyle w:val="TableParagraph"/>
              <w:ind w:start="106"/>
              <w:jc w:val="both"/>
              <w:rPr>
                <w:b/>
                <w:sz w:val="20"/>
              </w:rPr>
            </w:pPr>
            <w:r>
              <w:rPr>
                <w:b/>
                <w:sz w:val="20"/>
              </w:rPr>
              <w:t xml:space="preserve">Col </w:t>
            </w:r>
            <w:r>
              <w:rPr>
                <w:b/>
                <w:sz w:val="20"/>
              </w:rPr>
              <w:t xml:space="preserve">fémoral </w:t>
            </w:r>
            <w:r>
              <w:rPr>
                <w:b/>
                <w:sz w:val="20"/>
              </w:rPr>
              <w:t xml:space="preserve">BMAD</w:t>
            </w:r>
          </w:p>
          <w:p>
            <w:pPr>
              <w:pStyle w:val="TableParagraph"/>
              <w:spacing w:before="1"/>
              <w:ind w:start="106"/>
              <w:rPr>
                <w:sz w:val="20"/>
              </w:rPr>
            </w:pPr>
            <w:r>
              <w:rPr>
                <w:sz w:val="20"/>
              </w:rPr>
              <w:t xml:space="preserve">Changement </w:t>
            </w:r>
            <w:r>
              <w:rPr>
                <w:sz w:val="20"/>
              </w:rPr>
              <w:t xml:space="preserve">entre le </w:t>
            </w:r>
            <w:r>
              <w:rPr>
                <w:sz w:val="20"/>
              </w:rPr>
              <w:t xml:space="preserve">début de l'administration d'</w:t>
            </w:r>
            <w:r>
              <w:rPr>
                <w:sz w:val="20"/>
              </w:rPr>
              <w:t xml:space="preserve">un analogue de la </w:t>
            </w:r>
            <w:r>
              <w:rPr>
                <w:sz w:val="20"/>
              </w:rPr>
              <w:t xml:space="preserve">GnRH </w:t>
            </w:r>
            <w:r>
              <w:rPr>
                <w:sz w:val="20"/>
              </w:rPr>
              <w:t xml:space="preserve">et le </w:t>
            </w:r>
            <w:r>
              <w:rPr>
                <w:sz w:val="20"/>
              </w:rPr>
              <w:t xml:space="preserve">début de l'administration d'hormones d'affirmation du genre chez les </w:t>
            </w:r>
            <w:r>
              <w:rPr>
                <w:sz w:val="20"/>
              </w:rPr>
              <w:t xml:space="preserve">transfemmes (âge osseux &lt; 15 ans ; </w:t>
            </w:r>
            <w:r>
              <w:rPr>
                <w:spacing w:val="1"/>
                <w:sz w:val="20"/>
              </w:rPr>
              <w:t xml:space="preserve">médiane </w:t>
            </w:r>
            <w:r>
              <w:rPr>
                <w:sz w:val="20"/>
              </w:rPr>
              <w:t xml:space="preserve">[fourchette]), analogue de la GnRH : 0,29 </w:t>
            </w:r>
            <w:r>
              <w:rPr>
                <w:sz w:val="20"/>
              </w:rPr>
              <w:t xml:space="preserve">(0,20 </w:t>
            </w:r>
            <w:r>
              <w:rPr>
                <w:sz w:val="20"/>
              </w:rPr>
              <w:t xml:space="preserve">à </w:t>
            </w:r>
            <w:r>
              <w:rPr>
                <w:sz w:val="20"/>
              </w:rPr>
              <w:t xml:space="preserve">0,33) </w:t>
            </w:r>
            <w:r>
              <w:rPr>
                <w:sz w:val="20"/>
              </w:rPr>
              <w:t xml:space="preserve">g/cm3, hormones </w:t>
            </w:r>
            <w:r>
              <w:rPr>
                <w:sz w:val="20"/>
              </w:rPr>
              <w:t xml:space="preserve">d'affirmation du sexe</w:t>
            </w:r>
          </w:p>
          <w:p>
            <w:pPr>
              <w:pStyle w:val="TableParagraph"/>
              <w:ind w:start="106" w:end="599"/>
              <w:rPr>
                <w:sz w:val="20"/>
              </w:rPr>
            </w:pPr>
            <w:r>
              <w:rPr>
                <w:sz w:val="20"/>
              </w:rPr>
              <w:t xml:space="preserve">hormones : 0,27 (0,20 à 0,33) g/cm3 </w:t>
            </w:r>
            <w:r>
              <w:rPr>
                <w:sz w:val="20"/>
              </w:rPr>
              <w:t xml:space="preserve">(p≤0,1) ;</w:t>
            </w:r>
          </w:p>
          <w:p>
            <w:pPr>
              <w:pStyle w:val="TableParagraph"/>
              <w:spacing w:line="220" w:lineRule="exact"/>
              <w:ind w:start="106"/>
              <w:rPr>
                <w:sz w:val="20"/>
              </w:rPr>
            </w:pPr>
            <w:r>
              <w:rPr>
                <w:sz w:val="20"/>
              </w:rPr>
              <w:t xml:space="preserve">z-score </w:t>
            </w:r>
            <w:r>
              <w:rPr>
                <w:sz w:val="20"/>
              </w:rPr>
              <w:t xml:space="preserve">GnRH </w:t>
            </w:r>
            <w:r>
              <w:rPr>
                <w:sz w:val="20"/>
              </w:rPr>
              <w:t xml:space="preserve">analogue : </w:t>
            </w:r>
            <w:r>
              <w:rPr>
                <w:sz w:val="20"/>
              </w:rPr>
              <w:t xml:space="preserve">-0,71 </w:t>
            </w:r>
            <w:r>
              <w:rPr>
                <w:sz w:val="20"/>
              </w:rPr>
              <w:t xml:space="preserve">(-3,35 </w:t>
            </w:r>
            <w:r>
              <w:rPr>
                <w:sz w:val="20"/>
              </w:rPr>
              <w:t xml:space="preserve">à</w:t>
            </w:r>
          </w:p>
        </w:tc>
        <w:tc>
          <w:tcPr>
            <w:tcW w:w="3203" w:type="dxa"/>
          </w:tcPr>
          <w:p>
            <w:pPr>
              <w:pStyle w:val="TableParagraph"/>
              <w:ind w:start="105"/>
              <w:rPr>
                <w:sz w:val="20"/>
              </w:rPr>
            </w:pPr>
            <w:r>
              <w:rPr>
                <w:sz w:val="20"/>
              </w:rPr>
              <w:t xml:space="preserve">3. Le </w:t>
            </w:r>
            <w:r>
              <w:rPr>
                <w:sz w:val="20"/>
              </w:rPr>
              <w:t xml:space="preserve">taux de </w:t>
            </w:r>
            <w:r>
              <w:rPr>
                <w:sz w:val="20"/>
              </w:rPr>
              <w:t xml:space="preserve">suivi </w:t>
            </w:r>
            <w:r>
              <w:rPr>
                <w:sz w:val="20"/>
              </w:rPr>
              <w:t xml:space="preserve">varie </w:t>
            </w:r>
            <w:r>
              <w:rPr>
                <w:sz w:val="20"/>
              </w:rPr>
              <w:t xml:space="preserve">selon les </w:t>
            </w:r>
            <w:r>
              <w:rPr>
                <w:sz w:val="20"/>
              </w:rPr>
              <w:t xml:space="preserve">résultats et il n'y a pas de description des </w:t>
            </w:r>
            <w:r>
              <w:rPr>
                <w:sz w:val="20"/>
              </w:rPr>
              <w:t xml:space="preserve">personnes perdues.</w:t>
            </w:r>
          </w:p>
          <w:p w:rsidR="00432386" w:rsidRDefault="00432386">
            <w:pPr>
              <w:pStyle w:val="TableParagraph"/>
              <w:spacing w:before="2"/>
              <w:rPr>
                <w:sz w:val="19"/>
              </w:rPr>
            </w:pPr>
          </w:p>
          <w:p>
            <w:pPr>
              <w:pStyle w:val="TableParagraph"/>
              <w:spacing w:before="1"/>
              <w:ind w:start="105" w:end="249"/>
              <w:rPr>
                <w:sz w:val="20"/>
              </w:rPr>
            </w:pPr>
            <w:r>
              <w:rPr>
                <w:b/>
                <w:sz w:val="20"/>
              </w:rPr>
              <w:t xml:space="preserve">La </w:t>
            </w:r>
            <w:r>
              <w:rPr>
                <w:b/>
                <w:sz w:val="20"/>
              </w:rPr>
              <w:t xml:space="preserve">qualité </w:t>
            </w:r>
            <w:r>
              <w:rPr>
                <w:b/>
                <w:sz w:val="20"/>
              </w:rPr>
              <w:t xml:space="preserve">générale </w:t>
            </w:r>
            <w:r>
              <w:rPr>
                <w:b/>
                <w:sz w:val="20"/>
              </w:rPr>
              <w:t xml:space="preserve">est </w:t>
            </w:r>
            <w:r>
              <w:rPr>
                <w:b/>
                <w:sz w:val="20"/>
              </w:rPr>
              <w:t xml:space="preserve">jugée </w:t>
            </w:r>
            <w:r>
              <w:rPr>
                <w:b/>
                <w:sz w:val="20"/>
              </w:rPr>
              <w:t xml:space="preserve">médiocre</w:t>
            </w:r>
            <w:r>
              <w:rPr>
                <w:sz w:val="20"/>
              </w:rPr>
              <w:t xml:space="preserve">.</w:t>
            </w:r>
          </w:p>
          <w:p w:rsidR="00432386" w:rsidRDefault="00432386">
            <w:pPr>
              <w:pStyle w:val="TableParagraph"/>
              <w:spacing w:before="9"/>
              <w:rPr>
                <w:sz w:val="23"/>
              </w:rPr>
            </w:pPr>
          </w:p>
          <w:p>
            <w:pPr>
              <w:pStyle w:val="TableParagraph"/>
              <w:spacing w:before="1"/>
              <w:ind w:start="105" w:end="255"/>
              <w:rPr>
                <w:sz w:val="20"/>
              </w:rPr>
            </w:pPr>
            <w:r>
              <w:rPr>
                <w:sz w:val="20"/>
              </w:rPr>
              <w:t xml:space="preserve">Autres commentaires : </w:t>
            </w:r>
            <w:r>
              <w:rPr>
                <w:sz w:val="20"/>
              </w:rPr>
              <w:t xml:space="preserve">Comparaison </w:t>
            </w:r>
            <w:r>
              <w:rPr>
                <w:sz w:val="20"/>
              </w:rPr>
              <w:t xml:space="preserve">intra-personne</w:t>
            </w:r>
            <w:r>
              <w:rPr>
                <w:sz w:val="20"/>
              </w:rPr>
              <w:t xml:space="preserve">. Aucun </w:t>
            </w:r>
            <w:r>
              <w:rPr>
                <w:sz w:val="20"/>
              </w:rPr>
              <w:t xml:space="preserve">traitement </w:t>
            </w:r>
            <w:r>
              <w:rPr>
                <w:sz w:val="20"/>
              </w:rPr>
              <w:t xml:space="preserve">concomitant n'a </w:t>
            </w:r>
            <w:r>
              <w:rPr>
                <w:sz w:val="20"/>
              </w:rPr>
              <w:t xml:space="preserve">été signalé.</w:t>
            </w:r>
          </w:p>
          <w:p w:rsidR="00432386" w:rsidRDefault="00432386">
            <w:pPr>
              <w:pStyle w:val="TableParagraph"/>
              <w:spacing w:before="2"/>
              <w:rPr>
                <w:sz w:val="20"/>
              </w:rPr>
            </w:pPr>
          </w:p>
          <w:p>
            <w:pPr>
              <w:pStyle w:val="TableParagraph"/>
              <w:ind w:start="105" w:end="493"/>
              <w:rPr>
                <w:sz w:val="20"/>
              </w:rPr>
            </w:pPr>
            <w:r>
              <w:rPr>
                <w:sz w:val="20"/>
              </w:rPr>
              <w:t xml:space="preserve">Source </w:t>
            </w:r>
            <w:r>
              <w:rPr>
                <w:sz w:val="20"/>
              </w:rPr>
              <w:t xml:space="preserve">de </w:t>
            </w:r>
            <w:r>
              <w:rPr>
                <w:sz w:val="20"/>
              </w:rPr>
              <w:t xml:space="preserve">financement : </w:t>
            </w:r>
            <w:r>
              <w:rPr>
                <w:sz w:val="20"/>
              </w:rPr>
              <w:t xml:space="preserve">subvention </w:t>
            </w:r>
            <w:r>
              <w:rPr>
                <w:sz w:val="20"/>
              </w:rPr>
              <w:t xml:space="preserve">d'</w:t>
            </w:r>
            <w:r>
              <w:rPr>
                <w:sz w:val="20"/>
              </w:rPr>
              <w:t xml:space="preserve">Abbott </w:t>
            </w:r>
            <w:r>
              <w:rPr>
                <w:sz w:val="20"/>
              </w:rPr>
              <w:t xml:space="preserve">diagnostics</w:t>
            </w:r>
          </w:p>
        </w:tc>
      </w:tr>
    </w:tbl>
    <w:p w:rsidR="00432386" w:rsidRDefault="00432386">
      <w:pPr>
        <w:rPr>
          <w:sz w:val="20"/>
        </w:rPr>
        <w:sectPr w:rsidR="00432386">
          <w:type w:val="continuous"/>
          <w:pgSz w:w="16840" w:h="11910" w:orient="landscape"/>
          <w:pgMar w:top="980" w:right="500" w:bottom="1492" w:left="620" w:header="0" w:footer="1182"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972"/>
        <w:gridCol w:w="3121"/>
        <w:gridCol w:w="2127"/>
        <w:gridCol w:w="3971"/>
        <w:gridCol w:w="3203"/>
      </w:tblGrid>
      <w:tr w:rsidR="00432386">
        <w:trPr>
          <w:trHeight w:val="290"/>
        </w:trPr>
        <w:tc>
          <w:tcPr>
            <w:tcW w:w="2972" w:type="dxa"/>
            <w:shd w:val="clear" w:color="auto" w:fill="8DB3E1"/>
          </w:tcPr>
          <w:p>
            <w:pPr>
              <w:pStyle w:val="TableParagraph"/>
              <w:spacing w:line="220" w:lineRule="exact"/>
              <w:ind w:start="107"/>
              <w:rPr>
                <w:b/>
                <w:sz w:val="20"/>
              </w:rPr>
            </w:pPr>
            <w:r>
              <w:rPr>
                <w:b/>
                <w:sz w:val="20"/>
              </w:rPr>
              <w:t xml:space="preserve">Détails de l'</w:t>
            </w:r>
            <w:r>
              <w:rPr>
                <w:b/>
                <w:sz w:val="20"/>
              </w:rPr>
              <w:lastRenderedPageBreak/>
              <w:t xml:space="preserve">étude</w:t>
            </w:r>
          </w:p>
        </w:tc>
        <w:tc>
          <w:tcPr>
            <w:tcW w:w="3121" w:type="dxa"/>
            <w:shd w:val="clear" w:color="auto" w:fill="8DB3E1"/>
          </w:tcPr>
          <w:p>
            <w:pPr>
              <w:pStyle w:val="TableParagraph"/>
              <w:spacing w:line="220" w:lineRule="exact"/>
              <w:ind w:start="107"/>
              <w:rPr>
                <w:b/>
                <w:sz w:val="20"/>
              </w:rPr>
            </w:pPr>
            <w:r>
              <w:rPr>
                <w:b/>
                <w:sz w:val="20"/>
              </w:rPr>
              <w:t xml:space="preserve">Population</w:t>
            </w:r>
          </w:p>
        </w:tc>
        <w:tc>
          <w:tcPr>
            <w:tcW w:w="2127" w:type="dxa"/>
            <w:shd w:val="clear" w:color="auto" w:fill="8DB3E1"/>
          </w:tcPr>
          <w:p>
            <w:pPr>
              <w:pStyle w:val="TableParagraph"/>
              <w:spacing w:line="220" w:lineRule="exact"/>
              <w:ind w:start="107"/>
              <w:rPr>
                <w:b/>
                <w:sz w:val="20"/>
              </w:rPr>
            </w:pPr>
            <w:r>
              <w:rPr>
                <w:b/>
                <w:sz w:val="20"/>
              </w:rPr>
              <w:t xml:space="preserve">Interventions</w:t>
            </w:r>
          </w:p>
        </w:tc>
        <w:tc>
          <w:tcPr>
            <w:tcW w:w="3971" w:type="dxa"/>
            <w:shd w:val="clear" w:color="auto" w:fill="8DB3E1"/>
          </w:tcPr>
          <w:p>
            <w:pPr>
              <w:pStyle w:val="TableParagraph"/>
              <w:spacing w:line="220" w:lineRule="exact"/>
              <w:ind w:start="106"/>
              <w:rPr>
                <w:b/>
                <w:sz w:val="20"/>
              </w:rPr>
            </w:pPr>
            <w:r>
              <w:rPr>
                <w:b/>
                <w:sz w:val="20"/>
              </w:rPr>
              <w:t xml:space="preserve">Résultats de l'</w:t>
            </w:r>
            <w:r>
              <w:rPr>
                <w:b/>
                <w:sz w:val="20"/>
              </w:rPr>
              <w:t xml:space="preserve">étude</w:t>
            </w:r>
          </w:p>
        </w:tc>
        <w:tc>
          <w:tcPr>
            <w:tcW w:w="3203" w:type="dxa"/>
            <w:shd w:val="clear" w:color="auto" w:fill="8DB3E1"/>
          </w:tcPr>
          <w:p>
            <w:pPr>
              <w:pStyle w:val="TableParagraph"/>
              <w:spacing w:line="220" w:lineRule="exact"/>
              <w:ind w:start="105"/>
              <w:rPr>
                <w:b/>
                <w:sz w:val="20"/>
              </w:rPr>
            </w:pPr>
            <w:r>
              <w:rPr>
                <w:b/>
                <w:sz w:val="20"/>
              </w:rPr>
              <w:t xml:space="preserve">Évaluation </w:t>
            </w:r>
            <w:r>
              <w:rPr>
                <w:b/>
                <w:sz w:val="20"/>
              </w:rPr>
              <w:t xml:space="preserve">et </w:t>
            </w:r>
            <w:r>
              <w:rPr>
                <w:b/>
                <w:sz w:val="20"/>
              </w:rPr>
              <w:t xml:space="preserve">financement</w:t>
            </w:r>
          </w:p>
        </w:tc>
      </w:tr>
      <w:tr w:rsidR="00432386">
        <w:trPr>
          <w:trHeight w:val="6901"/>
        </w:trPr>
        <w:tc>
          <w:tcPr>
            <w:tcW w:w="2972" w:type="dxa"/>
          </w:tcPr>
          <w:p w:rsidR="00432386" w:rsidRDefault="00432386">
            <w:pPr>
              <w:pStyle w:val="TableParagraph"/>
              <w:rPr>
                <w:rFonts w:ascii="Times New Roman"/>
                <w:sz w:val="18"/>
              </w:rPr>
            </w:pPr>
          </w:p>
        </w:tc>
        <w:tc>
          <w:tcPr>
            <w:tcW w:w="3121" w:type="dxa"/>
          </w:tcPr>
          <w:p w:rsidR="00432386" w:rsidRDefault="00432386">
            <w:pPr>
              <w:pStyle w:val="TableParagraph"/>
              <w:rPr>
                <w:rFonts w:ascii="Times New Roman"/>
                <w:sz w:val="18"/>
              </w:rPr>
            </w:pPr>
          </w:p>
        </w:tc>
        <w:tc>
          <w:tcPr>
            <w:tcW w:w="2127" w:type="dxa"/>
          </w:tcPr>
          <w:p w:rsidR="00432386" w:rsidRDefault="00432386">
            <w:pPr>
              <w:pStyle w:val="TableParagraph"/>
              <w:rPr>
                <w:rFonts w:ascii="Times New Roman"/>
                <w:sz w:val="18"/>
              </w:rPr>
            </w:pPr>
          </w:p>
        </w:tc>
        <w:tc>
          <w:tcPr>
            <w:tcW w:w="3971" w:type="dxa"/>
          </w:tcPr>
          <w:p>
            <w:pPr>
              <w:pStyle w:val="TableParagraph"/>
              <w:spacing w:line="220" w:lineRule="exact"/>
              <w:ind w:start="106"/>
              <w:rPr>
                <w:sz w:val="20"/>
              </w:rPr>
            </w:pPr>
            <w:r>
              <w:rPr>
                <w:sz w:val="20"/>
              </w:rPr>
              <w:t xml:space="preserve">0,37), les </w:t>
            </w:r>
            <w:r>
              <w:rPr>
                <w:sz w:val="20"/>
              </w:rPr>
              <w:t xml:space="preserve">hormones d'</w:t>
            </w:r>
            <w:r>
              <w:rPr>
                <w:sz w:val="20"/>
              </w:rPr>
              <w:t xml:space="preserve">affirmation du genre </w:t>
            </w:r>
            <w:r>
              <w:rPr>
                <w:sz w:val="20"/>
              </w:rPr>
              <w:t xml:space="preserve">: −</w:t>
            </w:r>
            <w:r>
              <w:rPr>
                <w:sz w:val="20"/>
              </w:rPr>
              <w:t xml:space="preserve">1.32</w:t>
            </w:r>
          </w:p>
          <w:p>
            <w:pPr>
              <w:pStyle w:val="TableParagraph"/>
              <w:ind w:start="106"/>
              <w:rPr>
                <w:sz w:val="20"/>
              </w:rPr>
            </w:pPr>
            <w:r>
              <w:rPr>
                <w:sz w:val="20"/>
              </w:rPr>
              <w:t xml:space="preserve">(-3,39 </w:t>
            </w:r>
            <w:r>
              <w:rPr>
                <w:sz w:val="20"/>
              </w:rPr>
              <w:t xml:space="preserve">à </w:t>
            </w:r>
            <w:r>
              <w:rPr>
                <w:sz w:val="20"/>
              </w:rPr>
              <w:t xml:space="preserve">0,21) </w:t>
            </w:r>
            <w:r>
              <w:rPr>
                <w:sz w:val="20"/>
              </w:rPr>
              <w:t xml:space="preserve">(p≤0,1)</w:t>
            </w:r>
          </w:p>
          <w:p>
            <w:pPr>
              <w:pStyle w:val="TableParagraph"/>
              <w:spacing w:before="1"/>
              <w:ind w:start="106"/>
              <w:rPr>
                <w:sz w:val="20"/>
              </w:rPr>
            </w:pPr>
            <w:r>
              <w:rPr>
                <w:sz w:val="20"/>
              </w:rPr>
              <w:t xml:space="preserve">Changement entre le début de l'administration d'un analogue de la GnRH et le </w:t>
            </w:r>
            <w:r>
              <w:rPr>
                <w:sz w:val="20"/>
              </w:rPr>
              <w:t xml:space="preserve">début de l'administration d'hormones d'affirmation du genre chez les </w:t>
            </w:r>
            <w:r>
              <w:rPr>
                <w:sz w:val="20"/>
              </w:rPr>
              <w:t xml:space="preserve">transfemmes (âge osseux de ≥15 ; médiane </w:t>
            </w:r>
            <w:r>
              <w:rPr>
                <w:sz w:val="20"/>
              </w:rPr>
              <w:t xml:space="preserve">[fourchette]), analogue de la GnRH : 0,30 (0,26 à </w:t>
            </w:r>
            <w:r>
              <w:rPr>
                <w:sz w:val="20"/>
              </w:rPr>
              <w:t xml:space="preserve">0,36) </w:t>
            </w:r>
            <w:r>
              <w:rPr>
                <w:sz w:val="20"/>
              </w:rPr>
              <w:t xml:space="preserve">g/cm3, </w:t>
            </w:r>
            <w:r>
              <w:rPr>
                <w:sz w:val="20"/>
              </w:rPr>
              <w:t xml:space="preserve">hormones d'</w:t>
            </w:r>
            <w:r>
              <w:rPr>
                <w:sz w:val="20"/>
              </w:rPr>
              <w:t xml:space="preserve">affirmation du genre </w:t>
            </w:r>
            <w:r>
              <w:rPr>
                <w:sz w:val="20"/>
              </w:rPr>
              <w:t xml:space="preserve">: </w:t>
            </w:r>
            <w:r>
              <w:rPr>
                <w:sz w:val="20"/>
              </w:rPr>
              <w:t xml:space="preserve">0,30 </w:t>
            </w:r>
            <w:r>
              <w:rPr>
                <w:sz w:val="20"/>
              </w:rPr>
              <w:t xml:space="preserve">(0,26 à </w:t>
            </w:r>
            <w:r>
              <w:rPr>
                <w:sz w:val="20"/>
              </w:rPr>
              <w:t xml:space="preserve">0,34) </w:t>
            </w:r>
            <w:r>
              <w:rPr>
                <w:sz w:val="20"/>
              </w:rPr>
              <w:t xml:space="preserve">g/cm3 </w:t>
            </w:r>
            <w:r>
              <w:rPr>
                <w:sz w:val="20"/>
              </w:rPr>
              <w:t xml:space="preserve">(NS) ;</w:t>
            </w:r>
          </w:p>
          <w:p>
            <w:pPr>
              <w:pStyle w:val="TableParagraph"/>
              <w:ind w:start="106"/>
              <w:rPr>
                <w:sz w:val="20"/>
              </w:rPr>
            </w:pPr>
            <w:r>
              <w:rPr>
                <w:sz w:val="20"/>
              </w:rPr>
              <w:t xml:space="preserve">z-score </w:t>
            </w:r>
            <w:r>
              <w:rPr>
                <w:sz w:val="20"/>
              </w:rPr>
              <w:t xml:space="preserve">GnRH </w:t>
            </w:r>
            <w:r>
              <w:rPr>
                <w:sz w:val="20"/>
              </w:rPr>
              <w:t xml:space="preserve">analogue : </w:t>
            </w:r>
            <w:r>
              <w:rPr>
                <w:sz w:val="20"/>
              </w:rPr>
              <w:t xml:space="preserve">-0,44 </w:t>
            </w:r>
            <w:r>
              <w:rPr>
                <w:sz w:val="20"/>
              </w:rPr>
              <w:t xml:space="preserve">(</w:t>
            </w:r>
            <w:r>
              <w:rPr>
                <w:sz w:val="20"/>
              </w:rPr>
              <w:t xml:space="preserve">-1,37 </w:t>
            </w:r>
            <w:r>
              <w:rPr>
                <w:sz w:val="20"/>
              </w:rPr>
              <w:t xml:space="preserve">à</w:t>
            </w:r>
          </w:p>
          <w:p>
            <w:pPr>
              <w:pStyle w:val="TableParagraph"/>
              <w:spacing w:before="1"/>
              <w:ind w:start="106"/>
              <w:rPr>
                <w:sz w:val="20"/>
              </w:rPr>
            </w:pPr>
            <w:r>
              <w:rPr>
                <w:sz w:val="20"/>
              </w:rPr>
              <w:t xml:space="preserve">0,93), les </w:t>
            </w:r>
            <w:r>
              <w:rPr>
                <w:sz w:val="20"/>
              </w:rPr>
              <w:t xml:space="preserve">hormones d'</w:t>
            </w:r>
            <w:r>
              <w:rPr>
                <w:sz w:val="20"/>
              </w:rPr>
              <w:t xml:space="preserve">affirmation du genre </w:t>
            </w:r>
            <w:r>
              <w:rPr>
                <w:sz w:val="20"/>
              </w:rPr>
              <w:t xml:space="preserve">: −</w:t>
            </w:r>
            <w:r>
              <w:rPr>
                <w:sz w:val="20"/>
              </w:rPr>
              <w:t xml:space="preserve">0.36</w:t>
            </w:r>
          </w:p>
          <w:p>
            <w:pPr>
              <w:pStyle w:val="TableParagraph"/>
              <w:spacing w:line="229" w:lineRule="exact"/>
              <w:ind w:start="106"/>
              <w:rPr>
                <w:sz w:val="20"/>
              </w:rPr>
            </w:pPr>
            <w:r>
              <w:rPr>
                <w:sz w:val="20"/>
              </w:rPr>
              <w:t xml:space="preserve">(-1,50 </w:t>
            </w:r>
            <w:r>
              <w:rPr>
                <w:sz w:val="20"/>
              </w:rPr>
              <w:t xml:space="preserve">à </w:t>
            </w:r>
            <w:r>
              <w:rPr>
                <w:sz w:val="20"/>
              </w:rPr>
              <w:t xml:space="preserve">0,46) </w:t>
            </w:r>
            <w:r>
              <w:rPr>
                <w:sz w:val="20"/>
              </w:rPr>
              <w:t xml:space="preserve">(NS)</w:t>
            </w:r>
          </w:p>
          <w:p>
            <w:pPr>
              <w:pStyle w:val="TableParagraph"/>
              <w:ind w:start="106" w:end="118"/>
              <w:rPr>
                <w:sz w:val="20"/>
              </w:rPr>
            </w:pPr>
            <w:r>
              <w:rPr>
                <w:sz w:val="20"/>
              </w:rPr>
              <w:t xml:space="preserve">Changement </w:t>
            </w:r>
            <w:r>
              <w:rPr>
                <w:sz w:val="20"/>
              </w:rPr>
              <w:t xml:space="preserve">entre le </w:t>
            </w:r>
            <w:r>
              <w:rPr>
                <w:sz w:val="20"/>
              </w:rPr>
              <w:t xml:space="preserve">début de l'administration d'un </w:t>
            </w:r>
            <w:r>
              <w:rPr>
                <w:sz w:val="20"/>
              </w:rPr>
              <w:t xml:space="preserve">analogue de la </w:t>
            </w:r>
            <w:r>
              <w:rPr>
                <w:sz w:val="20"/>
              </w:rPr>
              <w:t xml:space="preserve">GnRH </w:t>
            </w:r>
            <w:r>
              <w:rPr>
                <w:sz w:val="20"/>
              </w:rPr>
              <w:t xml:space="preserve">et le </w:t>
            </w:r>
            <w:r>
              <w:rPr>
                <w:sz w:val="20"/>
              </w:rPr>
              <w:t xml:space="preserve">début de l'administration d'hormones d'affirmation du genre chez les </w:t>
            </w:r>
            <w:r>
              <w:rPr>
                <w:sz w:val="20"/>
              </w:rPr>
              <w:t xml:space="preserve">transmaliens (âge osseux &lt; 15 ans ; </w:t>
            </w:r>
            <w:r>
              <w:rPr>
                <w:spacing w:val="1"/>
                <w:sz w:val="20"/>
              </w:rPr>
              <w:t xml:space="preserve">médiane </w:t>
            </w:r>
            <w:r>
              <w:rPr>
                <w:sz w:val="20"/>
              </w:rPr>
              <w:t xml:space="preserve">[</w:t>
            </w:r>
            <w:r>
              <w:rPr>
                <w:sz w:val="20"/>
              </w:rPr>
              <w:t xml:space="preserve">fourchette]),</w:t>
            </w:r>
          </w:p>
          <w:p>
            <w:pPr>
              <w:pStyle w:val="TableParagraph"/>
              <w:spacing w:before="1"/>
              <w:ind w:start="106" w:end="297"/>
              <w:rPr>
                <w:sz w:val="20"/>
              </w:rPr>
            </w:pPr>
            <w:r>
              <w:rPr>
                <w:sz w:val="20"/>
              </w:rPr>
              <w:t xml:space="preserve">Analogue de la GnRH : 0,31 (0,26 à 0,36) </w:t>
            </w:r>
            <w:r>
              <w:rPr>
                <w:sz w:val="20"/>
              </w:rPr>
              <w:t xml:space="preserve">g/cm3, </w:t>
            </w:r>
            <w:r>
              <w:rPr>
                <w:sz w:val="20"/>
              </w:rPr>
              <w:t xml:space="preserve">hormones d'</w:t>
            </w:r>
            <w:r>
              <w:rPr>
                <w:sz w:val="20"/>
              </w:rPr>
              <w:t xml:space="preserve">affirmation du genre </w:t>
            </w:r>
            <w:r>
              <w:rPr>
                <w:sz w:val="20"/>
              </w:rPr>
              <w:t xml:space="preserve">: </w:t>
            </w:r>
            <w:r>
              <w:rPr>
                <w:sz w:val="20"/>
              </w:rPr>
              <w:t xml:space="preserve">0,30 </w:t>
            </w:r>
            <w:r>
              <w:rPr>
                <w:sz w:val="20"/>
              </w:rPr>
              <w:t xml:space="preserve">(0,22 </w:t>
            </w:r>
            <w:r>
              <w:rPr>
                <w:sz w:val="20"/>
              </w:rPr>
              <w:t xml:space="preserve">à </w:t>
            </w:r>
            <w:r>
              <w:rPr>
                <w:sz w:val="20"/>
              </w:rPr>
              <w:t xml:space="preserve">0,35) g/cm3 </w:t>
            </w:r>
            <w:r>
              <w:rPr>
                <w:sz w:val="20"/>
              </w:rPr>
              <w:t xml:space="preserve">(NS) ;</w:t>
            </w:r>
          </w:p>
          <w:p>
            <w:pPr>
              <w:pStyle w:val="TableParagraph"/>
              <w:spacing w:line="229" w:lineRule="exact"/>
              <w:ind w:start="106"/>
              <w:rPr>
                <w:sz w:val="20"/>
              </w:rPr>
            </w:pPr>
            <w:r>
              <w:rPr>
                <w:sz w:val="20"/>
              </w:rPr>
              <w:t xml:space="preserve">z-score </w:t>
            </w:r>
            <w:r>
              <w:rPr>
                <w:sz w:val="20"/>
              </w:rPr>
              <w:t xml:space="preserve">GnRH </w:t>
            </w:r>
            <w:r>
              <w:rPr>
                <w:sz w:val="20"/>
              </w:rPr>
              <w:t xml:space="preserve">analogue : </w:t>
            </w:r>
            <w:r>
              <w:rPr>
                <w:sz w:val="20"/>
              </w:rPr>
              <w:t xml:space="preserve">-0,01 </w:t>
            </w:r>
            <w:r>
              <w:rPr>
                <w:sz w:val="20"/>
              </w:rPr>
              <w:t xml:space="preserve">(-1,30 </w:t>
            </w:r>
            <w:r>
              <w:rPr>
                <w:sz w:val="20"/>
              </w:rPr>
              <w:t xml:space="preserve">à</w:t>
            </w:r>
          </w:p>
          <w:p>
            <w:pPr>
              <w:pStyle w:val="TableParagraph"/>
              <w:spacing w:before="1"/>
              <w:ind w:start="106"/>
              <w:rPr>
                <w:sz w:val="20"/>
              </w:rPr>
            </w:pPr>
            <w:r>
              <w:rPr>
                <w:sz w:val="20"/>
              </w:rPr>
              <w:t xml:space="preserve">0,91), les </w:t>
            </w:r>
            <w:r>
              <w:rPr>
                <w:sz w:val="20"/>
              </w:rPr>
              <w:t xml:space="preserve">hormones d'</w:t>
            </w:r>
            <w:r>
              <w:rPr>
                <w:sz w:val="20"/>
              </w:rPr>
              <w:t xml:space="preserve">affirmation du genre </w:t>
            </w:r>
            <w:r>
              <w:rPr>
                <w:sz w:val="20"/>
              </w:rPr>
              <w:t xml:space="preserve">: </w:t>
            </w:r>
            <w:r>
              <w:rPr>
                <w:sz w:val="20"/>
              </w:rPr>
              <w:t xml:space="preserve">−0.37</w:t>
            </w:r>
          </w:p>
          <w:p>
            <w:pPr>
              <w:pStyle w:val="TableParagraph"/>
              <w:ind w:start="106"/>
              <w:rPr>
                <w:sz w:val="20"/>
              </w:rPr>
            </w:pPr>
            <w:r>
              <w:rPr>
                <w:sz w:val="20"/>
              </w:rPr>
              <w:t xml:space="preserve">(-2,28 </w:t>
            </w:r>
            <w:r>
              <w:rPr>
                <w:sz w:val="20"/>
              </w:rPr>
              <w:t xml:space="preserve">à </w:t>
            </w:r>
            <w:r>
              <w:rPr>
                <w:sz w:val="20"/>
              </w:rPr>
              <w:t xml:space="preserve">0,47) </w:t>
            </w:r>
            <w:r>
              <w:rPr>
                <w:sz w:val="20"/>
              </w:rPr>
              <w:t xml:space="preserve">(NS)</w:t>
            </w:r>
          </w:p>
          <w:p>
            <w:pPr>
              <w:pStyle w:val="TableParagraph"/>
              <w:ind w:start="106"/>
              <w:rPr>
                <w:sz w:val="20"/>
              </w:rPr>
            </w:pPr>
            <w:r>
              <w:rPr>
                <w:sz w:val="20"/>
              </w:rPr>
              <w:t xml:space="preserve">Changement entre le début de l'administration d'un analogue de la GnRH et le </w:t>
            </w:r>
            <w:r>
              <w:rPr>
                <w:sz w:val="20"/>
              </w:rPr>
              <w:t xml:space="preserve">début de l'administration d'hormones d'affirmation du genre chez les </w:t>
            </w:r>
            <w:r>
              <w:rPr>
                <w:sz w:val="20"/>
              </w:rPr>
              <w:t xml:space="preserve">transmales (âge osseux de ≥15 ; médiane </w:t>
            </w:r>
            <w:r>
              <w:rPr>
                <w:sz w:val="20"/>
              </w:rPr>
              <w:t xml:space="preserve">[fourchette]), analogue de la GnRH : 0,33 (0,25 à </w:t>
            </w:r>
            <w:r>
              <w:rPr>
                <w:sz w:val="20"/>
              </w:rPr>
              <w:t xml:space="preserve">0,39) </w:t>
            </w:r>
            <w:r>
              <w:rPr>
                <w:sz w:val="20"/>
              </w:rPr>
              <w:t xml:space="preserve">g/cm3, </w:t>
            </w:r>
            <w:r>
              <w:rPr>
                <w:sz w:val="20"/>
              </w:rPr>
              <w:t xml:space="preserve">hormones d'</w:t>
            </w:r>
            <w:r>
              <w:rPr>
                <w:sz w:val="20"/>
              </w:rPr>
              <w:t xml:space="preserve">affirmation du genre </w:t>
            </w:r>
            <w:r>
              <w:rPr>
                <w:sz w:val="20"/>
              </w:rPr>
              <w:t xml:space="preserve">: </w:t>
            </w:r>
            <w:r>
              <w:rPr>
                <w:sz w:val="20"/>
              </w:rPr>
              <w:t xml:space="preserve">0,30 </w:t>
            </w:r>
            <w:r>
              <w:rPr>
                <w:sz w:val="20"/>
              </w:rPr>
              <w:t xml:space="preserve">(0,23 à </w:t>
            </w:r>
            <w:r>
              <w:rPr>
                <w:sz w:val="20"/>
              </w:rPr>
              <w:t xml:space="preserve">0,41) </w:t>
            </w:r>
            <w:r>
              <w:rPr>
                <w:sz w:val="20"/>
              </w:rPr>
              <w:t xml:space="preserve">g/cm3 </w:t>
            </w:r>
            <w:r>
              <w:rPr>
                <w:sz w:val="20"/>
              </w:rPr>
              <w:t xml:space="preserve">(p≤0,01) ;</w:t>
            </w:r>
          </w:p>
          <w:p>
            <w:pPr>
              <w:pStyle w:val="TableParagraph"/>
              <w:spacing w:before="1" w:line="229" w:lineRule="exact"/>
              <w:ind w:start="106"/>
              <w:rPr>
                <w:sz w:val="20"/>
              </w:rPr>
            </w:pPr>
            <w:r>
              <w:rPr>
                <w:sz w:val="20"/>
              </w:rPr>
              <w:t xml:space="preserve">z-score </w:t>
            </w:r>
            <w:r>
              <w:rPr>
                <w:sz w:val="20"/>
              </w:rPr>
              <w:t xml:space="preserve">GnRH </w:t>
            </w:r>
            <w:r>
              <w:rPr>
                <w:sz w:val="20"/>
              </w:rPr>
              <w:t xml:space="preserve">analogue : </w:t>
            </w:r>
            <w:r>
              <w:rPr>
                <w:sz w:val="20"/>
              </w:rPr>
              <w:t xml:space="preserve">0,27 </w:t>
            </w:r>
            <w:r>
              <w:rPr>
                <w:sz w:val="20"/>
              </w:rPr>
              <w:t xml:space="preserve">(-1,39 </w:t>
            </w:r>
            <w:r>
              <w:rPr>
                <w:sz w:val="20"/>
              </w:rPr>
              <w:t xml:space="preserve">à</w:t>
            </w:r>
          </w:p>
          <w:p>
            <w:pPr>
              <w:pStyle w:val="TableParagraph"/>
              <w:spacing w:line="229" w:lineRule="exact"/>
              <w:ind w:start="106"/>
              <w:rPr>
                <w:sz w:val="20"/>
              </w:rPr>
            </w:pPr>
            <w:r>
              <w:rPr>
                <w:sz w:val="20"/>
              </w:rPr>
              <w:t xml:space="preserve">1,32), les </w:t>
            </w:r>
            <w:r>
              <w:rPr>
                <w:sz w:val="20"/>
              </w:rPr>
              <w:t xml:space="preserve">hormones d'</w:t>
            </w:r>
            <w:r>
              <w:rPr>
                <w:sz w:val="20"/>
              </w:rPr>
              <w:t xml:space="preserve">affirmation du genre </w:t>
            </w:r>
            <w:r>
              <w:rPr>
                <w:sz w:val="20"/>
              </w:rPr>
              <w:t xml:space="preserve">: </w:t>
            </w:r>
            <w:r>
              <w:rPr>
                <w:sz w:val="20"/>
              </w:rPr>
              <w:t xml:space="preserve">−0.27</w:t>
            </w:r>
          </w:p>
          <w:p>
            <w:pPr>
              <w:pStyle w:val="TableParagraph"/>
              <w:spacing w:before="1" w:line="220" w:lineRule="exact"/>
              <w:ind w:start="106"/>
              <w:rPr>
                <w:sz w:val="20"/>
              </w:rPr>
            </w:pPr>
            <w:r>
              <w:rPr>
                <w:sz w:val="20"/>
              </w:rPr>
              <w:t xml:space="preserve">(-1,91 </w:t>
            </w:r>
            <w:r>
              <w:rPr>
                <w:sz w:val="20"/>
              </w:rPr>
              <w:t xml:space="preserve">à </w:t>
            </w:r>
            <w:r>
              <w:rPr>
                <w:sz w:val="20"/>
              </w:rPr>
              <w:t xml:space="preserve">1,29) </w:t>
            </w:r>
            <w:r>
              <w:rPr>
                <w:sz w:val="20"/>
              </w:rPr>
              <w:t xml:space="preserve">(p=0,002)</w:t>
            </w:r>
          </w:p>
        </w:tc>
        <w:tc>
          <w:tcPr>
            <w:tcW w:w="3203" w:type="dxa"/>
          </w:tcPr>
          <w:p w:rsidR="00432386" w:rsidRDefault="00432386">
            <w:pPr>
              <w:pStyle w:val="TableParagraph"/>
              <w:rPr>
                <w:rFonts w:ascii="Times New Roman"/>
                <w:sz w:val="18"/>
              </w:rPr>
            </w:pPr>
          </w:p>
        </w:tc>
      </w:tr>
    </w:tbl>
    <w:p w:rsidR="00432386" w:rsidRDefault="00432386">
      <w:pPr>
        <w:rPr>
          <w:rFonts w:ascii="Times New Roman"/>
          <w:sz w:val="18"/>
        </w:rPr>
        <w:sectPr w:rsidR="00432386">
          <w:type w:val="continuous"/>
          <w:pgSz w:w="16840" w:h="11910" w:orient="landscape"/>
          <w:pgMar w:top="980" w:right="500" w:bottom="1380" w:left="620" w:header="0" w:footer="1182" w:gutter="0"/>
          <w:cols w:space="720"/>
        </w:sectPr>
      </w:pPr>
    </w:p>
    <w:p>
      <w:pPr>
        <w:pStyle w:val="Titre1"/>
        <w:spacing w:before="123"/>
        <w:ind w:start="100"/>
      </w:pPr>
      <w:bookmarkStart w:name="_bookmark18" w:id="19"/>
      <w:bookmarkEnd w:id="19"/>
      <w:r>
        <w:rPr>
          <w:color w:val="365F91"/>
        </w:rPr>
        <w:lastRenderedPageBreak/>
        <w:t xml:space="preserve">Annexe </w:t>
      </w:r>
      <w:r>
        <w:rPr>
          <w:color w:val="365F91"/>
        </w:rPr>
        <w:t xml:space="preserve">F </w:t>
      </w:r>
      <w:r>
        <w:rPr>
          <w:color w:val="365F91"/>
        </w:rPr>
        <w:t xml:space="preserve">Listes de contrôle pour </w:t>
      </w:r>
      <w:r>
        <w:rPr>
          <w:color w:val="365F91"/>
        </w:rPr>
        <w:t xml:space="preserve">l'évaluation de la </w:t>
      </w:r>
      <w:r>
        <w:rPr>
          <w:color w:val="365F91"/>
        </w:rPr>
        <w:t xml:space="preserve">qualité</w:t>
      </w:r>
    </w:p>
    <w:p w:rsidR="00432386" w:rsidRDefault="00432386">
      <w:pPr>
        <w:pStyle w:val="Corpsdetexte"/>
        <w:spacing w:before="10"/>
        <w:ind w:start="0"/>
        <w:rPr>
          <w:b/>
          <w:sz w:val="20"/>
        </w:rPr>
      </w:pPr>
    </w:p>
    <w:p>
      <w:pPr>
        <w:ind w:start="100"/>
        <w:rPr>
          <w:b/>
          <w:i/>
          <w:sz w:val="24"/>
        </w:rPr>
      </w:pPr>
      <w:r>
        <w:rPr>
          <w:b/>
          <w:i/>
          <w:sz w:val="24"/>
        </w:rPr>
        <w:t xml:space="preserve">Outil de </w:t>
      </w:r>
      <w:r>
        <w:rPr>
          <w:b/>
          <w:i/>
          <w:sz w:val="24"/>
        </w:rPr>
        <w:t xml:space="preserve">Newcastle-Ottawa </w:t>
      </w:r>
      <w:r>
        <w:rPr>
          <w:b/>
          <w:i/>
          <w:sz w:val="24"/>
        </w:rPr>
        <w:t xml:space="preserve">pour les </w:t>
      </w:r>
      <w:r>
        <w:rPr>
          <w:b/>
          <w:i/>
          <w:sz w:val="24"/>
        </w:rPr>
        <w:t xml:space="preserve">études de </w:t>
      </w:r>
      <w:r>
        <w:rPr>
          <w:b/>
          <w:i/>
          <w:sz w:val="24"/>
        </w:rPr>
        <w:t xml:space="preserve">cohorte</w:t>
      </w:r>
    </w:p>
    <w:p w:rsidR="00432386" w:rsidRDefault="00432386">
      <w:pPr>
        <w:pStyle w:val="Corpsdetexte"/>
        <w:spacing w:before="0"/>
        <w:ind w:start="0"/>
        <w:rPr>
          <w:b/>
          <w:i/>
          <w:sz w:val="21"/>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4508"/>
        <w:gridCol w:w="4511"/>
      </w:tblGrid>
      <w:tr w:rsidR="00432386">
        <w:trPr>
          <w:trHeight w:val="290"/>
        </w:trPr>
        <w:tc>
          <w:tcPr>
            <w:tcW w:w="4508" w:type="dxa"/>
          </w:tcPr>
          <w:p>
            <w:pPr>
              <w:pStyle w:val="TableParagraph"/>
              <w:spacing w:line="229" w:lineRule="exact"/>
              <w:ind w:start="107"/>
              <w:rPr>
                <w:b/>
                <w:sz w:val="20"/>
              </w:rPr>
            </w:pPr>
            <w:r>
              <w:rPr>
                <w:b/>
                <w:sz w:val="20"/>
              </w:rPr>
              <w:t xml:space="preserve">Question</w:t>
            </w:r>
          </w:p>
        </w:tc>
        <w:tc>
          <w:tcPr>
            <w:tcW w:w="4511" w:type="dxa"/>
          </w:tcPr>
          <w:p w:rsidR="00432386" w:rsidRDefault="00432386">
            <w:pPr>
              <w:pStyle w:val="TableParagraph"/>
              <w:rPr>
                <w:rFonts w:ascii="Times New Roman"/>
                <w:sz w:val="20"/>
              </w:rPr>
            </w:pPr>
          </w:p>
        </w:tc>
      </w:tr>
      <w:tr w:rsidR="00432386">
        <w:trPr>
          <w:trHeight w:val="290"/>
        </w:trPr>
        <w:tc>
          <w:tcPr>
            <w:tcW w:w="4508" w:type="dxa"/>
          </w:tcPr>
          <w:p>
            <w:pPr>
              <w:pStyle w:val="TableParagraph"/>
              <w:spacing w:line="229" w:lineRule="exact"/>
              <w:ind w:start="107"/>
              <w:rPr>
                <w:sz w:val="20"/>
              </w:rPr>
            </w:pPr>
            <w:r>
              <w:rPr>
                <w:sz w:val="20"/>
              </w:rPr>
              <w:t xml:space="preserve">Domaine : </w:t>
            </w:r>
            <w:r>
              <w:rPr>
                <w:sz w:val="20"/>
              </w:rPr>
              <w:t xml:space="preserve">Sélection</w:t>
            </w:r>
          </w:p>
        </w:tc>
        <w:tc>
          <w:tcPr>
            <w:tcW w:w="4511" w:type="dxa"/>
          </w:tcPr>
          <w:p w:rsidR="00432386" w:rsidRDefault="00432386">
            <w:pPr>
              <w:pStyle w:val="TableParagraph"/>
              <w:rPr>
                <w:rFonts w:ascii="Times New Roman"/>
                <w:sz w:val="20"/>
              </w:rPr>
            </w:pPr>
          </w:p>
        </w:tc>
      </w:tr>
      <w:tr w:rsidR="00432386">
        <w:trPr>
          <w:trHeight w:val="1619"/>
        </w:trPr>
        <w:tc>
          <w:tcPr>
            <w:tcW w:w="4508" w:type="dxa"/>
          </w:tcPr>
          <w:p>
            <w:pPr>
              <w:pStyle w:val="TableParagraph"/>
              <w:spacing w:line="229" w:lineRule="exact"/>
              <w:ind w:start="107"/>
              <w:rPr>
                <w:sz w:val="20"/>
              </w:rPr>
            </w:pPr>
            <w:r>
              <w:rPr>
                <w:sz w:val="20"/>
              </w:rPr>
              <w:t xml:space="preserve">1. </w:t>
            </w:r>
            <w:r>
              <w:rPr>
                <w:sz w:val="20"/>
              </w:rPr>
              <w:t xml:space="preserve">Représentativité </w:t>
            </w:r>
            <w:r>
              <w:rPr>
                <w:sz w:val="20"/>
              </w:rPr>
              <w:t xml:space="preserve">de la </w:t>
            </w:r>
            <w:r>
              <w:rPr>
                <w:sz w:val="20"/>
              </w:rPr>
              <w:t xml:space="preserve">cohorte </w:t>
            </w:r>
            <w:r>
              <w:rPr>
                <w:sz w:val="20"/>
              </w:rPr>
              <w:t xml:space="preserve">exposée</w:t>
            </w:r>
          </w:p>
        </w:tc>
        <w:tc>
          <w:tcPr>
            <w:tcW w:w="4511" w:type="dxa"/>
          </w:tcPr>
          <w:p>
            <w:pPr>
              <w:pStyle w:val="TableParagraph"/>
              <w:ind w:start="107"/>
              <w:rPr>
                <w:sz w:val="20"/>
              </w:rPr>
            </w:pPr>
            <w:r>
              <w:rPr>
                <w:sz w:val="20"/>
              </w:rPr>
              <w:t xml:space="preserve">Vraiment </w:t>
            </w:r>
            <w:r>
              <w:rPr>
                <w:sz w:val="20"/>
              </w:rPr>
              <w:t xml:space="preserve">représentatif </w:t>
            </w:r>
            <w:r>
              <w:rPr>
                <w:sz w:val="20"/>
              </w:rPr>
              <w:t xml:space="preserve">de </w:t>
            </w:r>
            <w:r>
              <w:rPr>
                <w:sz w:val="20"/>
              </w:rPr>
              <w:t xml:space="preserve">la </w:t>
            </w:r>
            <w:r>
              <w:rPr>
                <w:sz w:val="20"/>
              </w:rPr>
              <w:t xml:space="preserve">moyenne </w:t>
            </w:r>
            <w:r>
              <w:rPr>
                <w:sz w:val="20"/>
              </w:rPr>
              <w:t xml:space="preserve">[décrivez] </w:t>
            </w:r>
            <w:r>
              <w:rPr>
                <w:sz w:val="20"/>
              </w:rPr>
              <w:t xml:space="preserve">de la </w:t>
            </w:r>
            <w:r>
              <w:rPr>
                <w:sz w:val="20"/>
              </w:rPr>
              <w:t xml:space="preserve">communauté</w:t>
            </w:r>
            <w:r>
              <w:rPr>
                <w:sz w:val="20"/>
              </w:rPr>
              <w:t xml:space="preserve">.</w:t>
            </w:r>
          </w:p>
          <w:p>
            <w:pPr>
              <w:pStyle w:val="TableParagraph"/>
              <w:spacing w:before="58"/>
              <w:ind w:start="107"/>
              <w:rPr>
                <w:sz w:val="20"/>
              </w:rPr>
            </w:pPr>
            <w:r>
              <w:rPr>
                <w:sz w:val="20"/>
              </w:rPr>
              <w:t xml:space="preserve">Assez </w:t>
            </w:r>
            <w:r>
              <w:rPr>
                <w:sz w:val="20"/>
              </w:rPr>
              <w:t xml:space="preserve">représentatif </w:t>
            </w:r>
            <w:r>
              <w:rPr>
                <w:sz w:val="20"/>
              </w:rPr>
              <w:t xml:space="preserve">de </w:t>
            </w:r>
            <w:r>
              <w:rPr>
                <w:sz w:val="20"/>
              </w:rPr>
              <w:t xml:space="preserve">la </w:t>
            </w:r>
            <w:r>
              <w:rPr>
                <w:sz w:val="20"/>
              </w:rPr>
              <w:t xml:space="preserve">moyenne </w:t>
            </w:r>
            <w:r>
              <w:rPr>
                <w:sz w:val="20"/>
              </w:rPr>
              <w:t xml:space="preserve">[décrire] de la </w:t>
            </w:r>
            <w:r>
              <w:rPr>
                <w:sz w:val="20"/>
              </w:rPr>
              <w:t xml:space="preserve">communauté</w:t>
            </w:r>
          </w:p>
          <w:p>
            <w:pPr>
              <w:pStyle w:val="TableParagraph"/>
              <w:spacing w:line="290" w:lineRule="atLeast"/>
              <w:ind w:start="107"/>
              <w:rPr>
                <w:sz w:val="20"/>
              </w:rPr>
            </w:pPr>
            <w:r>
              <w:rPr>
                <w:sz w:val="20"/>
              </w:rPr>
              <w:t xml:space="preserve">Groupe </w:t>
            </w:r>
            <w:r>
              <w:rPr>
                <w:sz w:val="20"/>
              </w:rPr>
              <w:t xml:space="preserve">sélectionné </w:t>
            </w:r>
            <w:r>
              <w:rPr>
                <w:sz w:val="20"/>
              </w:rPr>
              <w:t xml:space="preserve">d'</w:t>
            </w:r>
            <w:r>
              <w:rPr>
                <w:sz w:val="20"/>
              </w:rPr>
              <w:t xml:space="preserve">utilisateurs, par exemple </w:t>
            </w:r>
            <w:r>
              <w:rPr>
                <w:sz w:val="20"/>
              </w:rPr>
              <w:t xml:space="preserve">des </w:t>
            </w:r>
            <w:r>
              <w:rPr>
                <w:sz w:val="20"/>
              </w:rPr>
              <w:t xml:space="preserve">infirmières, des </w:t>
            </w:r>
            <w:r>
              <w:rPr>
                <w:sz w:val="20"/>
              </w:rPr>
              <w:t xml:space="preserve">volontaires </w:t>
            </w:r>
            <w:r>
              <w:rPr>
                <w:sz w:val="20"/>
              </w:rPr>
              <w:t xml:space="preserve">Pas de </w:t>
            </w:r>
            <w:r>
              <w:rPr>
                <w:sz w:val="20"/>
              </w:rPr>
              <w:t xml:space="preserve">description </w:t>
            </w:r>
            <w:r>
              <w:rPr>
                <w:sz w:val="20"/>
              </w:rPr>
              <w:t xml:space="preserve">de la </w:t>
            </w:r>
            <w:r>
              <w:rPr>
                <w:sz w:val="20"/>
              </w:rPr>
              <w:t xml:space="preserve">dérivation de </w:t>
            </w:r>
            <w:r>
              <w:rPr>
                <w:sz w:val="20"/>
              </w:rPr>
              <w:t xml:space="preserve">la </w:t>
            </w:r>
            <w:r>
              <w:rPr>
                <w:sz w:val="20"/>
              </w:rPr>
              <w:t xml:space="preserve">cohorte</w:t>
            </w:r>
          </w:p>
        </w:tc>
      </w:tr>
      <w:tr w:rsidR="00432386">
        <w:trPr>
          <w:trHeight w:val="1329"/>
        </w:trPr>
        <w:tc>
          <w:tcPr>
            <w:tcW w:w="4508" w:type="dxa"/>
          </w:tcPr>
          <w:p>
            <w:pPr>
              <w:pStyle w:val="TableParagraph"/>
              <w:spacing w:line="229" w:lineRule="exact"/>
              <w:ind w:start="107"/>
              <w:rPr>
                <w:sz w:val="20"/>
              </w:rPr>
            </w:pPr>
            <w:r>
              <w:rPr>
                <w:sz w:val="20"/>
              </w:rPr>
              <w:t xml:space="preserve">2. </w:t>
            </w:r>
            <w:r>
              <w:rPr>
                <w:sz w:val="20"/>
              </w:rPr>
              <w:t xml:space="preserve">Sélection </w:t>
            </w:r>
            <w:r>
              <w:rPr>
                <w:sz w:val="20"/>
              </w:rPr>
              <w:t xml:space="preserve">de </w:t>
            </w:r>
            <w:r>
              <w:rPr>
                <w:sz w:val="20"/>
              </w:rPr>
              <w:t xml:space="preserve">la </w:t>
            </w:r>
            <w:r>
              <w:rPr>
                <w:sz w:val="20"/>
              </w:rPr>
              <w:t xml:space="preserve">cohorte </w:t>
            </w:r>
            <w:r>
              <w:rPr>
                <w:sz w:val="20"/>
              </w:rPr>
              <w:t xml:space="preserve">non exposée</w:t>
            </w:r>
          </w:p>
        </w:tc>
        <w:tc>
          <w:tcPr>
            <w:tcW w:w="4511" w:type="dxa"/>
          </w:tcPr>
          <w:p>
            <w:pPr>
              <w:pStyle w:val="TableParagraph"/>
              <w:ind w:start="107" w:end="860"/>
              <w:rPr>
                <w:sz w:val="20"/>
              </w:rPr>
            </w:pPr>
            <w:r>
              <w:rPr>
                <w:sz w:val="20"/>
              </w:rPr>
              <w:t xml:space="preserve">Tiré </w:t>
            </w:r>
            <w:r>
              <w:rPr>
                <w:sz w:val="20"/>
              </w:rPr>
              <w:t xml:space="preserve">de la </w:t>
            </w:r>
            <w:r>
              <w:rPr>
                <w:sz w:val="20"/>
              </w:rPr>
              <w:t xml:space="preserve">même </w:t>
            </w:r>
            <w:r>
              <w:rPr>
                <w:sz w:val="20"/>
              </w:rPr>
              <w:t xml:space="preserve">communauté </w:t>
            </w:r>
            <w:r>
              <w:rPr>
                <w:sz w:val="20"/>
              </w:rPr>
              <w:t xml:space="preserve">que </w:t>
            </w:r>
            <w:r>
              <w:rPr>
                <w:sz w:val="20"/>
              </w:rPr>
              <w:t xml:space="preserve">la </w:t>
            </w:r>
            <w:r>
              <w:rPr>
                <w:sz w:val="20"/>
              </w:rPr>
              <w:t xml:space="preserve">cohorte </w:t>
            </w:r>
            <w:r>
              <w:rPr>
                <w:sz w:val="20"/>
              </w:rPr>
              <w:t xml:space="preserve">exposée</w:t>
            </w:r>
          </w:p>
          <w:p>
            <w:pPr>
              <w:pStyle w:val="TableParagraph"/>
              <w:spacing w:before="61"/>
              <w:ind w:start="107"/>
              <w:rPr>
                <w:sz w:val="20"/>
              </w:rPr>
            </w:pPr>
            <w:r>
              <w:rPr>
                <w:sz w:val="20"/>
              </w:rPr>
              <w:t xml:space="preserve">Tiré </w:t>
            </w:r>
            <w:r>
              <w:rPr>
                <w:sz w:val="20"/>
              </w:rPr>
              <w:t xml:space="preserve">d'</w:t>
            </w:r>
            <w:r>
              <w:rPr>
                <w:sz w:val="20"/>
              </w:rPr>
              <w:t xml:space="preserve">une </w:t>
            </w:r>
            <w:r>
              <w:rPr>
                <w:sz w:val="20"/>
              </w:rPr>
              <w:t xml:space="preserve">autre </w:t>
            </w:r>
            <w:r>
              <w:rPr>
                <w:sz w:val="20"/>
              </w:rPr>
              <w:t xml:space="preserve">source</w:t>
            </w:r>
          </w:p>
          <w:p>
            <w:pPr>
              <w:pStyle w:val="TableParagraph"/>
              <w:spacing w:before="58"/>
              <w:ind w:start="107" w:end="605"/>
              <w:rPr>
                <w:sz w:val="20"/>
              </w:rPr>
            </w:pPr>
            <w:r>
              <w:rPr>
                <w:sz w:val="20"/>
              </w:rPr>
              <w:t xml:space="preserve">Aucune description de la dérivation de la </w:t>
            </w:r>
            <w:r>
              <w:rPr>
                <w:sz w:val="20"/>
              </w:rPr>
              <w:t xml:space="preserve">cohorte </w:t>
            </w:r>
            <w:r>
              <w:rPr>
                <w:sz w:val="20"/>
              </w:rPr>
              <w:t xml:space="preserve">non </w:t>
            </w:r>
            <w:r>
              <w:rPr>
                <w:sz w:val="20"/>
              </w:rPr>
              <w:t xml:space="preserve">exposée.</w:t>
            </w:r>
          </w:p>
        </w:tc>
      </w:tr>
      <w:tr w:rsidR="00432386">
        <w:trPr>
          <w:trHeight w:val="1161"/>
        </w:trPr>
        <w:tc>
          <w:tcPr>
            <w:tcW w:w="4508" w:type="dxa"/>
          </w:tcPr>
          <w:p>
            <w:pPr>
              <w:pStyle w:val="TableParagraph"/>
              <w:spacing w:line="229" w:lineRule="exact"/>
              <w:ind w:start="107"/>
              <w:rPr>
                <w:sz w:val="20"/>
              </w:rPr>
            </w:pPr>
            <w:r>
              <w:rPr>
                <w:sz w:val="20"/>
              </w:rPr>
              <w:t xml:space="preserve">3. </w:t>
            </w:r>
            <w:r>
              <w:rPr>
                <w:sz w:val="20"/>
              </w:rPr>
              <w:t xml:space="preserve">Détermination de </w:t>
            </w:r>
            <w:r>
              <w:rPr>
                <w:sz w:val="20"/>
              </w:rPr>
              <w:t xml:space="preserve">l'</w:t>
            </w:r>
            <w:r>
              <w:rPr>
                <w:sz w:val="20"/>
              </w:rPr>
              <w:t xml:space="preserve">exposition</w:t>
            </w:r>
          </w:p>
        </w:tc>
        <w:tc>
          <w:tcPr>
            <w:tcW w:w="4511" w:type="dxa"/>
          </w:tcPr>
          <w:p>
            <w:pPr>
              <w:pStyle w:val="TableParagraph"/>
              <w:spacing w:line="302" w:lineRule="auto"/>
              <w:ind w:start="107" w:end="860"/>
              <w:rPr>
                <w:sz w:val="20"/>
              </w:rPr>
            </w:pPr>
            <w:r>
              <w:rPr>
                <w:sz w:val="20"/>
              </w:rPr>
              <w:t xml:space="preserve">Dossier </w:t>
            </w:r>
            <w:r>
              <w:rPr>
                <w:sz w:val="20"/>
              </w:rPr>
              <w:t xml:space="preserve">sécurisé </w:t>
            </w:r>
            <w:r>
              <w:rPr>
                <w:sz w:val="20"/>
              </w:rPr>
              <w:t xml:space="preserve">(par exemple, </w:t>
            </w:r>
            <w:r>
              <w:rPr>
                <w:sz w:val="20"/>
              </w:rPr>
              <w:t xml:space="preserve">dossier </w:t>
            </w:r>
            <w:r>
              <w:rPr>
                <w:sz w:val="20"/>
              </w:rPr>
              <w:t xml:space="preserve">chirurgical</w:t>
            </w:r>
            <w:r>
              <w:rPr>
                <w:sz w:val="20"/>
              </w:rPr>
              <w:t xml:space="preserve">) </w:t>
            </w:r>
            <w:r>
              <w:rPr>
                <w:sz w:val="20"/>
              </w:rPr>
              <w:t xml:space="preserve">Entretien structuré</w:t>
            </w:r>
          </w:p>
          <w:p>
            <w:pPr>
              <w:pStyle w:val="TableParagraph"/>
              <w:ind w:start="107"/>
              <w:rPr>
                <w:sz w:val="20"/>
              </w:rPr>
            </w:pPr>
            <w:r>
              <w:rPr>
                <w:sz w:val="20"/>
              </w:rPr>
              <w:t xml:space="preserve">Auto-évaluation </w:t>
            </w:r>
            <w:r>
              <w:rPr>
                <w:sz w:val="20"/>
              </w:rPr>
              <w:t xml:space="preserve">écrite</w:t>
            </w:r>
          </w:p>
          <w:p>
            <w:pPr>
              <w:pStyle w:val="TableParagraph"/>
              <w:spacing w:before="61"/>
              <w:ind w:start="107"/>
              <w:rPr>
                <w:sz w:val="20"/>
              </w:rPr>
            </w:pPr>
            <w:r>
              <w:rPr>
                <w:sz w:val="20"/>
              </w:rPr>
              <w:t xml:space="preserve">Aucune </w:t>
            </w:r>
            <w:r>
              <w:rPr>
                <w:sz w:val="20"/>
              </w:rPr>
              <w:t xml:space="preserve">description</w:t>
            </w:r>
          </w:p>
        </w:tc>
      </w:tr>
      <w:tr w:rsidR="00432386">
        <w:trPr>
          <w:trHeight w:val="517"/>
        </w:trPr>
        <w:tc>
          <w:tcPr>
            <w:tcW w:w="4508" w:type="dxa"/>
          </w:tcPr>
          <w:p>
            <w:pPr>
              <w:pStyle w:val="TableParagraph"/>
              <w:ind w:start="107" w:end="85"/>
              <w:rPr>
                <w:sz w:val="20"/>
              </w:rPr>
            </w:pPr>
            <w:r>
              <w:rPr>
                <w:sz w:val="20"/>
              </w:rPr>
              <w:t xml:space="preserve">4. </w:t>
            </w:r>
            <w:r>
              <w:rPr>
                <w:sz w:val="20"/>
              </w:rPr>
              <w:t xml:space="preserve">Démonstration </w:t>
            </w:r>
            <w:r>
              <w:rPr>
                <w:sz w:val="20"/>
              </w:rPr>
              <w:t xml:space="preserve">que le </w:t>
            </w:r>
            <w:r>
              <w:rPr>
                <w:sz w:val="20"/>
              </w:rPr>
              <w:t xml:space="preserve">résultat </w:t>
            </w:r>
            <w:r>
              <w:rPr>
                <w:sz w:val="20"/>
              </w:rPr>
              <w:t xml:space="preserve">d'</w:t>
            </w:r>
            <w:r>
              <w:rPr>
                <w:sz w:val="20"/>
              </w:rPr>
              <w:t xml:space="preserve">intérêt </w:t>
            </w:r>
            <w:r>
              <w:rPr>
                <w:sz w:val="20"/>
              </w:rPr>
              <w:t xml:space="preserve">n'</w:t>
            </w:r>
            <w:r>
              <w:rPr>
                <w:sz w:val="20"/>
              </w:rPr>
              <w:t xml:space="preserve">était </w:t>
            </w:r>
            <w:r>
              <w:rPr>
                <w:sz w:val="20"/>
              </w:rPr>
              <w:t xml:space="preserve">pas </w:t>
            </w:r>
            <w:r>
              <w:rPr>
                <w:sz w:val="20"/>
              </w:rPr>
              <w:t xml:space="preserve">présent </w:t>
            </w:r>
            <w:r>
              <w:rPr>
                <w:sz w:val="20"/>
              </w:rPr>
              <w:t xml:space="preserve">au </w:t>
            </w:r>
            <w:r>
              <w:rPr>
                <w:sz w:val="20"/>
              </w:rPr>
              <w:t xml:space="preserve">début de </w:t>
            </w:r>
            <w:r>
              <w:rPr>
                <w:sz w:val="20"/>
              </w:rPr>
              <w:t xml:space="preserve">l'</w:t>
            </w:r>
            <w:r>
              <w:rPr>
                <w:sz w:val="20"/>
              </w:rPr>
              <w:t xml:space="preserve">étude.</w:t>
            </w:r>
          </w:p>
        </w:tc>
        <w:tc>
          <w:tcPr>
            <w:tcW w:w="4511" w:type="dxa"/>
          </w:tcPr>
          <w:p>
            <w:pPr>
              <w:pStyle w:val="TableParagraph"/>
              <w:spacing w:line="229" w:lineRule="exact"/>
              <w:ind w:start="107"/>
              <w:rPr>
                <w:sz w:val="20"/>
              </w:rPr>
            </w:pPr>
            <w:r>
              <w:rPr>
                <w:sz w:val="20"/>
              </w:rPr>
              <w:t xml:space="preserve">Oui </w:t>
            </w:r>
            <w:r>
              <w:rPr>
                <w:sz w:val="20"/>
              </w:rPr>
              <w:t xml:space="preserve">/ </w:t>
            </w:r>
            <w:r>
              <w:rPr>
                <w:sz w:val="20"/>
              </w:rPr>
              <w:t xml:space="preserve">Non</w:t>
            </w:r>
          </w:p>
        </w:tc>
      </w:tr>
      <w:tr w:rsidR="00432386">
        <w:trPr>
          <w:trHeight w:val="289"/>
        </w:trPr>
        <w:tc>
          <w:tcPr>
            <w:tcW w:w="4508" w:type="dxa"/>
          </w:tcPr>
          <w:p>
            <w:pPr>
              <w:pStyle w:val="TableParagraph"/>
              <w:spacing w:before="2"/>
              <w:ind w:start="107"/>
              <w:rPr>
                <w:sz w:val="20"/>
              </w:rPr>
            </w:pPr>
            <w:r>
              <w:rPr>
                <w:sz w:val="20"/>
              </w:rPr>
              <w:t xml:space="preserve">Domaine : </w:t>
            </w:r>
            <w:r>
              <w:rPr>
                <w:sz w:val="20"/>
              </w:rPr>
              <w:t xml:space="preserve">Comparabilité</w:t>
            </w:r>
          </w:p>
        </w:tc>
        <w:tc>
          <w:tcPr>
            <w:tcW w:w="4511" w:type="dxa"/>
          </w:tcPr>
          <w:p w:rsidR="00432386" w:rsidRDefault="00432386">
            <w:pPr>
              <w:pStyle w:val="TableParagraph"/>
              <w:rPr>
                <w:rFonts w:ascii="Times New Roman"/>
                <w:sz w:val="20"/>
              </w:rPr>
            </w:pPr>
          </w:p>
        </w:tc>
      </w:tr>
      <w:tr w:rsidR="00432386">
        <w:trPr>
          <w:trHeight w:val="1041"/>
        </w:trPr>
        <w:tc>
          <w:tcPr>
            <w:tcW w:w="4508" w:type="dxa"/>
          </w:tcPr>
          <w:p>
            <w:pPr>
              <w:pStyle w:val="TableParagraph"/>
              <w:ind w:start="107"/>
              <w:rPr>
                <w:sz w:val="20"/>
              </w:rPr>
            </w:pPr>
            <w:r>
              <w:rPr>
                <w:sz w:val="20"/>
              </w:rPr>
              <w:t xml:space="preserve">1. </w:t>
            </w:r>
            <w:r>
              <w:rPr>
                <w:sz w:val="20"/>
              </w:rPr>
              <w:t xml:space="preserve">Comparabilité </w:t>
            </w:r>
            <w:r>
              <w:rPr>
                <w:sz w:val="20"/>
              </w:rPr>
              <w:t xml:space="preserve">des </w:t>
            </w:r>
            <w:r>
              <w:rPr>
                <w:sz w:val="20"/>
              </w:rPr>
              <w:t xml:space="preserve">cohortes </w:t>
            </w:r>
            <w:r>
              <w:rPr>
                <w:sz w:val="20"/>
              </w:rPr>
              <w:t xml:space="preserve">sur la </w:t>
            </w:r>
            <w:r>
              <w:rPr>
                <w:sz w:val="20"/>
              </w:rPr>
              <w:t xml:space="preserve">base de </w:t>
            </w:r>
            <w:r>
              <w:rPr>
                <w:sz w:val="20"/>
              </w:rPr>
              <w:t xml:space="preserve">la </w:t>
            </w:r>
            <w:r>
              <w:rPr>
                <w:sz w:val="20"/>
              </w:rPr>
              <w:t xml:space="preserve">conception </w:t>
            </w:r>
            <w:r>
              <w:rPr>
                <w:sz w:val="20"/>
              </w:rPr>
              <w:t xml:space="preserve">ou de l'analyse</w:t>
            </w:r>
          </w:p>
        </w:tc>
        <w:tc>
          <w:tcPr>
            <w:tcW w:w="4511" w:type="dxa"/>
          </w:tcPr>
          <w:p>
            <w:pPr>
              <w:pStyle w:val="TableParagraph"/>
              <w:spacing w:before="2"/>
              <w:ind w:start="107"/>
              <w:rPr>
                <w:sz w:val="20"/>
              </w:rPr>
            </w:pPr>
            <w:r>
              <w:rPr>
                <w:sz w:val="20"/>
              </w:rPr>
              <w:t xml:space="preserve">L'</w:t>
            </w:r>
            <w:r>
              <w:rPr>
                <w:sz w:val="20"/>
              </w:rPr>
              <w:t xml:space="preserve">étude </w:t>
            </w:r>
            <w:r>
              <w:rPr>
                <w:sz w:val="20"/>
              </w:rPr>
              <w:t xml:space="preserve">contrôle </w:t>
            </w:r>
            <w:r>
              <w:rPr>
                <w:sz w:val="20"/>
              </w:rPr>
              <w:t xml:space="preserve">[sélectionnez le </w:t>
            </w:r>
            <w:r>
              <w:rPr>
                <w:sz w:val="20"/>
              </w:rPr>
              <w:t xml:space="preserve">facteur </w:t>
            </w:r>
            <w:r>
              <w:rPr>
                <w:sz w:val="20"/>
              </w:rPr>
              <w:t xml:space="preserve">le plus </w:t>
            </w:r>
            <w:r>
              <w:rPr>
                <w:sz w:val="20"/>
              </w:rPr>
              <w:t xml:space="preserve">important</w:t>
            </w:r>
            <w:r>
              <w:rPr>
                <w:sz w:val="20"/>
              </w:rPr>
              <w:t xml:space="preserve">]</w:t>
            </w:r>
          </w:p>
          <w:p>
            <w:pPr>
              <w:pStyle w:val="TableParagraph"/>
              <w:spacing w:before="58"/>
              <w:ind w:start="107"/>
              <w:rPr>
                <w:sz w:val="20"/>
              </w:rPr>
            </w:pPr>
            <w:r>
              <w:rPr>
                <w:sz w:val="20"/>
              </w:rPr>
              <w:t xml:space="preserve">L'étude contrôle tout facteur supplémentaire [ce </w:t>
            </w:r>
            <w:r>
              <w:rPr>
                <w:sz w:val="20"/>
              </w:rPr>
              <w:t xml:space="preserve">critère </w:t>
            </w:r>
            <w:r>
              <w:rPr>
                <w:sz w:val="20"/>
              </w:rPr>
              <w:t xml:space="preserve">pourrait </w:t>
            </w:r>
            <w:r>
              <w:rPr>
                <w:sz w:val="20"/>
              </w:rPr>
              <w:t xml:space="preserve">être </w:t>
            </w:r>
            <w:r>
              <w:rPr>
                <w:sz w:val="20"/>
              </w:rPr>
              <w:t xml:space="preserve">modifié </w:t>
            </w:r>
            <w:r>
              <w:rPr>
                <w:sz w:val="20"/>
              </w:rPr>
              <w:t xml:space="preserve">pour </w:t>
            </w:r>
            <w:r>
              <w:rPr>
                <w:sz w:val="20"/>
              </w:rPr>
              <w:t xml:space="preserve">indiquer le </w:t>
            </w:r>
            <w:r>
              <w:rPr>
                <w:sz w:val="20"/>
              </w:rPr>
              <w:t xml:space="preserve">contrôle </w:t>
            </w:r>
            <w:r>
              <w:rPr>
                <w:sz w:val="20"/>
              </w:rPr>
              <w:t xml:space="preserve">spécifique </w:t>
            </w:r>
            <w:r>
              <w:rPr>
                <w:sz w:val="20"/>
              </w:rPr>
              <w:t xml:space="preserve">d'</w:t>
            </w:r>
            <w:r>
              <w:rPr>
                <w:sz w:val="20"/>
              </w:rPr>
              <w:t xml:space="preserve">un </w:t>
            </w:r>
            <w:r>
              <w:rPr>
                <w:sz w:val="20"/>
              </w:rPr>
              <w:t xml:space="preserve">deuxième </w:t>
            </w:r>
            <w:r>
              <w:rPr>
                <w:sz w:val="20"/>
              </w:rPr>
              <w:t xml:space="preserve">facteur </w:t>
            </w:r>
            <w:r>
              <w:rPr>
                <w:sz w:val="20"/>
              </w:rPr>
              <w:t xml:space="preserve">important</w:t>
            </w:r>
            <w:r>
              <w:rPr>
                <w:sz w:val="20"/>
              </w:rPr>
              <w:t xml:space="preserve">].</w:t>
            </w:r>
          </w:p>
        </w:tc>
      </w:tr>
      <w:tr w:rsidR="00432386">
        <w:trPr>
          <w:trHeight w:val="290"/>
        </w:trPr>
        <w:tc>
          <w:tcPr>
            <w:tcW w:w="4508" w:type="dxa"/>
          </w:tcPr>
          <w:p>
            <w:pPr>
              <w:pStyle w:val="TableParagraph"/>
              <w:ind w:start="107"/>
              <w:rPr>
                <w:sz w:val="20"/>
              </w:rPr>
            </w:pPr>
            <w:r>
              <w:rPr>
                <w:sz w:val="20"/>
              </w:rPr>
              <w:t xml:space="preserve">Domaine : </w:t>
            </w:r>
            <w:r>
              <w:rPr>
                <w:sz w:val="20"/>
              </w:rPr>
              <w:t xml:space="preserve">Résultats</w:t>
            </w:r>
          </w:p>
        </w:tc>
        <w:tc>
          <w:tcPr>
            <w:tcW w:w="4511" w:type="dxa"/>
          </w:tcPr>
          <w:p w:rsidR="00432386" w:rsidRDefault="00432386">
            <w:pPr>
              <w:pStyle w:val="TableParagraph"/>
              <w:rPr>
                <w:rFonts w:ascii="Times New Roman"/>
                <w:sz w:val="20"/>
              </w:rPr>
            </w:pPr>
          </w:p>
        </w:tc>
      </w:tr>
      <w:tr w:rsidR="00432386">
        <w:trPr>
          <w:trHeight w:val="1158"/>
        </w:trPr>
        <w:tc>
          <w:tcPr>
            <w:tcW w:w="4508" w:type="dxa"/>
          </w:tcPr>
          <w:p>
            <w:pPr>
              <w:pStyle w:val="TableParagraph"/>
              <w:spacing w:line="229" w:lineRule="exact"/>
              <w:ind w:start="107"/>
              <w:rPr>
                <w:sz w:val="20"/>
              </w:rPr>
            </w:pPr>
            <w:r>
              <w:rPr>
                <w:sz w:val="20"/>
              </w:rPr>
              <w:t xml:space="preserve">1. </w:t>
            </w:r>
            <w:r>
              <w:rPr>
                <w:sz w:val="20"/>
              </w:rPr>
              <w:t xml:space="preserve">Évaluation </w:t>
            </w:r>
            <w:r>
              <w:rPr>
                <w:sz w:val="20"/>
              </w:rPr>
              <w:t xml:space="preserve">des </w:t>
            </w:r>
            <w:r>
              <w:rPr>
                <w:sz w:val="20"/>
              </w:rPr>
              <w:t xml:space="preserve">résultats</w:t>
            </w:r>
          </w:p>
        </w:tc>
        <w:tc>
          <w:tcPr>
            <w:tcW w:w="4511" w:type="dxa"/>
          </w:tcPr>
          <w:p>
            <w:pPr>
              <w:pStyle w:val="TableParagraph"/>
              <w:spacing w:line="302" w:lineRule="auto"/>
              <w:ind w:start="107" w:end="1676"/>
              <w:rPr>
                <w:sz w:val="20"/>
              </w:rPr>
            </w:pPr>
            <w:r>
              <w:rPr>
                <w:sz w:val="20"/>
              </w:rPr>
              <w:t xml:space="preserve">Évaluation </w:t>
            </w:r>
            <w:r>
              <w:rPr>
                <w:sz w:val="20"/>
              </w:rPr>
              <w:t xml:space="preserve">indépendante </w:t>
            </w:r>
            <w:r>
              <w:rPr>
                <w:sz w:val="20"/>
              </w:rPr>
              <w:t xml:space="preserve">en aveugle </w:t>
            </w:r>
            <w:r>
              <w:rPr>
                <w:sz w:val="20"/>
              </w:rPr>
              <w:t xml:space="preserve">Lien entre les </w:t>
            </w:r>
            <w:r>
              <w:rPr>
                <w:sz w:val="20"/>
              </w:rPr>
              <w:t xml:space="preserve">enregistrements</w:t>
            </w:r>
          </w:p>
          <w:p>
            <w:pPr>
              <w:pStyle w:val="TableParagraph"/>
              <w:ind w:start="107"/>
              <w:rPr>
                <w:sz w:val="20"/>
              </w:rPr>
            </w:pPr>
            <w:r>
              <w:rPr>
                <w:sz w:val="20"/>
              </w:rPr>
              <w:t xml:space="preserve">Auto-évaluation</w:t>
            </w:r>
          </w:p>
          <w:p>
            <w:pPr>
              <w:pStyle w:val="TableParagraph"/>
              <w:spacing w:before="61"/>
              <w:ind w:start="107"/>
              <w:rPr>
                <w:sz w:val="20"/>
              </w:rPr>
            </w:pPr>
            <w:r>
              <w:rPr>
                <w:sz w:val="20"/>
              </w:rPr>
              <w:t xml:space="preserve">Aucune </w:t>
            </w:r>
            <w:r>
              <w:rPr>
                <w:sz w:val="20"/>
              </w:rPr>
              <w:t xml:space="preserve">description</w:t>
            </w:r>
          </w:p>
        </w:tc>
      </w:tr>
      <w:tr w:rsidR="00432386">
        <w:trPr>
          <w:trHeight w:val="1101"/>
        </w:trPr>
        <w:tc>
          <w:tcPr>
            <w:tcW w:w="4508" w:type="dxa"/>
          </w:tcPr>
          <w:p>
            <w:pPr>
              <w:pStyle w:val="TableParagraph"/>
              <w:ind w:start="107"/>
              <w:rPr>
                <w:sz w:val="20"/>
              </w:rPr>
            </w:pPr>
            <w:r>
              <w:rPr>
                <w:sz w:val="20"/>
              </w:rPr>
              <w:t xml:space="preserve">2. Le </w:t>
            </w:r>
            <w:r>
              <w:rPr>
                <w:sz w:val="20"/>
              </w:rPr>
              <w:t xml:space="preserve">suivi </w:t>
            </w:r>
            <w:r>
              <w:rPr>
                <w:sz w:val="20"/>
              </w:rPr>
              <w:t xml:space="preserve">a-t-il été </w:t>
            </w:r>
            <w:r>
              <w:rPr>
                <w:sz w:val="20"/>
              </w:rPr>
              <w:t xml:space="preserve">suffisamment </w:t>
            </w:r>
            <w:r>
              <w:rPr>
                <w:sz w:val="20"/>
              </w:rPr>
              <w:t xml:space="preserve">long </w:t>
            </w:r>
            <w:r>
              <w:rPr>
                <w:sz w:val="20"/>
              </w:rPr>
              <w:t xml:space="preserve">pour que </w:t>
            </w:r>
            <w:r>
              <w:rPr>
                <w:sz w:val="20"/>
              </w:rPr>
              <w:t xml:space="preserve">les </w:t>
            </w:r>
            <w:r>
              <w:rPr>
                <w:sz w:val="20"/>
              </w:rPr>
              <w:t xml:space="preserve">résultats </w:t>
            </w:r>
            <w:r>
              <w:rPr>
                <w:sz w:val="20"/>
              </w:rPr>
              <w:t xml:space="preserve">se produisent ?</w:t>
            </w:r>
          </w:p>
        </w:tc>
        <w:tc>
          <w:tcPr>
            <w:tcW w:w="4511" w:type="dxa"/>
          </w:tcPr>
          <w:p w:rsidR="00432386" w:rsidRDefault="00432386">
            <w:pPr>
              <w:pStyle w:val="TableParagraph"/>
              <w:spacing w:before="2"/>
              <w:rPr>
                <w:b/>
                <w:i/>
                <w:sz w:val="25"/>
              </w:rPr>
            </w:pPr>
          </w:p>
          <w:p>
            <w:pPr>
              <w:pStyle w:val="TableParagraph"/>
              <w:ind w:start="107"/>
              <w:rPr>
                <w:sz w:val="20"/>
              </w:rPr>
            </w:pPr>
            <w:r>
              <w:rPr>
                <w:sz w:val="20"/>
              </w:rPr>
              <w:t xml:space="preserve">Oui </w:t>
            </w:r>
            <w:r>
              <w:rPr>
                <w:sz w:val="20"/>
              </w:rPr>
              <w:t xml:space="preserve">[choisir </w:t>
            </w:r>
            <w:r>
              <w:rPr>
                <w:sz w:val="20"/>
              </w:rPr>
              <w:t xml:space="preserve">une </w:t>
            </w:r>
            <w:r>
              <w:rPr>
                <w:sz w:val="20"/>
              </w:rPr>
              <w:t xml:space="preserve">période de </w:t>
            </w:r>
            <w:r>
              <w:rPr>
                <w:sz w:val="20"/>
              </w:rPr>
              <w:t xml:space="preserve">suivi </w:t>
            </w:r>
            <w:r>
              <w:rPr>
                <w:sz w:val="20"/>
              </w:rPr>
              <w:t xml:space="preserve">adéquate </w:t>
            </w:r>
            <w:r>
              <w:rPr>
                <w:sz w:val="20"/>
              </w:rPr>
              <w:t xml:space="preserve">pour le </w:t>
            </w:r>
            <w:r>
              <w:rPr>
                <w:sz w:val="20"/>
              </w:rPr>
              <w:t xml:space="preserve">résultat </w:t>
            </w:r>
            <w:r>
              <w:rPr>
                <w:sz w:val="20"/>
              </w:rPr>
              <w:t xml:space="preserve">qui </w:t>
            </w:r>
            <w:r>
              <w:rPr>
                <w:sz w:val="20"/>
              </w:rPr>
              <w:t xml:space="preserve">nous intéresse].</w:t>
            </w:r>
          </w:p>
          <w:p>
            <w:pPr>
              <w:pStyle w:val="TableParagraph"/>
              <w:spacing w:before="61"/>
              <w:ind w:start="107"/>
              <w:rPr>
                <w:sz w:val="20"/>
              </w:rPr>
            </w:pPr>
            <w:r>
              <w:rPr>
                <w:sz w:val="20"/>
              </w:rPr>
              <w:t xml:space="preserve">Non</w:t>
            </w:r>
          </w:p>
        </w:tc>
      </w:tr>
      <w:tr w:rsidR="00432386">
        <w:trPr>
          <w:trHeight w:val="2081"/>
        </w:trPr>
        <w:tc>
          <w:tcPr>
            <w:tcW w:w="4508" w:type="dxa"/>
          </w:tcPr>
          <w:p>
            <w:pPr>
              <w:pStyle w:val="TableParagraph"/>
              <w:spacing w:line="229" w:lineRule="exact"/>
              <w:ind w:start="107"/>
              <w:rPr>
                <w:sz w:val="20"/>
              </w:rPr>
            </w:pPr>
            <w:r>
              <w:rPr>
                <w:sz w:val="20"/>
              </w:rPr>
              <w:t xml:space="preserve">3. </w:t>
            </w:r>
            <w:r>
              <w:rPr>
                <w:sz w:val="20"/>
              </w:rPr>
              <w:t xml:space="preserve">Adéquation </w:t>
            </w:r>
            <w:r>
              <w:rPr>
                <w:sz w:val="20"/>
              </w:rPr>
              <w:t xml:space="preserve">du </w:t>
            </w:r>
            <w:r>
              <w:rPr>
                <w:sz w:val="20"/>
              </w:rPr>
              <w:t xml:space="preserve">suivi </w:t>
            </w:r>
            <w:r>
              <w:rPr>
                <w:sz w:val="20"/>
              </w:rPr>
              <w:t xml:space="preserve">des </w:t>
            </w:r>
            <w:r>
              <w:rPr>
                <w:sz w:val="20"/>
              </w:rPr>
              <w:t xml:space="preserve">cohortes</w:t>
            </w:r>
          </w:p>
        </w:tc>
        <w:tc>
          <w:tcPr>
            <w:tcW w:w="4511" w:type="dxa"/>
          </w:tcPr>
          <w:p>
            <w:pPr>
              <w:pStyle w:val="TableParagraph"/>
              <w:spacing w:line="229" w:lineRule="exact"/>
              <w:ind w:start="107"/>
              <w:rPr>
                <w:sz w:val="20"/>
              </w:rPr>
            </w:pPr>
            <w:r>
              <w:rPr>
                <w:sz w:val="20"/>
              </w:rPr>
              <w:t xml:space="preserve">Suivi </w:t>
            </w:r>
            <w:r>
              <w:rPr>
                <w:sz w:val="20"/>
              </w:rPr>
              <w:t xml:space="preserve">complet </w:t>
            </w:r>
            <w:r>
              <w:rPr>
                <w:sz w:val="20"/>
              </w:rPr>
              <w:t xml:space="preserve">(tous les </w:t>
            </w:r>
            <w:r>
              <w:rPr>
                <w:sz w:val="20"/>
              </w:rPr>
              <w:t xml:space="preserve">sujets </w:t>
            </w:r>
            <w:r>
              <w:rPr>
                <w:sz w:val="20"/>
              </w:rPr>
              <w:t xml:space="preserve">sont comptabilisés</w:t>
            </w:r>
            <w:r>
              <w:rPr>
                <w:sz w:val="20"/>
              </w:rPr>
              <w:t xml:space="preserve">)</w:t>
            </w:r>
          </w:p>
          <w:p>
            <w:pPr>
              <w:pStyle w:val="TableParagraph"/>
              <w:spacing w:before="60"/>
              <w:ind w:start="107" w:end="22"/>
              <w:rPr>
                <w:sz w:val="20"/>
              </w:rPr>
            </w:pPr>
            <w:r>
              <w:rPr>
                <w:sz w:val="20"/>
              </w:rPr>
              <w:t xml:space="preserve">Sujets perdus lors du suivi peu susceptibles d'introduire un </w:t>
            </w:r>
            <w:r>
              <w:rPr>
                <w:sz w:val="20"/>
              </w:rPr>
              <w:t xml:space="preserve">biais (petit nombre de sujets perdus lors du </w:t>
            </w:r>
            <w:r>
              <w:rPr>
                <w:sz w:val="20"/>
              </w:rPr>
              <w:t xml:space="preserve">suivi</w:t>
            </w:r>
            <w:r>
              <w:rPr>
                <w:sz w:val="20"/>
              </w:rPr>
              <w:t xml:space="preserve"> [sélectionnez un </w:t>
            </w:r>
            <w:r>
              <w:rPr>
                <w:sz w:val="20"/>
              </w:rPr>
              <w:t xml:space="preserve">% </w:t>
            </w:r>
            <w:r>
              <w:rPr>
                <w:sz w:val="20"/>
              </w:rPr>
              <w:t xml:space="preserve">adéquat</w:t>
            </w:r>
            <w:r>
              <w:rPr>
                <w:sz w:val="20"/>
              </w:rPr>
              <w:t xml:space="preserve">] </w:t>
            </w:r>
            <w:r>
              <w:rPr>
                <w:sz w:val="20"/>
              </w:rPr>
              <w:t xml:space="preserve">ou </w:t>
            </w:r>
            <w:r>
              <w:rPr>
                <w:sz w:val="20"/>
              </w:rPr>
              <w:t xml:space="preserve">description </w:t>
            </w:r>
            <w:r>
              <w:rPr>
                <w:sz w:val="20"/>
              </w:rPr>
              <w:t xml:space="preserve">fournie </w:t>
            </w:r>
            <w:r>
              <w:rPr>
                <w:sz w:val="20"/>
              </w:rPr>
              <w:t xml:space="preserve">des </w:t>
            </w:r>
            <w:r>
              <w:rPr>
                <w:sz w:val="20"/>
              </w:rPr>
              <w:t xml:space="preserve">sujets perdus).</w:t>
            </w:r>
          </w:p>
          <w:p>
            <w:pPr>
              <w:pStyle w:val="TableParagraph"/>
              <w:spacing w:before="60"/>
              <w:ind w:start="107"/>
              <w:rPr>
                <w:sz w:val="20"/>
              </w:rPr>
            </w:pPr>
            <w:r>
              <w:rPr>
                <w:sz w:val="20"/>
              </w:rPr>
              <w:t xml:space="preserve">Taux de </w:t>
            </w:r>
            <w:r>
              <w:rPr>
                <w:sz w:val="20"/>
              </w:rPr>
              <w:t xml:space="preserve">suivi </w:t>
            </w:r>
            <w:r>
              <w:rPr>
                <w:sz w:val="20"/>
              </w:rPr>
              <w:t xml:space="preserve">[sélectionnez </w:t>
            </w:r>
            <w:r>
              <w:rPr>
                <w:sz w:val="20"/>
              </w:rPr>
              <w:t xml:space="preserve">un </w:t>
            </w:r>
            <w:r>
              <w:rPr>
                <w:sz w:val="20"/>
              </w:rPr>
              <w:t xml:space="preserve">% </w:t>
            </w:r>
            <w:r>
              <w:rPr>
                <w:sz w:val="20"/>
              </w:rPr>
              <w:t xml:space="preserve">adéquat</w:t>
            </w:r>
            <w:r>
              <w:rPr>
                <w:sz w:val="20"/>
              </w:rPr>
              <w:t xml:space="preserve">] </w:t>
            </w:r>
            <w:r>
              <w:rPr>
                <w:sz w:val="20"/>
              </w:rPr>
              <w:t xml:space="preserve">et </w:t>
            </w:r>
            <w:r>
              <w:rPr>
                <w:sz w:val="20"/>
              </w:rPr>
              <w:t xml:space="preserve">aucune </w:t>
            </w:r>
            <w:r>
              <w:rPr>
                <w:sz w:val="20"/>
              </w:rPr>
              <w:t xml:space="preserve">description </w:t>
            </w:r>
            <w:r>
              <w:rPr>
                <w:sz w:val="20"/>
              </w:rPr>
              <w:t xml:space="preserve">des </w:t>
            </w:r>
            <w:r>
              <w:rPr>
                <w:sz w:val="20"/>
              </w:rPr>
              <w:t xml:space="preserve">personnes </w:t>
            </w:r>
            <w:r>
              <w:rPr>
                <w:sz w:val="20"/>
              </w:rPr>
              <w:t xml:space="preserve">perdues.</w:t>
            </w:r>
          </w:p>
          <w:p>
            <w:pPr>
              <w:pStyle w:val="TableParagraph"/>
              <w:spacing w:before="61"/>
              <w:ind w:start="107"/>
              <w:rPr>
                <w:sz w:val="20"/>
              </w:rPr>
            </w:pPr>
            <w:r>
              <w:rPr>
                <w:sz w:val="20"/>
              </w:rPr>
              <w:t xml:space="preserve">Aucune </w:t>
            </w:r>
            <w:r>
              <w:rPr>
                <w:sz w:val="20"/>
              </w:rPr>
              <w:t xml:space="preserve">déclaration</w:t>
            </w:r>
          </w:p>
        </w:tc>
      </w:tr>
    </w:tbl>
    <w:p w:rsidR="00432386" w:rsidRDefault="00432386">
      <w:pPr>
        <w:rPr>
          <w:sz w:val="20"/>
        </w:rPr>
        <w:sectPr w:rsidR="00432386">
          <w:footerReference w:type="default" r:id="rId304"/>
          <w:pgSz w:w="11910" w:h="16840"/>
          <w:pgMar w:top="1580" w:right="1320" w:bottom="1380" w:left="1340" w:header="0" w:footer="1183" w:gutter="0"/>
          <w:cols w:space="720"/>
        </w:sectPr>
      </w:pPr>
    </w:p>
    <w:p w:rsidR="00432386" w:rsidRDefault="00432386">
      <w:pPr>
        <w:pStyle w:val="Corpsdetexte"/>
        <w:spacing w:before="0"/>
        <w:ind w:start="0"/>
        <w:rPr>
          <w:b/>
          <w:i/>
          <w:sz w:val="20"/>
        </w:rPr>
      </w:pPr>
    </w:p>
    <w:p w:rsidR="00432386" w:rsidRDefault="00432386">
      <w:pPr>
        <w:pStyle w:val="Corpsdetexte"/>
        <w:spacing w:before="5"/>
        <w:ind w:start="0"/>
        <w:rPr>
          <w:b/>
          <w:i/>
          <w:sz w:val="25"/>
        </w:rPr>
      </w:pPr>
    </w:p>
    <w:p>
      <w:pPr>
        <w:pStyle w:val="Titre1"/>
        <w:spacing w:before="93"/>
        <w:ind w:start="120"/>
        <w:jc w:val="both"/>
      </w:pPr>
      <w:bookmarkStart w:name="_bookmark19" w:id="20"/>
      <w:bookmarkEnd w:id="20"/>
      <w:r>
        <w:rPr>
          <w:color w:val="365F91"/>
        </w:rPr>
        <w:t xml:space="preserve">Annexe </w:t>
      </w:r>
      <w:r>
        <w:rPr>
          <w:color w:val="365F91"/>
        </w:rPr>
        <w:t xml:space="preserve">G </w:t>
      </w:r>
      <w:r>
        <w:rPr>
          <w:color w:val="365F91"/>
        </w:rPr>
        <w:t xml:space="preserve">Profils des </w:t>
      </w:r>
      <w:r>
        <w:rPr>
          <w:color w:val="365F91"/>
        </w:rPr>
        <w:t xml:space="preserve">classes</w:t>
      </w:r>
    </w:p>
    <w:p w:rsidR="00432386" w:rsidRDefault="00432386">
      <w:pPr>
        <w:pStyle w:val="Corpsdetexte"/>
        <w:spacing w:before="9"/>
        <w:ind w:start="0"/>
        <w:rPr>
          <w:b/>
          <w:sz w:val="20"/>
        </w:rPr>
      </w:pPr>
    </w:p>
    <w:p>
      <w:pPr>
        <w:spacing w:before="1"/>
        <w:ind w:start="120" w:end="668"/>
        <w:jc w:val="both"/>
        <w:rPr>
          <w:b/>
          <w:sz w:val="24"/>
        </w:rPr>
      </w:pPr>
      <w:r>
        <w:rPr>
          <w:b/>
          <w:sz w:val="24"/>
        </w:rPr>
        <w:t xml:space="preserve">Tableau 2 : Question 1. Chez les enfants et les adolescents souffrant de dysphorie de genre, quelle est l'efficacité clinique du traitement </w:t>
      </w:r>
      <w:r>
        <w:rPr>
          <w:b/>
          <w:sz w:val="24"/>
        </w:rPr>
        <w:t xml:space="preserve">par analogues de la GnRH par rapport à une ou une combinaison de soutien psychologique, de transition sociale vers le </w:t>
      </w:r>
      <w:r>
        <w:rPr>
          <w:b/>
          <w:sz w:val="24"/>
        </w:rPr>
        <w:t xml:space="preserve">genre </w:t>
      </w:r>
      <w:r>
        <w:rPr>
          <w:b/>
          <w:sz w:val="24"/>
        </w:rPr>
        <w:t xml:space="preserve">désiré </w:t>
      </w:r>
      <w:r>
        <w:rPr>
          <w:b/>
          <w:sz w:val="24"/>
        </w:rPr>
        <w:t xml:space="preserve">ou d'aucune </w:t>
      </w:r>
      <w:r>
        <w:rPr>
          <w:b/>
          <w:sz w:val="24"/>
        </w:rPr>
        <w:t xml:space="preserve">intervention ? - </w:t>
      </w:r>
      <w:r>
        <w:rPr>
          <w:b/>
          <w:sz w:val="24"/>
        </w:rPr>
        <w:t xml:space="preserve">dysphorie de </w:t>
      </w:r>
      <w:r>
        <w:rPr>
          <w:b/>
          <w:sz w:val="24"/>
        </w:rPr>
        <w:t xml:space="preserve">genre</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136"/>
        <w:gridCol w:w="1133"/>
        <w:gridCol w:w="2271"/>
        <w:gridCol w:w="1434"/>
        <w:gridCol w:w="1258"/>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540" w:type="dxa"/>
            <w:gridSpan w:val="3"/>
            <w:shd w:val="clear" w:color="auto" w:fill="D9D9D9"/>
          </w:tcPr>
          <w:p>
            <w:pPr>
              <w:pStyle w:val="TableParagraph"/>
              <w:spacing w:before="1"/>
              <w:ind w:start="1472"/>
              <w:rPr>
                <w:b/>
                <w:sz w:val="16"/>
              </w:rPr>
            </w:pPr>
            <w:r>
              <w:rPr>
                <w:b/>
                <w:sz w:val="16"/>
              </w:rPr>
              <w:t xml:space="preserve">Résumé </w:t>
            </w:r>
            <w:r>
              <w:rPr>
                <w:b/>
                <w:sz w:val="16"/>
              </w:rPr>
              <w:t xml:space="preserve">des </w:t>
            </w:r>
            <w:r>
              <w:rPr>
                <w:b/>
                <w:sz w:val="16"/>
              </w:rPr>
              <w:t xml:space="preserve">conclusions</w:t>
            </w:r>
          </w:p>
        </w:tc>
        <w:tc>
          <w:tcPr>
            <w:tcW w:w="1434" w:type="dxa"/>
            <w:vMerge w:val="restart"/>
            <w:shd w:val="clear" w:color="auto" w:fill="D9D9D9"/>
          </w:tcPr>
          <w:p>
            <w:pPr>
              <w:pStyle w:val="TableParagraph"/>
              <w:spacing w:before="1"/>
              <w:ind w:start="175"/>
              <w:rPr>
                <w:b/>
                <w:sz w:val="16"/>
              </w:rPr>
            </w:pPr>
            <w:r>
              <w:rPr>
                <w:b/>
                <w:sz w:val="16"/>
              </w:rPr>
              <w:t xml:space="preserve">IMPORTANCE</w:t>
            </w:r>
          </w:p>
        </w:tc>
        <w:tc>
          <w:tcPr>
            <w:tcW w:w="1258" w:type="dxa"/>
            <w:vMerge w:val="restart"/>
            <w:shd w:val="clear" w:color="auto" w:fill="D9D9D9"/>
          </w:tcPr>
          <w:p>
            <w:pPr>
              <w:pStyle w:val="TableParagraph"/>
              <w:spacing w:before="1"/>
              <w:ind w:start="165"/>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269" w:type="dxa"/>
            <w:gridSpan w:val="2"/>
            <w:shd w:val="clear" w:color="auto" w:fill="D9D9D9"/>
          </w:tcPr>
          <w:p>
            <w:pPr>
              <w:pStyle w:val="TableParagraph"/>
              <w:spacing w:line="180" w:lineRule="atLeast"/>
              <w:ind w:start="551" w:end="399" w:hanging="125"/>
              <w:rPr>
                <w:b/>
                <w:sz w:val="16"/>
              </w:rPr>
            </w:pPr>
            <w:r>
              <w:rPr>
                <w:b/>
                <w:sz w:val="16"/>
              </w:rPr>
              <w:t xml:space="preserve">Nombre d'événements/Nombre de </w:t>
            </w:r>
            <w:r>
              <w:rPr>
                <w:b/>
                <w:sz w:val="16"/>
              </w:rPr>
              <w:t xml:space="preserve">patients </w:t>
            </w:r>
            <w:r>
              <w:rPr>
                <w:b/>
                <w:sz w:val="16"/>
              </w:rPr>
              <w:t xml:space="preserve">(n/N%)</w:t>
            </w:r>
          </w:p>
        </w:tc>
        <w:tc>
          <w:tcPr>
            <w:tcW w:w="2271" w:type="dxa"/>
            <w:shd w:val="clear" w:color="auto" w:fill="D9D9D9"/>
          </w:tcPr>
          <w:p>
            <w:pPr>
              <w:pStyle w:val="TableParagraph"/>
              <w:spacing w:before="1"/>
              <w:ind w:start="910"/>
              <w:rPr>
                <w:b/>
                <w:sz w:val="16"/>
              </w:rPr>
            </w:pPr>
            <w:r>
              <w:rPr>
                <w:b/>
                <w:sz w:val="16"/>
              </w:rPr>
              <w:t xml:space="preserve">Effet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366"/>
        </w:trPr>
        <w:tc>
          <w:tcPr>
            <w:tcW w:w="1594" w:type="dxa"/>
            <w:shd w:val="clear" w:color="auto" w:fill="D9D9D9"/>
          </w:tcPr>
          <w:p>
            <w:pPr>
              <w:pStyle w:val="TableParagraph"/>
              <w:spacing w:before="1"/>
              <w:ind w:start="229" w:end="219"/>
              <w:jc w:val="center"/>
              <w:rPr>
                <w:b/>
                <w:sz w:val="16"/>
              </w:rPr>
            </w:pPr>
            <w:r>
              <w:rPr>
                <w:b/>
                <w:sz w:val="16"/>
              </w:rPr>
              <w:t xml:space="preserve">Étude</w:t>
            </w:r>
          </w:p>
        </w:tc>
        <w:tc>
          <w:tcPr>
            <w:tcW w:w="1097" w:type="dxa"/>
            <w:shd w:val="clear" w:color="auto" w:fill="D9D9D9"/>
          </w:tcPr>
          <w:p>
            <w:pPr>
              <w:pStyle w:val="TableParagraph"/>
              <w:spacing w:line="182"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before="1"/>
              <w:ind w:start="246"/>
              <w:rPr>
                <w:b/>
                <w:sz w:val="16"/>
              </w:rPr>
            </w:pPr>
            <w:r>
              <w:rPr>
                <w:b/>
                <w:sz w:val="16"/>
              </w:rPr>
              <w:t xml:space="preserve">Indirectness</w:t>
            </w:r>
          </w:p>
        </w:tc>
        <w:tc>
          <w:tcPr>
            <w:tcW w:w="1537" w:type="dxa"/>
            <w:shd w:val="clear" w:color="auto" w:fill="D9D9D9"/>
          </w:tcPr>
          <w:p>
            <w:pPr>
              <w:pStyle w:val="TableParagraph"/>
              <w:spacing w:before="1"/>
              <w:ind w:start="233"/>
              <w:rPr>
                <w:b/>
                <w:sz w:val="16"/>
              </w:rPr>
            </w:pPr>
            <w:r>
              <w:rPr>
                <w:b/>
                <w:sz w:val="16"/>
              </w:rPr>
              <w:t xml:space="preserve">Incohérence</w:t>
            </w:r>
          </w:p>
        </w:tc>
        <w:tc>
          <w:tcPr>
            <w:tcW w:w="1277" w:type="dxa"/>
            <w:shd w:val="clear" w:color="auto" w:fill="D9D9D9"/>
          </w:tcPr>
          <w:p>
            <w:pPr>
              <w:pStyle w:val="TableParagraph"/>
              <w:spacing w:before="1"/>
              <w:ind w:start="188"/>
              <w:rPr>
                <w:b/>
                <w:sz w:val="16"/>
              </w:rPr>
            </w:pPr>
            <w:r>
              <w:rPr>
                <w:b/>
                <w:sz w:val="16"/>
              </w:rPr>
              <w:t xml:space="preserve">Imprécision</w:t>
            </w:r>
          </w:p>
        </w:tc>
        <w:tc>
          <w:tcPr>
            <w:tcW w:w="1136" w:type="dxa"/>
            <w:shd w:val="clear" w:color="auto" w:fill="D9D9D9"/>
          </w:tcPr>
          <w:p>
            <w:pPr>
              <w:pStyle w:val="TableParagraph"/>
              <w:spacing w:before="1"/>
              <w:ind w:start="88" w:end="82"/>
              <w:jc w:val="center"/>
              <w:rPr>
                <w:b/>
                <w:sz w:val="16"/>
              </w:rPr>
            </w:pPr>
            <w:r>
              <w:rPr>
                <w:b/>
                <w:sz w:val="16"/>
              </w:rPr>
              <w:t xml:space="preserve">Intervention</w:t>
            </w:r>
          </w:p>
        </w:tc>
        <w:tc>
          <w:tcPr>
            <w:tcW w:w="1133" w:type="dxa"/>
            <w:shd w:val="clear" w:color="auto" w:fill="D9D9D9"/>
          </w:tcPr>
          <w:p>
            <w:pPr>
              <w:pStyle w:val="TableParagraph"/>
              <w:spacing w:before="1"/>
              <w:ind w:start="92" w:end="83"/>
              <w:jc w:val="center"/>
              <w:rPr>
                <w:b/>
                <w:sz w:val="16"/>
              </w:rPr>
            </w:pPr>
            <w:r>
              <w:rPr>
                <w:b/>
                <w:sz w:val="16"/>
              </w:rPr>
              <w:t xml:space="preserve">Comparateur</w:t>
            </w:r>
          </w:p>
        </w:tc>
        <w:tc>
          <w:tcPr>
            <w:tcW w:w="2271" w:type="dxa"/>
            <w:shd w:val="clear" w:color="auto" w:fill="D9D9D9"/>
          </w:tcPr>
          <w:p>
            <w:pPr>
              <w:pStyle w:val="TableParagraph"/>
              <w:spacing w:before="1"/>
              <w:ind w:start="888"/>
              <w:rPr>
                <w:b/>
                <w:sz w:val="16"/>
              </w:rPr>
            </w:pPr>
            <w:r>
              <w:rPr>
                <w:b/>
                <w:sz w:val="16"/>
              </w:rPr>
              <w:t xml:space="preserve">Résultat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465"/>
        </w:trPr>
        <w:tc>
          <w:tcPr>
            <w:tcW w:w="14177" w:type="dxa"/>
            <w:gridSpan w:val="10"/>
            <w:shd w:val="clear" w:color="auto" w:fill="8DB3E1"/>
          </w:tcPr>
          <w:p>
            <w:pPr>
              <w:pStyle w:val="TableParagraph"/>
              <w:spacing w:before="2"/>
              <w:ind w:start="107"/>
              <w:rPr>
                <w:b/>
                <w:i/>
                <w:sz w:val="20"/>
              </w:rPr>
            </w:pPr>
            <w:r>
              <w:rPr>
                <w:b/>
                <w:i/>
                <w:sz w:val="20"/>
              </w:rPr>
              <w:t xml:space="preserve">Impact </w:t>
            </w:r>
            <w:r>
              <w:rPr>
                <w:b/>
                <w:i/>
                <w:sz w:val="20"/>
              </w:rPr>
              <w:t xml:space="preserve">sur la </w:t>
            </w:r>
            <w:r>
              <w:rPr>
                <w:b/>
                <w:i/>
                <w:sz w:val="20"/>
              </w:rPr>
              <w:t xml:space="preserve">dysphorie de </w:t>
            </w:r>
            <w:r>
              <w:rPr>
                <w:b/>
                <w:i/>
                <w:sz w:val="20"/>
              </w:rPr>
              <w:t xml:space="preserve">genre</w:t>
            </w:r>
          </w:p>
        </w:tc>
      </w:tr>
      <w:tr w:rsidR="00432386">
        <w:trPr>
          <w:trHeight w:val="729"/>
        </w:trPr>
        <w:tc>
          <w:tcPr>
            <w:tcW w:w="14177" w:type="dxa"/>
            <w:gridSpan w:val="10"/>
            <w:shd w:val="clear" w:color="auto" w:fill="C5D9F0"/>
          </w:tcPr>
          <w:p>
            <w:pPr>
              <w:pStyle w:val="TableParagraph"/>
              <w:spacing w:line="276" w:lineRule="auto"/>
              <w:ind w:start="107" w:end="584"/>
              <w:rPr>
                <w:b/>
                <w:i/>
                <w:sz w:val="20"/>
              </w:rPr>
            </w:pPr>
            <w:r>
              <w:rPr>
                <w:b/>
                <w:i/>
                <w:sz w:val="20"/>
              </w:rPr>
              <w:t xml:space="preserve">Moyenne±SD Échelle de dysphorie de genre d'Utrecht1 </w:t>
            </w:r>
            <w:r>
              <w:rPr>
                <w:b/>
                <w:i/>
                <w:sz w:val="20"/>
              </w:rPr>
              <w:t xml:space="preserve">(version(s) non signalée(s)), point temporel au départ (avant les analogues de la GnRH) par rapport au suivi (avant les </w:t>
            </w:r>
            <w:r>
              <w:rPr>
                <w:b/>
                <w:i/>
                <w:sz w:val="20"/>
              </w:rPr>
              <w:t xml:space="preserve">hormones d'</w:t>
            </w:r>
            <w:r>
              <w:rPr>
                <w:b/>
                <w:i/>
                <w:sz w:val="20"/>
              </w:rPr>
              <w:t xml:space="preserve">affirmation du genre</w:t>
            </w:r>
            <w:r>
              <w:rPr>
                <w:b/>
                <w:i/>
                <w:sz w:val="20"/>
              </w:rPr>
              <w:t xml:space="preserve">, des </w:t>
            </w:r>
            <w:r>
              <w:rPr>
                <w:b/>
                <w:i/>
                <w:sz w:val="20"/>
              </w:rPr>
              <w:t xml:space="preserve">scores </w:t>
            </w:r>
            <w:r>
              <w:rPr>
                <w:b/>
                <w:i/>
                <w:sz w:val="20"/>
              </w:rPr>
              <w:t xml:space="preserve">plus élevés </w:t>
            </w:r>
            <w:r>
              <w:rPr>
                <w:b/>
                <w:i/>
                <w:sz w:val="20"/>
              </w:rPr>
              <w:t xml:space="preserve">indiquent une </w:t>
            </w:r>
            <w:r>
              <w:rPr>
                <w:b/>
                <w:i/>
                <w:sz w:val="20"/>
              </w:rPr>
              <w:t xml:space="preserve">plus grande </w:t>
            </w:r>
            <w:r>
              <w:rPr>
                <w:b/>
                <w:i/>
                <w:sz w:val="20"/>
              </w:rPr>
              <w:t xml:space="preserve">dysphorie de </w:t>
            </w:r>
            <w:r>
              <w:rPr>
                <w:b/>
                <w:i/>
                <w:sz w:val="20"/>
              </w:rPr>
              <w:t xml:space="preserve">genre</w:t>
            </w:r>
            <w:r>
              <w:rPr>
                <w:b/>
                <w:i/>
                <w:sz w:val="20"/>
              </w:rPr>
              <w:t xml:space="preserve">)</w:t>
            </w:r>
          </w:p>
        </w:tc>
      </w:tr>
      <w:tr w:rsidR="00432386">
        <w:trPr>
          <w:trHeight w:val="952"/>
        </w:trPr>
        <w:tc>
          <w:tcPr>
            <w:tcW w:w="1594" w:type="dxa"/>
          </w:tcPr>
          <w:p>
            <w:pPr>
              <w:pStyle w:val="TableParagraph"/>
              <w:spacing w:before="164"/>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limitations2</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5" w:end="82"/>
              <w:jc w:val="center"/>
              <w:rPr>
                <w:sz w:val="18"/>
              </w:rPr>
            </w:pPr>
            <w:r>
              <w:rPr>
                <w:sz w:val="18"/>
              </w:rPr>
              <w:t xml:space="preserve">N=41</w:t>
            </w:r>
          </w:p>
        </w:tc>
        <w:tc>
          <w:tcPr>
            <w:tcW w:w="1133" w:type="dxa"/>
          </w:tcPr>
          <w:p>
            <w:pPr>
              <w:pStyle w:val="TableParagraph"/>
              <w:spacing w:line="206" w:lineRule="exact"/>
              <w:ind w:start="89" w:end="83"/>
              <w:jc w:val="center"/>
              <w:rPr>
                <w:sz w:val="18"/>
              </w:rPr>
            </w:pPr>
            <w:r>
              <w:rPr>
                <w:sz w:val="18"/>
              </w:rPr>
              <w:t xml:space="preserve">Aucun</w:t>
            </w:r>
          </w:p>
        </w:tc>
        <w:tc>
          <w:tcPr>
            <w:tcW w:w="2271" w:type="dxa"/>
          </w:tcPr>
          <w:p>
            <w:pPr>
              <w:pStyle w:val="TableParagraph"/>
              <w:spacing w:line="276" w:lineRule="auto"/>
              <w:ind w:start="238" w:end="230"/>
              <w:jc w:val="center"/>
              <w:rPr>
                <w:sz w:val="18"/>
              </w:rPr>
            </w:pPr>
            <w:r>
              <w:rPr>
                <w:spacing w:val="-1"/>
                <w:sz w:val="18"/>
              </w:rPr>
              <w:t xml:space="preserve">Ligne de base : </w:t>
            </w:r>
            <w:r>
              <w:rPr>
                <w:sz w:val="18"/>
              </w:rPr>
              <w:t xml:space="preserve">53,20±7,91 </w:t>
            </w:r>
            <w:r>
              <w:rPr>
                <w:sz w:val="18"/>
              </w:rPr>
              <w:t xml:space="preserve">GnRH analogue : </w:t>
            </w:r>
            <w:r>
              <w:rPr>
                <w:sz w:val="18"/>
              </w:rPr>
              <w:t xml:space="preserve">53.9±17.42</w:t>
            </w:r>
          </w:p>
          <w:p>
            <w:pPr>
              <w:pStyle w:val="TableParagraph"/>
              <w:ind w:start="237" w:end="230"/>
              <w:jc w:val="center"/>
              <w:rPr>
                <w:sz w:val="18"/>
              </w:rPr>
            </w:pPr>
            <w:r>
              <w:rPr>
                <w:i/>
                <w:sz w:val="18"/>
              </w:rPr>
              <w:t xml:space="preserve">P=0</w:t>
            </w:r>
            <w:r>
              <w:rPr>
                <w:sz w:val="18"/>
              </w:rPr>
              <w:t xml:space="preserve">.333</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bl>
    <w:p>
      <w:pPr>
        <w:spacing w:before="2"/>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0"/>
        <w:ind w:start="0"/>
        <w:rPr>
          <w:sz w:val="20"/>
        </w:rPr>
      </w:pPr>
    </w:p>
    <w:p>
      <w:pPr>
        <w:pStyle w:val="Paragraphedeliste"/>
        <w:numPr>
          <w:ilvl w:val="0"/>
          <w:numId w:val="8"/>
        </w:numPr>
        <w:tabs>
          <w:tab w:val="left" w:pos="272"/>
        </w:tabs>
        <w:spacing w:before="0"/>
        <w:ind w:end="367" w:firstLine="0"/>
        <w:rPr>
          <w:i/>
          <w:sz w:val="18"/>
        </w:rPr>
      </w:pPr>
      <w:r>
        <w:rPr>
          <w:i/>
          <w:sz w:val="18"/>
        </w:rPr>
        <w:t xml:space="preserve">L'UGDS est un outil de dépistage validé destiné aux adolescents et aux adultes pour évaluer la dysphorie de genre. Il se compose de 12 items, auxquels il faut répondre sur une échelle de 1 à 5 points, ce qui donne </w:t>
      </w:r>
      <w:r>
        <w:rPr>
          <w:i/>
          <w:sz w:val="18"/>
        </w:rPr>
        <w:t xml:space="preserve">un </w:t>
      </w:r>
      <w:r>
        <w:rPr>
          <w:i/>
          <w:sz w:val="18"/>
        </w:rPr>
        <w:t xml:space="preserve">score </w:t>
      </w:r>
      <w:r>
        <w:rPr>
          <w:i/>
          <w:sz w:val="18"/>
        </w:rPr>
        <w:t xml:space="preserve">total </w:t>
      </w:r>
      <w:r>
        <w:rPr>
          <w:i/>
          <w:sz w:val="18"/>
        </w:rPr>
        <w:t xml:space="preserve">compris entre 12 </w:t>
      </w:r>
      <w:r>
        <w:rPr>
          <w:i/>
          <w:sz w:val="18"/>
        </w:rPr>
        <w:t xml:space="preserve">et 60. </w:t>
      </w:r>
      <w:r>
        <w:rPr>
          <w:i/>
          <w:sz w:val="18"/>
        </w:rPr>
        <w:t xml:space="preserve">Plus le </w:t>
      </w:r>
      <w:r>
        <w:rPr>
          <w:i/>
          <w:sz w:val="18"/>
        </w:rPr>
        <w:t xml:space="preserve">score </w:t>
      </w:r>
      <w:r>
        <w:rPr>
          <w:i/>
          <w:sz w:val="18"/>
        </w:rPr>
        <w:t xml:space="preserve">UGDS est élevé</w:t>
      </w:r>
      <w:r>
        <w:rPr>
          <w:i/>
          <w:sz w:val="18"/>
        </w:rPr>
        <w:t xml:space="preserve">, plus </w:t>
      </w:r>
      <w:r>
        <w:rPr>
          <w:i/>
          <w:sz w:val="18"/>
        </w:rPr>
        <w:t xml:space="preserve">la </w:t>
      </w:r>
      <w:r>
        <w:rPr>
          <w:i/>
          <w:sz w:val="18"/>
        </w:rPr>
        <w:t xml:space="preserve">dysphorie de </w:t>
      </w:r>
      <w:r>
        <w:rPr>
          <w:i/>
          <w:sz w:val="18"/>
        </w:rPr>
        <w:t xml:space="preserve">genre</w:t>
      </w:r>
      <w:r>
        <w:rPr>
          <w:i/>
          <w:sz w:val="18"/>
        </w:rPr>
        <w:t xml:space="preserve"> est importante</w:t>
      </w:r>
      <w:r>
        <w:rPr>
          <w:i/>
          <w:sz w:val="18"/>
        </w:rPr>
        <w:t xml:space="preserve">.</w:t>
      </w:r>
    </w:p>
    <w:p>
      <w:pPr>
        <w:pStyle w:val="Paragraphedeliste"/>
        <w:numPr>
          <w:ilvl w:val="0"/>
          <w:numId w:val="8"/>
        </w:numPr>
        <w:tabs>
          <w:tab w:val="left" w:pos="272"/>
        </w:tabs>
        <w:spacing w:before="0" w:line="206" w:lineRule="exact"/>
        <w:ind w:start="271"/>
        <w:rPr>
          <w:i/>
          <w:sz w:val="18"/>
        </w:rPr>
      </w:pPr>
      <w:r>
        <w:rPr>
          <w:i/>
          <w:sz w:val="18"/>
        </w:rPr>
        <w:t xml:space="preserve">Déclassement d'</w:t>
      </w:r>
      <w:r>
        <w:rPr>
          <w:i/>
          <w:sz w:val="18"/>
        </w:rPr>
        <w:t xml:space="preserve">un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w:t>
      </w:r>
      <w:r>
        <w:rPr>
          <w:i/>
          <w:sz w:val="18"/>
        </w:rPr>
        <w:t xml:space="preserve">de </w:t>
      </w:r>
      <w:r>
        <w:rPr>
          <w:i/>
          <w:sz w:val="18"/>
        </w:rPr>
        <w:t xml:space="preserve">Vries </w:t>
      </w:r>
      <w:r>
        <w:rPr>
          <w:i/>
          <w:sz w:val="18"/>
        </w:rPr>
        <w:t xml:space="preserve">et </w:t>
      </w:r>
      <w:r>
        <w:rPr>
          <w:i/>
          <w:sz w:val="18"/>
        </w:rPr>
        <w:t xml:space="preserve">al. </w:t>
      </w:r>
      <w:r>
        <w:rPr>
          <w:i/>
          <w:sz w:val="18"/>
        </w:rPr>
        <w:t xml:space="preserve">(2011) </w:t>
      </w:r>
      <w:r>
        <w:rPr>
          <w:i/>
          <w:sz w:val="18"/>
        </w:rPr>
        <w:t xml:space="preserve">a été 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rsidR="00432386" w:rsidRDefault="00432386">
      <w:pPr>
        <w:pStyle w:val="Corpsdetexte"/>
        <w:spacing w:before="1"/>
        <w:ind w:start="0"/>
        <w:rPr>
          <w:i/>
          <w:sz w:val="24"/>
        </w:rPr>
      </w:pPr>
    </w:p>
    <w:p>
      <w:pPr>
        <w:pStyle w:val="Titre1"/>
        <w:ind w:start="120" w:end="668"/>
        <w:jc w:val="both"/>
      </w:pPr>
      <w:r>
        <w:t xml:space="preserve">Tableau 3 : Question 1. Pour les enfants et les adolescents souffrant de dysphorie de genre, quelle est l'efficacité clinique du traitement </w:t>
      </w:r>
      <w:r>
        <w:t xml:space="preserve">par analogues de la GnRH par rapport à une ou une combinaison de soutien psychologique, de transition sociale vers le </w:t>
      </w:r>
      <w:r>
        <w:t xml:space="preserve">genre </w:t>
      </w:r>
      <w:r>
        <w:t xml:space="preserve">désiré </w:t>
      </w:r>
      <w:r>
        <w:t xml:space="preserve">ou d'aucune </w:t>
      </w:r>
      <w:r>
        <w:t xml:space="preserve">intervention ? - </w:t>
      </w:r>
      <w:r>
        <w:t xml:space="preserve">santé mentale</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136"/>
        <w:gridCol w:w="1133"/>
        <w:gridCol w:w="2271"/>
        <w:gridCol w:w="1434"/>
        <w:gridCol w:w="1258"/>
      </w:tblGrid>
      <w:tr w:rsidR="00432386">
        <w:trPr>
          <w:trHeight w:val="301"/>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540" w:type="dxa"/>
            <w:gridSpan w:val="3"/>
            <w:shd w:val="clear" w:color="auto" w:fill="D9D9D9"/>
          </w:tcPr>
          <w:p>
            <w:pPr>
              <w:pStyle w:val="TableParagraph"/>
              <w:spacing w:before="1"/>
              <w:ind w:start="1472"/>
              <w:rPr>
                <w:b/>
                <w:sz w:val="16"/>
              </w:rPr>
            </w:pPr>
            <w:r>
              <w:rPr>
                <w:b/>
                <w:sz w:val="16"/>
              </w:rPr>
              <w:t xml:space="preserve">Résumé </w:t>
            </w:r>
            <w:r>
              <w:rPr>
                <w:b/>
                <w:sz w:val="16"/>
              </w:rPr>
              <w:t xml:space="preserve">des </w:t>
            </w:r>
            <w:r>
              <w:rPr>
                <w:b/>
                <w:sz w:val="16"/>
              </w:rPr>
              <w:t xml:space="preserve">conclusions</w:t>
            </w:r>
          </w:p>
        </w:tc>
        <w:tc>
          <w:tcPr>
            <w:tcW w:w="1434" w:type="dxa"/>
            <w:vMerge w:val="restart"/>
            <w:shd w:val="clear" w:color="auto" w:fill="D9D9D9"/>
          </w:tcPr>
          <w:p>
            <w:pPr>
              <w:pStyle w:val="TableParagraph"/>
              <w:spacing w:before="1"/>
              <w:ind w:start="175"/>
              <w:rPr>
                <w:b/>
                <w:sz w:val="16"/>
              </w:rPr>
            </w:pPr>
            <w:r>
              <w:rPr>
                <w:b/>
                <w:sz w:val="16"/>
              </w:rPr>
              <w:t xml:space="preserve">IMPORTANCE</w:t>
            </w:r>
          </w:p>
        </w:tc>
        <w:tc>
          <w:tcPr>
            <w:tcW w:w="1258" w:type="dxa"/>
            <w:vMerge w:val="restart"/>
            <w:shd w:val="clear" w:color="auto" w:fill="D9D9D9"/>
          </w:tcPr>
          <w:p>
            <w:pPr>
              <w:pStyle w:val="TableParagraph"/>
              <w:spacing w:before="1"/>
              <w:ind w:start="165"/>
              <w:rPr>
                <w:b/>
                <w:sz w:val="16"/>
              </w:rPr>
            </w:pPr>
            <w:r>
              <w:rPr>
                <w:b/>
                <w:sz w:val="16"/>
              </w:rPr>
              <w:t xml:space="preserve">CERTIFICAT</w:t>
            </w:r>
          </w:p>
        </w:tc>
      </w:tr>
      <w:tr w:rsidR="00432386">
        <w:trPr>
          <w:trHeight w:val="366"/>
        </w:trPr>
        <w:tc>
          <w:tcPr>
            <w:tcW w:w="6945" w:type="dxa"/>
            <w:gridSpan w:val="5"/>
            <w:vMerge/>
            <w:tcBorders>
              <w:top w:val="nil"/>
            </w:tcBorders>
            <w:shd w:val="clear" w:color="auto" w:fill="D9D9D9"/>
          </w:tcPr>
          <w:p w:rsidR="00432386" w:rsidRDefault="00432386">
            <w:pPr>
              <w:rPr>
                <w:sz w:val="2"/>
                <w:szCs w:val="2"/>
              </w:rPr>
            </w:pPr>
          </w:p>
        </w:tc>
        <w:tc>
          <w:tcPr>
            <w:tcW w:w="2269" w:type="dxa"/>
            <w:gridSpan w:val="2"/>
            <w:shd w:val="clear" w:color="auto" w:fill="D9D9D9"/>
          </w:tcPr>
          <w:p>
            <w:pPr>
              <w:pStyle w:val="TableParagraph"/>
              <w:spacing w:line="184" w:lineRule="exact"/>
              <w:ind w:start="551" w:end="399" w:hanging="125"/>
              <w:rPr>
                <w:b/>
                <w:sz w:val="16"/>
              </w:rPr>
            </w:pPr>
            <w:r>
              <w:rPr>
                <w:b/>
                <w:sz w:val="16"/>
              </w:rPr>
              <w:t xml:space="preserve">Nombre d'événements/Nombre de </w:t>
            </w:r>
            <w:r>
              <w:rPr>
                <w:b/>
                <w:sz w:val="16"/>
              </w:rPr>
              <w:t xml:space="preserve">patients </w:t>
            </w:r>
            <w:r>
              <w:rPr>
                <w:b/>
                <w:sz w:val="16"/>
              </w:rPr>
              <w:t xml:space="preserve">(n/N%)</w:t>
            </w:r>
          </w:p>
        </w:tc>
        <w:tc>
          <w:tcPr>
            <w:tcW w:w="2271" w:type="dxa"/>
            <w:shd w:val="clear" w:color="auto" w:fill="D9D9D9"/>
          </w:tcPr>
          <w:p>
            <w:pPr>
              <w:pStyle w:val="TableParagraph"/>
              <w:spacing w:line="183" w:lineRule="exact"/>
              <w:ind w:start="910"/>
              <w:rPr>
                <w:b/>
                <w:sz w:val="16"/>
              </w:rPr>
            </w:pPr>
            <w:r>
              <w:rPr>
                <w:b/>
                <w:sz w:val="16"/>
              </w:rPr>
              <w:t xml:space="preserve">Effet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365"/>
        </w:trPr>
        <w:tc>
          <w:tcPr>
            <w:tcW w:w="1594" w:type="dxa"/>
            <w:shd w:val="clear" w:color="auto" w:fill="D9D9D9"/>
          </w:tcPr>
          <w:p>
            <w:pPr>
              <w:pStyle w:val="TableParagraph"/>
              <w:spacing w:line="184" w:lineRule="exact"/>
              <w:ind w:start="229" w:end="219"/>
              <w:jc w:val="center"/>
              <w:rPr>
                <w:b/>
                <w:sz w:val="16"/>
              </w:rPr>
            </w:pPr>
            <w:r>
              <w:rPr>
                <w:b/>
                <w:sz w:val="16"/>
              </w:rPr>
              <w:t xml:space="preserve">Étude</w:t>
            </w:r>
          </w:p>
        </w:tc>
        <w:tc>
          <w:tcPr>
            <w:tcW w:w="1097" w:type="dxa"/>
            <w:shd w:val="clear" w:color="auto" w:fill="D9D9D9"/>
          </w:tcPr>
          <w:p>
            <w:pPr>
              <w:pStyle w:val="TableParagraph"/>
              <w:spacing w:line="182"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4" w:lineRule="exact"/>
              <w:ind w:start="246"/>
              <w:rPr>
                <w:b/>
                <w:sz w:val="16"/>
              </w:rPr>
            </w:pPr>
            <w:r>
              <w:rPr>
                <w:b/>
                <w:sz w:val="16"/>
              </w:rPr>
              <w:t xml:space="preserve">Indirectness</w:t>
            </w:r>
          </w:p>
        </w:tc>
        <w:tc>
          <w:tcPr>
            <w:tcW w:w="1537" w:type="dxa"/>
            <w:shd w:val="clear" w:color="auto" w:fill="D9D9D9"/>
          </w:tcPr>
          <w:p>
            <w:pPr>
              <w:pStyle w:val="TableParagraph"/>
              <w:spacing w:line="184" w:lineRule="exact"/>
              <w:ind w:start="233"/>
              <w:rPr>
                <w:b/>
                <w:sz w:val="16"/>
              </w:rPr>
            </w:pPr>
            <w:r>
              <w:rPr>
                <w:b/>
                <w:sz w:val="16"/>
              </w:rPr>
              <w:t xml:space="preserve">Incohérence</w:t>
            </w:r>
          </w:p>
        </w:tc>
        <w:tc>
          <w:tcPr>
            <w:tcW w:w="1277" w:type="dxa"/>
            <w:shd w:val="clear" w:color="auto" w:fill="D9D9D9"/>
          </w:tcPr>
          <w:p>
            <w:pPr>
              <w:pStyle w:val="TableParagraph"/>
              <w:spacing w:line="184" w:lineRule="exact"/>
              <w:ind w:start="188"/>
              <w:rPr>
                <w:b/>
                <w:sz w:val="16"/>
              </w:rPr>
            </w:pPr>
            <w:r>
              <w:rPr>
                <w:b/>
                <w:sz w:val="16"/>
              </w:rPr>
              <w:t xml:space="preserve">Imprécision</w:t>
            </w:r>
          </w:p>
        </w:tc>
        <w:tc>
          <w:tcPr>
            <w:tcW w:w="1136" w:type="dxa"/>
            <w:shd w:val="clear" w:color="auto" w:fill="D9D9D9"/>
          </w:tcPr>
          <w:p>
            <w:pPr>
              <w:pStyle w:val="TableParagraph"/>
              <w:spacing w:line="184" w:lineRule="exact"/>
              <w:ind w:start="107"/>
              <w:rPr>
                <w:b/>
                <w:sz w:val="16"/>
              </w:rPr>
            </w:pPr>
            <w:r>
              <w:rPr>
                <w:b/>
                <w:sz w:val="16"/>
              </w:rPr>
              <w:t xml:space="preserve">Intervention</w:t>
            </w:r>
          </w:p>
        </w:tc>
        <w:tc>
          <w:tcPr>
            <w:tcW w:w="1133" w:type="dxa"/>
            <w:shd w:val="clear" w:color="auto" w:fill="D9D9D9"/>
          </w:tcPr>
          <w:p>
            <w:pPr>
              <w:pStyle w:val="TableParagraph"/>
              <w:spacing w:line="184" w:lineRule="exact"/>
              <w:ind w:start="111"/>
              <w:rPr>
                <w:b/>
                <w:sz w:val="16"/>
              </w:rPr>
            </w:pPr>
            <w:r>
              <w:rPr>
                <w:b/>
                <w:sz w:val="16"/>
              </w:rPr>
              <w:t xml:space="preserve">Comparateur</w:t>
            </w:r>
          </w:p>
        </w:tc>
        <w:tc>
          <w:tcPr>
            <w:tcW w:w="2271" w:type="dxa"/>
            <w:shd w:val="clear" w:color="auto" w:fill="D9D9D9"/>
          </w:tcPr>
          <w:p>
            <w:pPr>
              <w:pStyle w:val="TableParagraph"/>
              <w:spacing w:line="184" w:lineRule="exact"/>
              <w:ind w:start="888"/>
              <w:rPr>
                <w:b/>
                <w:sz w:val="16"/>
              </w:rPr>
            </w:pPr>
            <w:r>
              <w:rPr>
                <w:b/>
                <w:sz w:val="16"/>
              </w:rPr>
              <w:t xml:space="preserve">Résultat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465"/>
        </w:trPr>
        <w:tc>
          <w:tcPr>
            <w:tcW w:w="14177" w:type="dxa"/>
            <w:gridSpan w:val="10"/>
            <w:shd w:val="clear" w:color="auto" w:fill="8DB3E1"/>
          </w:tcPr>
          <w:p>
            <w:pPr>
              <w:pStyle w:val="TableParagraph"/>
              <w:spacing w:before="2"/>
              <w:ind w:start="107"/>
              <w:rPr>
                <w:b/>
                <w:i/>
                <w:sz w:val="20"/>
              </w:rPr>
            </w:pPr>
            <w:r>
              <w:rPr>
                <w:b/>
                <w:i/>
                <w:sz w:val="20"/>
              </w:rPr>
              <w:t xml:space="preserve">Impact </w:t>
            </w:r>
            <w:r>
              <w:rPr>
                <w:b/>
                <w:i/>
                <w:sz w:val="20"/>
              </w:rPr>
              <w:t xml:space="preserve">sur la </w:t>
            </w:r>
            <w:r>
              <w:rPr>
                <w:b/>
                <w:i/>
                <w:sz w:val="20"/>
              </w:rPr>
              <w:t xml:space="preserve">santé </w:t>
            </w:r>
            <w:r>
              <w:rPr>
                <w:b/>
                <w:i/>
                <w:sz w:val="20"/>
              </w:rPr>
              <w:t xml:space="preserve">mentale</w:t>
            </w:r>
          </w:p>
        </w:tc>
      </w:tr>
    </w:tbl>
    <w:p w:rsidR="00432386" w:rsidRDefault="00432386">
      <w:pPr>
        <w:rPr>
          <w:sz w:val="20"/>
        </w:rPr>
        <w:sectPr w:rsidR="00432386">
          <w:footerReference w:type="default" r:id="rId305"/>
          <w:pgSz w:w="16840" w:h="11910" w:orient="landscape"/>
          <w:pgMar w:top="1100" w:right="1100" w:bottom="1380" w:left="1320" w:header="0" w:footer="1182" w:gutter="0"/>
          <w:pgNumType w:start="99"/>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136"/>
        <w:gridCol w:w="1133"/>
        <w:gridCol w:w="2271"/>
        <w:gridCol w:w="1434"/>
        <w:gridCol w:w="1258"/>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540" w:type="dxa"/>
            <w:gridSpan w:val="3"/>
            <w:shd w:val="clear" w:color="auto" w:fill="D9D9D9"/>
          </w:tcPr>
          <w:p>
            <w:pPr>
              <w:pStyle w:val="TableParagraph"/>
              <w:spacing w:before="1"/>
              <w:ind w:start="1472"/>
              <w:rPr>
                <w:b/>
                <w:sz w:val="16"/>
              </w:rPr>
            </w:pPr>
            <w:r>
              <w:rPr>
                <w:b/>
                <w:sz w:val="16"/>
              </w:rPr>
              <w:t xml:space="preserve">Résumé </w:t>
            </w:r>
            <w:r>
              <w:rPr>
                <w:b/>
                <w:sz w:val="16"/>
              </w:rPr>
              <w:t xml:space="preserve">des </w:t>
            </w:r>
            <w:r>
              <w:rPr>
                <w:b/>
                <w:sz w:val="16"/>
              </w:rPr>
              <w:t xml:space="preserve">conclusions</w:t>
            </w:r>
          </w:p>
        </w:tc>
        <w:tc>
          <w:tcPr>
            <w:tcW w:w="1434" w:type="dxa"/>
            <w:vMerge w:val="restart"/>
            <w:shd w:val="clear" w:color="auto" w:fill="D9D9D9"/>
          </w:tcPr>
          <w:p>
            <w:pPr>
              <w:pStyle w:val="TableParagraph"/>
              <w:spacing w:before="1"/>
              <w:ind w:start="175"/>
              <w:rPr>
                <w:b/>
                <w:sz w:val="16"/>
              </w:rPr>
            </w:pPr>
            <w:r>
              <w:rPr>
                <w:b/>
                <w:sz w:val="16"/>
              </w:rPr>
              <w:t xml:space="preserve">IMPORTANCE</w:t>
            </w:r>
          </w:p>
        </w:tc>
        <w:tc>
          <w:tcPr>
            <w:tcW w:w="1258" w:type="dxa"/>
            <w:vMerge w:val="restart"/>
            <w:shd w:val="clear" w:color="auto" w:fill="D9D9D9"/>
          </w:tcPr>
          <w:p>
            <w:pPr>
              <w:pStyle w:val="TableParagraph"/>
              <w:spacing w:before="1"/>
              <w:ind w:start="165"/>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269" w:type="dxa"/>
            <w:gridSpan w:val="2"/>
            <w:shd w:val="clear" w:color="auto" w:fill="D9D9D9"/>
          </w:tcPr>
          <w:p>
            <w:pPr>
              <w:pStyle w:val="TableParagraph"/>
              <w:spacing w:line="180" w:lineRule="atLeast"/>
              <w:ind w:start="551" w:end="399" w:hanging="125"/>
              <w:rPr>
                <w:b/>
                <w:sz w:val="16"/>
              </w:rPr>
            </w:pPr>
            <w:r>
              <w:rPr>
                <w:b/>
                <w:sz w:val="16"/>
              </w:rPr>
              <w:t xml:space="preserve">Nombre d'événements/Nombre de </w:t>
            </w:r>
            <w:r>
              <w:rPr>
                <w:b/>
                <w:sz w:val="16"/>
              </w:rPr>
              <w:t xml:space="preserve">patients </w:t>
            </w:r>
            <w:r>
              <w:rPr>
                <w:b/>
                <w:sz w:val="16"/>
              </w:rPr>
              <w:t xml:space="preserve">(n/N%)</w:t>
            </w:r>
          </w:p>
        </w:tc>
        <w:tc>
          <w:tcPr>
            <w:tcW w:w="2271" w:type="dxa"/>
            <w:shd w:val="clear" w:color="auto" w:fill="D9D9D9"/>
          </w:tcPr>
          <w:p>
            <w:pPr>
              <w:pStyle w:val="TableParagraph"/>
              <w:spacing w:before="1"/>
              <w:ind w:start="910"/>
              <w:rPr>
                <w:b/>
                <w:sz w:val="16"/>
              </w:rPr>
            </w:pPr>
            <w:r>
              <w:rPr>
                <w:b/>
                <w:sz w:val="16"/>
              </w:rPr>
              <w:t xml:space="preserve">Effet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366"/>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136" w:type="dxa"/>
            <w:shd w:val="clear" w:color="auto" w:fill="D9D9D9"/>
          </w:tcPr>
          <w:p>
            <w:pPr>
              <w:pStyle w:val="TableParagraph"/>
              <w:spacing w:line="183" w:lineRule="exact"/>
              <w:ind w:start="88" w:end="82"/>
              <w:jc w:val="center"/>
              <w:rPr>
                <w:b/>
                <w:sz w:val="16"/>
              </w:rPr>
            </w:pPr>
            <w:r>
              <w:rPr>
                <w:b/>
                <w:sz w:val="16"/>
              </w:rPr>
              <w:t xml:space="preserve">Intervention</w:t>
            </w:r>
          </w:p>
        </w:tc>
        <w:tc>
          <w:tcPr>
            <w:tcW w:w="1133" w:type="dxa"/>
            <w:shd w:val="clear" w:color="auto" w:fill="D9D9D9"/>
          </w:tcPr>
          <w:p>
            <w:pPr>
              <w:pStyle w:val="TableParagraph"/>
              <w:spacing w:line="183" w:lineRule="exact"/>
              <w:ind w:start="92" w:end="83"/>
              <w:jc w:val="center"/>
              <w:rPr>
                <w:b/>
                <w:sz w:val="16"/>
              </w:rPr>
            </w:pPr>
            <w:r>
              <w:rPr>
                <w:b/>
                <w:sz w:val="16"/>
              </w:rPr>
              <w:t xml:space="preserve">Comparateur</w:t>
            </w:r>
          </w:p>
        </w:tc>
        <w:tc>
          <w:tcPr>
            <w:tcW w:w="2271" w:type="dxa"/>
            <w:shd w:val="clear" w:color="auto" w:fill="D9D9D9"/>
          </w:tcPr>
          <w:p>
            <w:pPr>
              <w:pStyle w:val="TableParagraph"/>
              <w:spacing w:line="183" w:lineRule="exact"/>
              <w:ind w:start="888"/>
              <w:rPr>
                <w:b/>
                <w:sz w:val="16"/>
              </w:rPr>
            </w:pPr>
            <w:r>
              <w:rPr>
                <w:b/>
                <w:sz w:val="16"/>
              </w:rPr>
              <w:t xml:space="preserve">Résultat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728"/>
        </w:trPr>
        <w:tc>
          <w:tcPr>
            <w:tcW w:w="14177" w:type="dxa"/>
            <w:gridSpan w:val="10"/>
            <w:shd w:val="clear" w:color="auto" w:fill="C5D9F0"/>
          </w:tcPr>
          <w:p>
            <w:pPr>
              <w:pStyle w:val="TableParagraph"/>
              <w:spacing w:line="278" w:lineRule="auto"/>
              <w:ind w:start="107" w:end="128"/>
              <w:rPr>
                <w:b/>
                <w:i/>
                <w:sz w:val="20"/>
              </w:rPr>
            </w:pPr>
            <w:r>
              <w:rPr>
                <w:b/>
                <w:i/>
                <w:sz w:val="20"/>
              </w:rPr>
              <w:t xml:space="preserve">Moyenne±SD Inventaire des dépressions de Beck-II, point temporel au départ (avant les analogues de la GnRH) par rapport au suivi (juste avant les hormones d'affirmation du genre). </w:t>
            </w:r>
            <w:r>
              <w:rPr>
                <w:b/>
                <w:i/>
                <w:sz w:val="20"/>
              </w:rPr>
              <w:t xml:space="preserve">(Les </w:t>
            </w:r>
            <w:r>
              <w:rPr>
                <w:b/>
                <w:i/>
                <w:sz w:val="20"/>
              </w:rPr>
              <w:t xml:space="preserve">scores </w:t>
            </w:r>
            <w:r>
              <w:rPr>
                <w:b/>
                <w:i/>
                <w:sz w:val="20"/>
              </w:rPr>
              <w:t xml:space="preserve">les plus bas </w:t>
            </w:r>
            <w:r>
              <w:rPr>
                <w:b/>
                <w:i/>
                <w:sz w:val="20"/>
              </w:rPr>
              <w:t xml:space="preserve">indiquent un </w:t>
            </w:r>
            <w:r>
              <w:rPr>
                <w:b/>
                <w:i/>
                <w:sz w:val="20"/>
              </w:rPr>
              <w:t xml:space="preserve">bénéfice)</w:t>
            </w:r>
          </w:p>
        </w:tc>
      </w:tr>
      <w:tr w:rsidR="00432386">
        <w:trPr>
          <w:trHeight w:val="952"/>
        </w:trPr>
        <w:tc>
          <w:tcPr>
            <w:tcW w:w="1594" w:type="dxa"/>
          </w:tcPr>
          <w:p>
            <w:pPr>
              <w:pStyle w:val="TableParagraph"/>
              <w:spacing w:before="165"/>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6" w:end="82"/>
              <w:jc w:val="center"/>
              <w:rPr>
                <w:sz w:val="18"/>
              </w:rPr>
            </w:pPr>
            <w:r>
              <w:rPr>
                <w:sz w:val="18"/>
              </w:rPr>
              <w:t xml:space="preserve">N=41</w:t>
            </w:r>
          </w:p>
        </w:tc>
        <w:tc>
          <w:tcPr>
            <w:tcW w:w="1133" w:type="dxa"/>
          </w:tcPr>
          <w:p>
            <w:pPr>
              <w:pStyle w:val="TableParagraph"/>
              <w:spacing w:line="206" w:lineRule="exact"/>
              <w:ind w:start="89" w:end="83"/>
              <w:jc w:val="center"/>
              <w:rPr>
                <w:sz w:val="18"/>
              </w:rPr>
            </w:pPr>
            <w:r>
              <w:rPr>
                <w:sz w:val="18"/>
              </w:rPr>
              <w:t xml:space="preserve">Aucun</w:t>
            </w:r>
          </w:p>
        </w:tc>
        <w:tc>
          <w:tcPr>
            <w:tcW w:w="2271" w:type="dxa"/>
          </w:tcPr>
          <w:p>
            <w:pPr>
              <w:pStyle w:val="TableParagraph"/>
              <w:spacing w:line="278" w:lineRule="auto"/>
              <w:ind w:start="236" w:end="230"/>
              <w:jc w:val="center"/>
              <w:rPr>
                <w:sz w:val="18"/>
              </w:rPr>
            </w:pPr>
            <w:r>
              <w:rPr>
                <w:sz w:val="18"/>
              </w:rPr>
              <w:t xml:space="preserve">Ligne de base : 8,31±7,12 </w:t>
            </w:r>
            <w:r>
              <w:rPr>
                <w:sz w:val="18"/>
              </w:rPr>
              <w:t xml:space="preserve">GnRH analogue : </w:t>
            </w:r>
            <w:r>
              <w:rPr>
                <w:sz w:val="18"/>
              </w:rPr>
              <w:t xml:space="preserve">4.95±6.72</w:t>
            </w:r>
          </w:p>
          <w:p>
            <w:pPr>
              <w:pStyle w:val="TableParagraph"/>
              <w:spacing w:line="202" w:lineRule="exact"/>
              <w:ind w:start="237" w:end="230"/>
              <w:jc w:val="center"/>
              <w:rPr>
                <w:sz w:val="18"/>
              </w:rPr>
            </w:pPr>
            <w:r>
              <w:rPr>
                <w:i/>
                <w:sz w:val="18"/>
              </w:rPr>
              <w:t xml:space="preserve">P=0</w:t>
            </w:r>
            <w:r>
              <w:rPr>
                <w:sz w:val="18"/>
              </w:rPr>
              <w:t xml:space="preserve">.004</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r w:rsidR="00432386">
        <w:trPr>
          <w:trHeight w:val="729"/>
        </w:trPr>
        <w:tc>
          <w:tcPr>
            <w:tcW w:w="14177" w:type="dxa"/>
            <w:gridSpan w:val="10"/>
            <w:shd w:val="clear" w:color="auto" w:fill="C5D9F0"/>
          </w:tcPr>
          <w:p>
            <w:pPr>
              <w:pStyle w:val="TableParagraph"/>
              <w:spacing w:line="276" w:lineRule="auto"/>
              <w:ind w:start="107"/>
              <w:rPr>
                <w:b/>
                <w:i/>
                <w:sz w:val="20"/>
              </w:rPr>
            </w:pPr>
            <w:r>
              <w:rPr>
                <w:b/>
                <w:i/>
                <w:sz w:val="20"/>
              </w:rPr>
              <w:t xml:space="preserve">Moyenne±SD </w:t>
            </w:r>
            <w:r>
              <w:rPr>
                <w:b/>
                <w:i/>
                <w:sz w:val="20"/>
              </w:rPr>
              <w:t xml:space="preserve">Trait de </w:t>
            </w:r>
            <w:r>
              <w:rPr>
                <w:b/>
                <w:i/>
                <w:sz w:val="20"/>
              </w:rPr>
              <w:t xml:space="preserve">colère </w:t>
            </w:r>
            <w:r>
              <w:rPr>
                <w:b/>
                <w:i/>
                <w:sz w:val="20"/>
              </w:rPr>
              <w:t xml:space="preserve">(TPI),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GnRH)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 les </w:t>
            </w:r>
            <w:r>
              <w:rPr>
                <w:b/>
                <w:i/>
                <w:sz w:val="20"/>
              </w:rPr>
              <w:t xml:space="preserve">scores les </w:t>
            </w:r>
            <w:r>
              <w:rPr>
                <w:b/>
                <w:i/>
                <w:sz w:val="20"/>
              </w:rPr>
              <w:t xml:space="preserve">plus bas </w:t>
            </w:r>
            <w:r>
              <w:rPr>
                <w:b/>
                <w:i/>
                <w:sz w:val="20"/>
              </w:rPr>
              <w:t xml:space="preserve">indiquent </w:t>
            </w:r>
            <w:r>
              <w:rPr>
                <w:b/>
                <w:i/>
                <w:sz w:val="20"/>
              </w:rPr>
              <w:t xml:space="preserve">un bénéfice)</w:t>
            </w:r>
          </w:p>
        </w:tc>
      </w:tr>
      <w:tr w:rsidR="00432386">
        <w:trPr>
          <w:trHeight w:val="921"/>
        </w:trPr>
        <w:tc>
          <w:tcPr>
            <w:tcW w:w="1594" w:type="dxa"/>
          </w:tcPr>
          <w:p>
            <w:pPr>
              <w:pStyle w:val="TableParagraph"/>
              <w:spacing w:before="150"/>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6" w:end="82"/>
              <w:jc w:val="center"/>
              <w:rPr>
                <w:sz w:val="18"/>
              </w:rPr>
            </w:pPr>
            <w:r>
              <w:rPr>
                <w:sz w:val="18"/>
              </w:rPr>
              <w:t xml:space="preserve">N=41</w:t>
            </w:r>
          </w:p>
        </w:tc>
        <w:tc>
          <w:tcPr>
            <w:tcW w:w="1133" w:type="dxa"/>
          </w:tcPr>
          <w:p>
            <w:pPr>
              <w:pStyle w:val="TableParagraph"/>
              <w:spacing w:line="206" w:lineRule="exact"/>
              <w:ind w:start="89" w:end="83"/>
              <w:jc w:val="center"/>
              <w:rPr>
                <w:sz w:val="18"/>
              </w:rPr>
            </w:pPr>
            <w:r>
              <w:rPr>
                <w:sz w:val="18"/>
              </w:rPr>
              <w:t xml:space="preserve">Aucun</w:t>
            </w:r>
          </w:p>
        </w:tc>
        <w:tc>
          <w:tcPr>
            <w:tcW w:w="2271" w:type="dxa"/>
          </w:tcPr>
          <w:p>
            <w:pPr>
              <w:pStyle w:val="TableParagraph"/>
              <w:ind w:start="461" w:end="394" w:hanging="305"/>
              <w:rPr>
                <w:sz w:val="18"/>
              </w:rPr>
            </w:pPr>
            <w:r>
              <w:rPr>
                <w:sz w:val="18"/>
              </w:rPr>
              <w:t xml:space="preserve">Ligne de base : 18,29±5,54 </w:t>
            </w:r>
            <w:r>
              <w:rPr>
                <w:sz w:val="18"/>
              </w:rPr>
              <w:t xml:space="preserve">GnRH </w:t>
            </w:r>
            <w:r>
              <w:rPr>
                <w:sz w:val="18"/>
              </w:rPr>
              <w:t xml:space="preserve">analogue :</w:t>
            </w:r>
          </w:p>
          <w:p>
            <w:pPr>
              <w:pStyle w:val="TableParagraph"/>
              <w:spacing w:before="29"/>
              <w:ind w:start="234" w:end="230"/>
              <w:jc w:val="center"/>
              <w:rPr>
                <w:sz w:val="18"/>
              </w:rPr>
            </w:pPr>
            <w:r>
              <w:rPr>
                <w:sz w:val="18"/>
              </w:rPr>
              <w:t xml:space="preserve">17.88±5.24</w:t>
            </w:r>
          </w:p>
          <w:p>
            <w:pPr>
              <w:pStyle w:val="TableParagraph"/>
              <w:spacing w:before="33"/>
              <w:ind w:start="237" w:end="230"/>
              <w:jc w:val="center"/>
              <w:rPr>
                <w:sz w:val="18"/>
              </w:rPr>
            </w:pPr>
            <w:r>
              <w:rPr>
                <w:i/>
                <w:sz w:val="18"/>
              </w:rPr>
              <w:t xml:space="preserve">P=0</w:t>
            </w:r>
            <w:r>
              <w:rPr>
                <w:sz w:val="18"/>
              </w:rPr>
              <w:t xml:space="preserve">.503</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r w:rsidR="00432386">
        <w:trPr>
          <w:trHeight w:val="729"/>
        </w:trPr>
        <w:tc>
          <w:tcPr>
            <w:tcW w:w="14177" w:type="dxa"/>
            <w:gridSpan w:val="10"/>
            <w:shd w:val="clear" w:color="auto" w:fill="C5D9F0"/>
          </w:tcPr>
          <w:p>
            <w:pPr>
              <w:pStyle w:val="TableParagraph"/>
              <w:spacing w:line="276" w:lineRule="auto"/>
              <w:ind w:start="107" w:end="517"/>
              <w:rPr>
                <w:b/>
                <w:i/>
                <w:sz w:val="20"/>
              </w:rPr>
            </w:pPr>
            <w:r>
              <w:rPr>
                <w:b/>
                <w:i/>
                <w:sz w:val="20"/>
              </w:rPr>
              <w:t xml:space="preserve">Moyenne±SD Anxiété de Trait (STAI), point temporel au départ (avant les analogues de la GnRH) par rapport au suivi (juste avant les hormones d'affirmation du genre, des </w:t>
            </w:r>
            <w:r>
              <w:rPr>
                <w:b/>
                <w:i/>
                <w:sz w:val="20"/>
              </w:rPr>
              <w:t xml:space="preserve">scores </w:t>
            </w:r>
            <w:r>
              <w:rPr>
                <w:b/>
                <w:i/>
                <w:sz w:val="20"/>
              </w:rPr>
              <w:t xml:space="preserve">plus bas </w:t>
            </w:r>
            <w:r>
              <w:rPr>
                <w:b/>
                <w:i/>
                <w:sz w:val="20"/>
              </w:rPr>
              <w:t xml:space="preserve">indiquent </w:t>
            </w:r>
            <w:r>
              <w:rPr>
                <w:b/>
                <w:i/>
                <w:sz w:val="20"/>
              </w:rPr>
              <w:t xml:space="preserve">un bénéfice)</w:t>
            </w:r>
          </w:p>
        </w:tc>
      </w:tr>
      <w:tr w:rsidR="00432386">
        <w:trPr>
          <w:trHeight w:val="952"/>
        </w:trPr>
        <w:tc>
          <w:tcPr>
            <w:tcW w:w="1594" w:type="dxa"/>
          </w:tcPr>
          <w:p>
            <w:pPr>
              <w:pStyle w:val="TableParagraph"/>
              <w:spacing w:before="164"/>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6" w:end="82"/>
              <w:jc w:val="center"/>
              <w:rPr>
                <w:sz w:val="18"/>
              </w:rPr>
            </w:pPr>
            <w:r>
              <w:rPr>
                <w:sz w:val="18"/>
              </w:rPr>
              <w:t xml:space="preserve">N=41</w:t>
            </w:r>
          </w:p>
        </w:tc>
        <w:tc>
          <w:tcPr>
            <w:tcW w:w="1133" w:type="dxa"/>
          </w:tcPr>
          <w:p>
            <w:pPr>
              <w:pStyle w:val="TableParagraph"/>
              <w:spacing w:line="206" w:lineRule="exact"/>
              <w:ind w:start="89" w:end="83"/>
              <w:jc w:val="center"/>
              <w:rPr>
                <w:sz w:val="18"/>
              </w:rPr>
            </w:pPr>
            <w:r>
              <w:rPr>
                <w:sz w:val="18"/>
              </w:rPr>
              <w:t xml:space="preserve">Aucun</w:t>
            </w:r>
          </w:p>
        </w:tc>
        <w:tc>
          <w:tcPr>
            <w:tcW w:w="2271" w:type="dxa"/>
          </w:tcPr>
          <w:p>
            <w:pPr>
              <w:pStyle w:val="TableParagraph"/>
              <w:spacing w:line="276" w:lineRule="auto"/>
              <w:ind w:start="238" w:end="230"/>
              <w:jc w:val="center"/>
              <w:rPr>
                <w:sz w:val="18"/>
              </w:rPr>
            </w:pPr>
            <w:r>
              <w:rPr>
                <w:spacing w:val="-1"/>
                <w:sz w:val="18"/>
              </w:rPr>
              <w:t xml:space="preserve">Ligne de base : </w:t>
            </w:r>
            <w:r>
              <w:rPr>
                <w:sz w:val="18"/>
              </w:rPr>
              <w:t xml:space="preserve">39,43±10,07 </w:t>
            </w:r>
            <w:r>
              <w:rPr>
                <w:sz w:val="18"/>
              </w:rPr>
              <w:t xml:space="preserve">GnRH analogue : </w:t>
            </w:r>
            <w:r>
              <w:rPr>
                <w:sz w:val="18"/>
              </w:rPr>
              <w:t xml:space="preserve">37.95±9.38</w:t>
            </w:r>
          </w:p>
          <w:p>
            <w:pPr>
              <w:pStyle w:val="TableParagraph"/>
              <w:spacing w:line="206" w:lineRule="exact"/>
              <w:ind w:start="237" w:end="230"/>
              <w:jc w:val="center"/>
              <w:rPr>
                <w:sz w:val="18"/>
              </w:rPr>
            </w:pPr>
            <w:r>
              <w:rPr>
                <w:i/>
                <w:sz w:val="18"/>
              </w:rPr>
              <w:t xml:space="preserve">P=0</w:t>
            </w:r>
            <w:r>
              <w:rPr>
                <w:sz w:val="18"/>
              </w:rPr>
              <w:t xml:space="preserve">.276</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bl>
    <w:p>
      <w:pPr>
        <w:spacing w:before="3"/>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10"/>
        <w:ind w:start="0"/>
        <w:rPr>
          <w:sz w:val="19"/>
        </w:rPr>
      </w:pPr>
    </w:p>
    <w:p>
      <w:pPr>
        <w:ind w:start="120"/>
        <w:rPr>
          <w:i/>
          <w:sz w:val="18"/>
        </w:rPr>
      </w:pPr>
      <w:r>
        <w:rPr>
          <w:i/>
          <w:sz w:val="18"/>
        </w:rPr>
        <w:t xml:space="preserve">1 </w:t>
      </w: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de </w:t>
      </w:r>
      <w:r>
        <w:rPr>
          <w:i/>
          <w:sz w:val="18"/>
        </w:rPr>
        <w:t xml:space="preserve">de </w:t>
      </w:r>
      <w:r>
        <w:rPr>
          <w:i/>
          <w:sz w:val="18"/>
        </w:rPr>
        <w:t xml:space="preserve">Vries </w:t>
      </w:r>
      <w:r>
        <w:rPr>
          <w:i/>
          <w:sz w:val="18"/>
        </w:rPr>
        <w:t xml:space="preserve">et </w:t>
      </w:r>
      <w:r>
        <w:rPr>
          <w:i/>
          <w:sz w:val="18"/>
        </w:rPr>
        <w:t xml:space="preserve">al. </w:t>
      </w:r>
      <w:r>
        <w:rPr>
          <w:i/>
          <w:sz w:val="18"/>
        </w:rPr>
        <w:t xml:space="preserve">(2011) </w:t>
      </w:r>
      <w:r>
        <w:rPr>
          <w:i/>
          <w:sz w:val="18"/>
        </w:rPr>
        <w:t xml:space="preserve">a été </w:t>
      </w:r>
      <w:r>
        <w:rPr>
          <w:i/>
          <w:sz w:val="18"/>
        </w:rPr>
        <w:t xml:space="preserve">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témoin).</w:t>
      </w:r>
    </w:p>
    <w:p w:rsidR="00432386" w:rsidRDefault="00432386">
      <w:pPr>
        <w:rPr>
          <w:sz w:val="18"/>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i/>
          <w:sz w:val="21"/>
        </w:rPr>
      </w:pPr>
    </w:p>
    <w:p>
      <w:pPr>
        <w:pStyle w:val="Titre1"/>
        <w:spacing w:before="93"/>
        <w:ind w:start="120" w:end="668"/>
        <w:jc w:val="both"/>
      </w:pPr>
      <w:r>
        <w:t xml:space="preserve">Tableau 4 : Question 1. Chez les enfants et les adolescents souffrant de dysphorie de genre, quelle est l'efficacité clinique du traitement </w:t>
      </w:r>
      <w:r>
        <w:t xml:space="preserve">par analogues de la GnRH par rapport à une ou une combinaison de soutien psychologique, de transition sociale vers le </w:t>
      </w:r>
      <w:r>
        <w:t xml:space="preserve">genre </w:t>
      </w:r>
      <w:r>
        <w:t xml:space="preserve">désiré </w:t>
      </w:r>
      <w:r>
        <w:t xml:space="preserve">ou d'aucune intervention ? - </w:t>
      </w:r>
      <w:r>
        <w:t xml:space="preserve">image corporelle</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66"/>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57" w:end="153"/>
              <w:jc w:val="center"/>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464"/>
        </w:trPr>
        <w:tc>
          <w:tcPr>
            <w:tcW w:w="14173" w:type="dxa"/>
            <w:gridSpan w:val="10"/>
            <w:shd w:val="clear" w:color="auto" w:fill="8DB3E1"/>
          </w:tcPr>
          <w:p>
            <w:pPr>
              <w:pStyle w:val="TableParagraph"/>
              <w:spacing w:line="229" w:lineRule="exact"/>
              <w:ind w:start="107"/>
              <w:rPr>
                <w:b/>
                <w:i/>
                <w:sz w:val="20"/>
              </w:rPr>
            </w:pPr>
            <w:r>
              <w:rPr>
                <w:b/>
                <w:i/>
                <w:sz w:val="20"/>
              </w:rPr>
              <w:t xml:space="preserve">Impact </w:t>
            </w:r>
            <w:r>
              <w:rPr>
                <w:b/>
                <w:i/>
                <w:sz w:val="20"/>
              </w:rPr>
              <w:t xml:space="preserve">sur l'</w:t>
            </w:r>
            <w:r>
              <w:rPr>
                <w:b/>
                <w:i/>
                <w:sz w:val="20"/>
              </w:rPr>
              <w:t xml:space="preserve">image </w:t>
            </w:r>
            <w:r>
              <w:rPr>
                <w:b/>
                <w:i/>
                <w:sz w:val="20"/>
              </w:rPr>
              <w:t xml:space="preserve">corporelle</w:t>
            </w:r>
          </w:p>
        </w:tc>
      </w:tr>
      <w:tr w:rsidR="00432386">
        <w:trPr>
          <w:trHeight w:val="729"/>
        </w:trPr>
        <w:tc>
          <w:tcPr>
            <w:tcW w:w="14173" w:type="dxa"/>
            <w:gridSpan w:val="10"/>
            <w:shd w:val="clear" w:color="auto" w:fill="C5D9F0"/>
          </w:tcPr>
          <w:p>
            <w:pPr>
              <w:pStyle w:val="TableParagraph"/>
              <w:spacing w:line="276" w:lineRule="auto"/>
              <w:ind w:start="107" w:end="100"/>
              <w:rPr>
                <w:b/>
                <w:i/>
                <w:sz w:val="20"/>
              </w:rPr>
            </w:pPr>
            <w:r>
              <w:rPr>
                <w:b/>
                <w:i/>
                <w:sz w:val="20"/>
              </w:rPr>
              <w:t xml:space="preserve">Moyenne±SD de l'échelle d'image corporelle (caractéristiques sexuelles primaires), point temporel au départ (avant les analogues de la GnRH) par rapport au suivi (juste avant les </w:t>
            </w:r>
            <w:r>
              <w:rPr>
                <w:b/>
                <w:i/>
                <w:sz w:val="20"/>
              </w:rPr>
              <w:t xml:space="preserve">hormones d'affirmation du </w:t>
            </w:r>
            <w:r>
              <w:rPr>
                <w:b/>
                <w:i/>
                <w:sz w:val="20"/>
              </w:rPr>
              <w:t xml:space="preserve">genre</w:t>
            </w:r>
            <w:r>
              <w:rPr>
                <w:b/>
                <w:i/>
                <w:sz w:val="20"/>
              </w:rPr>
              <w:t xml:space="preserve">, des </w:t>
            </w:r>
            <w:r>
              <w:rPr>
                <w:b/>
                <w:i/>
                <w:sz w:val="20"/>
              </w:rPr>
              <w:t xml:space="preserve">scores </w:t>
            </w:r>
            <w:r>
              <w:rPr>
                <w:b/>
                <w:i/>
                <w:sz w:val="20"/>
              </w:rPr>
              <w:t xml:space="preserve">plus bas </w:t>
            </w:r>
            <w:r>
              <w:rPr>
                <w:b/>
                <w:i/>
                <w:sz w:val="20"/>
              </w:rPr>
              <w:t xml:space="preserve">indiquent </w:t>
            </w:r>
            <w:r>
              <w:rPr>
                <w:b/>
                <w:i/>
                <w:sz w:val="20"/>
              </w:rPr>
              <w:t xml:space="preserve">un bénéfice)</w:t>
            </w:r>
          </w:p>
        </w:tc>
      </w:tr>
      <w:tr w:rsidR="00432386">
        <w:trPr>
          <w:trHeight w:val="681"/>
        </w:trPr>
        <w:tc>
          <w:tcPr>
            <w:tcW w:w="1594" w:type="dxa"/>
          </w:tcPr>
          <w:p>
            <w:pPr>
              <w:pStyle w:val="TableParagraph"/>
              <w:spacing w:before="30"/>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0"/>
              <w:jc w:val="center"/>
              <w:rPr>
                <w:sz w:val="18"/>
              </w:rPr>
            </w:pPr>
            <w:r>
              <w:rPr>
                <w:sz w:val="18"/>
              </w:rPr>
              <w:t xml:space="preserve">N=57</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100"/>
              <w:jc w:val="center"/>
              <w:rPr>
                <w:sz w:val="18"/>
              </w:rPr>
            </w:pPr>
            <w:r>
              <w:rPr>
                <w:sz w:val="18"/>
              </w:rPr>
              <w:t xml:space="preserve">Ligne de base : </w:t>
            </w:r>
            <w:r>
              <w:rPr>
                <w:sz w:val="18"/>
              </w:rPr>
              <w:t xml:space="preserve">4,10±0,56</w:t>
            </w:r>
          </w:p>
          <w:p>
            <w:pPr>
              <w:pStyle w:val="TableParagraph"/>
              <w:spacing w:before="30" w:line="207" w:lineRule="exact"/>
              <w:ind w:start="107" w:end="101"/>
              <w:jc w:val="center"/>
              <w:rPr>
                <w:sz w:val="18"/>
              </w:rPr>
            </w:pPr>
            <w:r>
              <w:rPr>
                <w:sz w:val="18"/>
              </w:rPr>
              <w:t xml:space="preserve">Analogue de la </w:t>
            </w:r>
            <w:r>
              <w:rPr>
                <w:sz w:val="18"/>
              </w:rPr>
              <w:t xml:space="preserve">GnRH </w:t>
            </w:r>
            <w:r>
              <w:rPr>
                <w:sz w:val="18"/>
              </w:rPr>
              <w:t xml:space="preserve">: </w:t>
            </w:r>
            <w:r>
              <w:rPr>
                <w:sz w:val="18"/>
              </w:rPr>
              <w:t xml:space="preserve">3.98±0.71</w:t>
            </w:r>
          </w:p>
          <w:p>
            <w:pPr>
              <w:pStyle w:val="TableParagraph"/>
              <w:spacing w:line="207" w:lineRule="exact"/>
              <w:ind w:start="107" w:end="97"/>
              <w:jc w:val="center"/>
              <w:rPr>
                <w:sz w:val="18"/>
              </w:rPr>
            </w:pPr>
            <w:r>
              <w:rPr>
                <w:i/>
                <w:sz w:val="18"/>
              </w:rPr>
              <w:t xml:space="preserve">P=0</w:t>
            </w:r>
            <w:r>
              <w:rPr>
                <w:sz w:val="18"/>
              </w:rPr>
              <w:t xml:space="preserve">.145</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before="2" w:line="276" w:lineRule="auto"/>
              <w:ind w:start="107" w:end="640"/>
              <w:rPr>
                <w:b/>
                <w:i/>
                <w:sz w:val="20"/>
              </w:rPr>
            </w:pPr>
            <w:r>
              <w:rPr>
                <w:b/>
                <w:i/>
                <w:sz w:val="20"/>
              </w:rPr>
              <w:t xml:space="preserve">Moyenne±SD de l'échelle d'image corporelle (caractéristiques sexuelles secondaires), point temporel au début de l'étude (avant les analogues de la GnRH) par rapport au suivi (juste avant les </w:t>
            </w:r>
            <w:r>
              <w:rPr>
                <w:b/>
                <w:i/>
                <w:sz w:val="20"/>
              </w:rPr>
              <w:t xml:space="preserve">hormones </w:t>
            </w:r>
            <w:r>
              <w:rPr>
                <w:b/>
                <w:i/>
                <w:sz w:val="20"/>
              </w:rPr>
              <w:t xml:space="preserve">d'affirmation du genre</w:t>
            </w:r>
            <w:r>
              <w:rPr>
                <w:b/>
                <w:i/>
                <w:sz w:val="20"/>
              </w:rPr>
              <w:t xml:space="preserve">, des </w:t>
            </w:r>
            <w:r>
              <w:rPr>
                <w:b/>
                <w:i/>
                <w:sz w:val="20"/>
              </w:rPr>
              <w:t xml:space="preserve">scores </w:t>
            </w:r>
            <w:r>
              <w:rPr>
                <w:b/>
                <w:i/>
                <w:sz w:val="20"/>
              </w:rPr>
              <w:t xml:space="preserve">plus bas </w:t>
            </w:r>
            <w:r>
              <w:rPr>
                <w:b/>
                <w:i/>
                <w:sz w:val="20"/>
              </w:rPr>
              <w:t xml:space="preserve">indiquent </w:t>
            </w:r>
            <w:r>
              <w:rPr>
                <w:b/>
                <w:i/>
                <w:sz w:val="20"/>
              </w:rPr>
              <w:t xml:space="preserve">un bénéfice)</w:t>
            </w:r>
          </w:p>
        </w:tc>
      </w:tr>
      <w:tr w:rsidR="00432386">
        <w:trPr>
          <w:trHeight w:val="676"/>
        </w:trPr>
        <w:tc>
          <w:tcPr>
            <w:tcW w:w="1594" w:type="dxa"/>
          </w:tcPr>
          <w:p>
            <w:pPr>
              <w:pStyle w:val="TableParagraph"/>
              <w:spacing w:before="27"/>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3"/>
              <w:ind w:start="197"/>
              <w:rPr>
                <w:sz w:val="18"/>
              </w:rPr>
            </w:pPr>
            <w:r>
              <w:rPr>
                <w:sz w:val="18"/>
              </w:rPr>
              <w:t xml:space="preserve">Non </w:t>
            </w:r>
            <w:r>
              <w:rPr>
                <w:sz w:val="18"/>
              </w:rPr>
              <w:t xml:space="preserve">applicable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157" w:end="150"/>
              <w:jc w:val="center"/>
              <w:rPr>
                <w:sz w:val="18"/>
              </w:rPr>
            </w:pPr>
            <w:r>
              <w:rPr>
                <w:sz w:val="18"/>
              </w:rPr>
              <w:t xml:space="preserve">N=57</w:t>
            </w:r>
          </w:p>
        </w:tc>
        <w:tc>
          <w:tcPr>
            <w:tcW w:w="1130" w:type="dxa"/>
          </w:tcPr>
          <w:p>
            <w:pPr>
              <w:pStyle w:val="TableParagraph"/>
              <w:spacing w:before="1"/>
              <w:ind w:start="90" w:end="80"/>
              <w:jc w:val="center"/>
              <w:rPr>
                <w:sz w:val="18"/>
              </w:rPr>
            </w:pPr>
            <w:r>
              <w:rPr>
                <w:sz w:val="18"/>
              </w:rPr>
              <w:t xml:space="preserve">Aucun</w:t>
            </w:r>
          </w:p>
        </w:tc>
        <w:tc>
          <w:tcPr>
            <w:tcW w:w="2568" w:type="dxa"/>
          </w:tcPr>
          <w:p>
            <w:pPr>
              <w:pStyle w:val="TableParagraph"/>
              <w:spacing w:before="1" w:line="207" w:lineRule="exact"/>
              <w:ind w:start="107" w:end="100"/>
              <w:jc w:val="center"/>
              <w:rPr>
                <w:sz w:val="18"/>
              </w:rPr>
            </w:pPr>
            <w:r>
              <w:rPr>
                <w:sz w:val="18"/>
              </w:rPr>
              <w:t xml:space="preserve">Ligne de base : </w:t>
            </w:r>
            <w:r>
              <w:rPr>
                <w:sz w:val="18"/>
              </w:rPr>
              <w:t xml:space="preserve">2,74±0,65</w:t>
            </w:r>
          </w:p>
          <w:p>
            <w:pPr>
              <w:pStyle w:val="TableParagraph"/>
              <w:spacing w:line="206" w:lineRule="exact"/>
              <w:ind w:start="107" w:end="101"/>
              <w:jc w:val="center"/>
              <w:rPr>
                <w:sz w:val="18"/>
              </w:rPr>
            </w:pPr>
            <w:r>
              <w:rPr>
                <w:sz w:val="18"/>
              </w:rPr>
              <w:t xml:space="preserve">Analogue de la </w:t>
            </w:r>
            <w:r>
              <w:rPr>
                <w:sz w:val="18"/>
              </w:rPr>
              <w:t xml:space="preserve">GnRH </w:t>
            </w:r>
            <w:r>
              <w:rPr>
                <w:sz w:val="18"/>
              </w:rPr>
              <w:t xml:space="preserve">: </w:t>
            </w:r>
            <w:r>
              <w:rPr>
                <w:sz w:val="18"/>
              </w:rPr>
              <w:t xml:space="preserve">2,82±0,68</w:t>
            </w:r>
          </w:p>
          <w:p>
            <w:pPr>
              <w:pStyle w:val="TableParagraph"/>
              <w:spacing w:line="207" w:lineRule="exact"/>
              <w:ind w:start="107" w:end="97"/>
              <w:jc w:val="center"/>
              <w:rPr>
                <w:sz w:val="18"/>
              </w:rPr>
            </w:pPr>
            <w:r>
              <w:rPr>
                <w:i/>
                <w:sz w:val="18"/>
              </w:rPr>
              <w:t xml:space="preserve">P=0</w:t>
            </w:r>
            <w:r>
              <w:rPr>
                <w:sz w:val="18"/>
              </w:rPr>
              <w:t xml:space="preserve">.569</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8" w:lineRule="auto"/>
              <w:ind w:start="107" w:end="100"/>
              <w:rPr>
                <w:b/>
                <w:i/>
                <w:sz w:val="20"/>
              </w:rPr>
            </w:pPr>
            <w:r>
              <w:rPr>
                <w:b/>
                <w:i/>
                <w:sz w:val="20"/>
              </w:rPr>
              <w:t xml:space="preserve">Moyenne±SD de l'</w:t>
            </w:r>
            <w:r>
              <w:rPr>
                <w:b/>
                <w:i/>
                <w:sz w:val="20"/>
              </w:rPr>
              <w:t xml:space="preserve">échelle d'</w:t>
            </w:r>
            <w:r>
              <w:rPr>
                <w:b/>
                <w:i/>
                <w:sz w:val="20"/>
              </w:rPr>
              <w:t xml:space="preserve">image </w:t>
            </w:r>
            <w:r>
              <w:rPr>
                <w:b/>
                <w:i/>
                <w:sz w:val="20"/>
              </w:rPr>
              <w:t xml:space="preserve">corporelle </w:t>
            </w:r>
            <w:r>
              <w:rPr>
                <w:b/>
                <w:i/>
                <w:sz w:val="20"/>
              </w:rPr>
              <w:t xml:space="preserve">(</w:t>
            </w:r>
            <w:r>
              <w:rPr>
                <w:b/>
                <w:i/>
                <w:sz w:val="20"/>
              </w:rPr>
              <w:t xml:space="preserve">caractéristiques </w:t>
            </w:r>
            <w:r>
              <w:rPr>
                <w:b/>
                <w:i/>
                <w:sz w:val="20"/>
              </w:rPr>
              <w:t xml:space="preserve">neutres</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d'affirmation du </w:t>
            </w:r>
            <w:r>
              <w:rPr>
                <w:b/>
                <w:i/>
                <w:sz w:val="20"/>
              </w:rPr>
              <w:t xml:space="preserve">genre</w:t>
            </w:r>
            <w:r>
              <w:rPr>
                <w:b/>
                <w:i/>
                <w:sz w:val="20"/>
              </w:rPr>
              <w:t xml:space="preserve">, des </w:t>
            </w:r>
            <w:r>
              <w:rPr>
                <w:b/>
                <w:i/>
                <w:sz w:val="20"/>
              </w:rPr>
              <w:t xml:space="preserve">scores </w:t>
            </w:r>
            <w:r>
              <w:rPr>
                <w:b/>
                <w:i/>
                <w:sz w:val="20"/>
              </w:rPr>
              <w:t xml:space="preserve">plus bas </w:t>
            </w:r>
            <w:r>
              <w:rPr>
                <w:b/>
                <w:i/>
                <w:sz w:val="20"/>
              </w:rPr>
              <w:t xml:space="preserve">indiquent </w:t>
            </w:r>
            <w:r>
              <w:rPr>
                <w:b/>
                <w:i/>
                <w:sz w:val="20"/>
              </w:rPr>
              <w:t xml:space="preserve">un bénéfice)</w:t>
            </w:r>
          </w:p>
        </w:tc>
      </w:tr>
      <w:tr w:rsidR="00432386">
        <w:trPr>
          <w:trHeight w:val="684"/>
        </w:trPr>
        <w:tc>
          <w:tcPr>
            <w:tcW w:w="1594" w:type="dxa"/>
          </w:tcPr>
          <w:p>
            <w:pPr>
              <w:pStyle w:val="TableParagraph"/>
              <w:spacing w:before="30"/>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0"/>
              <w:jc w:val="center"/>
              <w:rPr>
                <w:sz w:val="18"/>
              </w:rPr>
            </w:pPr>
            <w:r>
              <w:rPr>
                <w:sz w:val="18"/>
              </w:rPr>
              <w:t xml:space="preserve">N=57</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100"/>
              <w:jc w:val="center"/>
              <w:rPr>
                <w:sz w:val="18"/>
              </w:rPr>
            </w:pPr>
            <w:r>
              <w:rPr>
                <w:sz w:val="18"/>
              </w:rPr>
              <w:t xml:space="preserve">Ligne de base : </w:t>
            </w:r>
            <w:r>
              <w:rPr>
                <w:sz w:val="18"/>
              </w:rPr>
              <w:t xml:space="preserve">2,41±0,63</w:t>
            </w:r>
          </w:p>
          <w:p>
            <w:pPr>
              <w:pStyle w:val="TableParagraph"/>
              <w:spacing w:before="30"/>
              <w:ind w:start="107" w:end="101"/>
              <w:jc w:val="center"/>
              <w:rPr>
                <w:sz w:val="18"/>
              </w:rPr>
            </w:pPr>
            <w:r>
              <w:rPr>
                <w:sz w:val="18"/>
              </w:rPr>
              <w:t xml:space="preserve">Analogue de la </w:t>
            </w:r>
            <w:r>
              <w:rPr>
                <w:sz w:val="18"/>
              </w:rPr>
              <w:t xml:space="preserve">GnRH </w:t>
            </w:r>
            <w:r>
              <w:rPr>
                <w:sz w:val="18"/>
              </w:rPr>
              <w:t xml:space="preserve">: </w:t>
            </w:r>
            <w:r>
              <w:rPr>
                <w:sz w:val="18"/>
              </w:rPr>
              <w:t xml:space="preserve">2,47±0,56</w:t>
            </w:r>
          </w:p>
          <w:p>
            <w:pPr>
              <w:pStyle w:val="TableParagraph"/>
              <w:spacing w:before="2"/>
              <w:ind w:start="107" w:end="97"/>
              <w:jc w:val="center"/>
              <w:rPr>
                <w:sz w:val="18"/>
              </w:rPr>
            </w:pPr>
            <w:r>
              <w:rPr>
                <w:i/>
                <w:sz w:val="18"/>
              </w:rPr>
              <w:t xml:space="preserve">P=0</w:t>
            </w:r>
            <w:r>
              <w:rPr>
                <w:sz w:val="18"/>
              </w:rPr>
              <w:t xml:space="preserve">.620</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bl>
    <w:p>
      <w:pPr>
        <w:spacing w:before="3"/>
        <w:ind w:start="120"/>
        <w:jc w:val="both"/>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0"/>
        <w:ind w:start="0"/>
        <w:rPr>
          <w:sz w:val="20"/>
        </w:rPr>
      </w:pPr>
    </w:p>
    <w:p>
      <w:pPr>
        <w:ind w:start="120"/>
        <w:jc w:val="both"/>
        <w:rPr>
          <w:i/>
          <w:sz w:val="18"/>
        </w:rPr>
      </w:pPr>
      <w:r>
        <w:rPr>
          <w:i/>
          <w:sz w:val="18"/>
        </w:rPr>
        <w:t xml:space="preserve">1 </w:t>
      </w: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de Vries et </w:t>
      </w:r>
      <w:r>
        <w:rPr>
          <w:i/>
          <w:sz w:val="18"/>
        </w:rPr>
        <w:t xml:space="preserve">al. </w:t>
      </w:r>
      <w:r>
        <w:rPr>
          <w:i/>
          <w:sz w:val="18"/>
        </w:rPr>
        <w:t xml:space="preserve">(2011) </w:t>
      </w:r>
      <w:r>
        <w:rPr>
          <w:i/>
          <w:sz w:val="18"/>
        </w:rPr>
        <w:t xml:space="preserve">a été 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rsidR="00432386" w:rsidRDefault="00432386">
      <w:pPr>
        <w:jc w:val="both"/>
        <w:rPr>
          <w:sz w:val="18"/>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i/>
          <w:sz w:val="21"/>
        </w:rPr>
      </w:pPr>
    </w:p>
    <w:p>
      <w:pPr>
        <w:pStyle w:val="Titre1"/>
        <w:spacing w:before="93"/>
        <w:ind w:start="120" w:end="668"/>
        <w:jc w:val="both"/>
      </w:pPr>
      <w:r>
        <w:t xml:space="preserve">Tableau 5 : Question 1. Chez les enfants et les adolescents souffrant de dysphorie de genre, quelle est l'efficacité clinique du traitement </w:t>
      </w:r>
      <w:r>
        <w:t xml:space="preserve">par analogues de la GnRH par rapport à une ou une combinaison de soutien psychologique, de transition sociale </w:t>
      </w:r>
      <w:r>
        <w:t xml:space="preserve">vers le </w:t>
      </w:r>
      <w:r>
        <w:t xml:space="preserve">genre </w:t>
      </w:r>
      <w:r>
        <w:t xml:space="preserve">désiré </w:t>
      </w:r>
      <w:r>
        <w:t xml:space="preserve">ou d'aucune intervention ? - </w:t>
      </w:r>
      <w:r>
        <w:t xml:space="preserve">impact </w:t>
      </w:r>
      <w:r>
        <w:t xml:space="preserve">psychosocial</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end="1051"/>
              <w:jc w:val="right"/>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76"/>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end="1027"/>
              <w:jc w:val="right"/>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465"/>
        </w:trPr>
        <w:tc>
          <w:tcPr>
            <w:tcW w:w="14173" w:type="dxa"/>
            <w:gridSpan w:val="10"/>
            <w:shd w:val="clear" w:color="auto" w:fill="8DB3E1"/>
          </w:tcPr>
          <w:p>
            <w:pPr>
              <w:pStyle w:val="TableParagraph"/>
              <w:ind w:start="107"/>
              <w:rPr>
                <w:b/>
                <w:i/>
                <w:sz w:val="20"/>
              </w:rPr>
            </w:pPr>
            <w:r>
              <w:rPr>
                <w:b/>
                <w:i/>
                <w:sz w:val="20"/>
              </w:rPr>
              <w:t xml:space="preserve">Impact </w:t>
            </w:r>
            <w:r>
              <w:rPr>
                <w:b/>
                <w:i/>
                <w:sz w:val="20"/>
              </w:rPr>
              <w:t xml:space="preserve">psychosocial</w:t>
            </w:r>
          </w:p>
        </w:tc>
      </w:tr>
      <w:tr w:rsidR="00432386">
        <w:trPr>
          <w:trHeight w:val="465"/>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sur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au </w:t>
            </w:r>
            <w:r>
              <w:rPr>
                <w:b/>
                <w:i/>
                <w:sz w:val="20"/>
              </w:rPr>
              <w:t xml:space="preserve">départ, les </w:t>
            </w:r>
            <w:r>
              <w:rPr>
                <w:b/>
                <w:i/>
                <w:sz w:val="20"/>
              </w:rPr>
              <w:t xml:space="preserve">scores les </w:t>
            </w:r>
            <w:r>
              <w:rPr>
                <w:b/>
                <w:i/>
                <w:sz w:val="20"/>
              </w:rPr>
              <w:t xml:space="preserve">plus élevés </w:t>
            </w:r>
            <w:r>
              <w:rPr>
                <w:b/>
                <w:i/>
                <w:sz w:val="20"/>
              </w:rPr>
              <w:t xml:space="preserve">indiquant </w:t>
            </w:r>
            <w:r>
              <w:rPr>
                <w:b/>
                <w:i/>
                <w:sz w:val="20"/>
              </w:rPr>
              <w:t xml:space="preserve">un bénéfice)</w:t>
            </w:r>
          </w:p>
        </w:tc>
      </w:tr>
      <w:tr w:rsidR="00432386">
        <w:trPr>
          <w:trHeight w:val="674"/>
        </w:trPr>
        <w:tc>
          <w:tcPr>
            <w:tcW w:w="1594" w:type="dxa"/>
          </w:tcPr>
          <w:p>
            <w:pPr>
              <w:pStyle w:val="TableParagraph"/>
              <w:spacing w:before="128"/>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09" w:end="359" w:hanging="27"/>
              <w:rPr>
                <w:sz w:val="18"/>
              </w:rPr>
            </w:pPr>
            <w:r>
              <w:rPr>
                <w:sz w:val="18"/>
              </w:rPr>
              <w:t xml:space="preserve">n=101 </w:t>
            </w:r>
            <w:r>
              <w:rPr>
                <w:sz w:val="18"/>
              </w:rPr>
              <w:t xml:space="preserve">58.72</w:t>
            </w:r>
          </w:p>
          <w:p>
            <w:pPr>
              <w:pStyle w:val="TableParagraph"/>
              <w:spacing w:line="206" w:lineRule="exact"/>
              <w:ind w:start="311"/>
              <w:rPr>
                <w:sz w:val="18"/>
              </w:rPr>
            </w:pPr>
            <w:r>
              <w:rPr>
                <w:sz w:val="18"/>
              </w:rPr>
              <w:t xml:space="preserve">[±11.38]</w:t>
            </w:r>
          </w:p>
        </w:tc>
        <w:tc>
          <w:tcPr>
            <w:tcW w:w="1130" w:type="dxa"/>
          </w:tcPr>
          <w:p>
            <w:pPr>
              <w:pStyle w:val="TableParagraph"/>
              <w:ind w:start="337" w:end="284" w:hanging="27"/>
              <w:rPr>
                <w:sz w:val="18"/>
              </w:rPr>
            </w:pPr>
            <w:r>
              <w:rPr>
                <w:sz w:val="18"/>
              </w:rPr>
              <w:t xml:space="preserve">n=100 </w:t>
            </w:r>
            <w:r>
              <w:rPr>
                <w:sz w:val="18"/>
              </w:rPr>
              <w:t xml:space="preserve">56.63</w:t>
            </w:r>
          </w:p>
          <w:p>
            <w:pPr>
              <w:pStyle w:val="TableParagraph"/>
              <w:spacing w:line="206" w:lineRule="exact"/>
              <w:ind w:start="239"/>
              <w:rPr>
                <w:sz w:val="18"/>
              </w:rPr>
            </w:pPr>
            <w:r>
              <w:rPr>
                <w:sz w:val="18"/>
              </w:rPr>
              <w:t xml:space="preserve">[±13.14]</w:t>
            </w:r>
          </w:p>
        </w:tc>
        <w:tc>
          <w:tcPr>
            <w:tcW w:w="2568" w:type="dxa"/>
          </w:tcPr>
          <w:p>
            <w:pPr>
              <w:pStyle w:val="TableParagraph"/>
              <w:spacing w:line="206" w:lineRule="exact"/>
              <w:ind w:end="983"/>
              <w:jc w:val="right"/>
              <w:rPr>
                <w:sz w:val="18"/>
              </w:rPr>
            </w:pPr>
            <w:r>
              <w:rPr>
                <w:i/>
                <w:sz w:val="18"/>
              </w:rPr>
              <w:t xml:space="preserve">P=0</w:t>
            </w:r>
            <w:r>
              <w:rPr>
                <w:sz w:val="18"/>
              </w:rPr>
              <w:t xml:space="preserve">.23</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before="2"/>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à </w:t>
            </w:r>
            <w:r>
              <w:rPr>
                <w:b/>
                <w:i/>
                <w:sz w:val="20"/>
              </w:rPr>
              <w:t xml:space="preserve">6 </w:t>
            </w:r>
            <w:r>
              <w:rPr>
                <w:b/>
                <w:i/>
                <w:sz w:val="20"/>
              </w:rPr>
              <w:t xml:space="preserve">mois2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676"/>
        </w:trPr>
        <w:tc>
          <w:tcPr>
            <w:tcW w:w="1594" w:type="dxa"/>
          </w:tcPr>
          <w:p>
            <w:pPr>
              <w:pStyle w:val="TableParagraph"/>
              <w:spacing w:before="131"/>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80"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42" w:lineRule="auto"/>
              <w:ind w:start="409" w:end="359" w:hanging="27"/>
              <w:rPr>
                <w:sz w:val="18"/>
              </w:rPr>
            </w:pPr>
            <w:r>
              <w:rPr>
                <w:sz w:val="18"/>
              </w:rPr>
              <w:t xml:space="preserve">n=101 </w:t>
            </w:r>
            <w:r>
              <w:rPr>
                <w:sz w:val="18"/>
              </w:rPr>
              <w:t xml:space="preserve">60.89</w:t>
            </w:r>
          </w:p>
          <w:p>
            <w:pPr>
              <w:pStyle w:val="TableParagraph"/>
              <w:spacing w:line="204" w:lineRule="exact"/>
              <w:ind w:start="311"/>
              <w:rPr>
                <w:sz w:val="18"/>
              </w:rPr>
            </w:pPr>
            <w:r>
              <w:rPr>
                <w:sz w:val="18"/>
              </w:rPr>
              <w:t xml:space="preserve">[±12.17]</w:t>
            </w:r>
          </w:p>
        </w:tc>
        <w:tc>
          <w:tcPr>
            <w:tcW w:w="1130" w:type="dxa"/>
          </w:tcPr>
          <w:p>
            <w:pPr>
              <w:pStyle w:val="TableParagraph"/>
              <w:spacing w:line="242" w:lineRule="auto"/>
              <w:ind w:start="337" w:end="284" w:hanging="27"/>
              <w:rPr>
                <w:sz w:val="18"/>
              </w:rPr>
            </w:pPr>
            <w:r>
              <w:rPr>
                <w:sz w:val="18"/>
              </w:rPr>
              <w:t xml:space="preserve">n=100 </w:t>
            </w:r>
            <w:r>
              <w:rPr>
                <w:sz w:val="18"/>
              </w:rPr>
              <w:t xml:space="preserve">60.29</w:t>
            </w:r>
          </w:p>
          <w:p>
            <w:pPr>
              <w:pStyle w:val="TableParagraph"/>
              <w:spacing w:line="204" w:lineRule="exact"/>
              <w:ind w:start="239"/>
              <w:rPr>
                <w:sz w:val="18"/>
              </w:rPr>
            </w:pPr>
            <w:r>
              <w:rPr>
                <w:sz w:val="18"/>
              </w:rPr>
              <w:t xml:space="preserve">[±12.81]</w:t>
            </w:r>
          </w:p>
        </w:tc>
        <w:tc>
          <w:tcPr>
            <w:tcW w:w="2568" w:type="dxa"/>
          </w:tcPr>
          <w:p>
            <w:pPr>
              <w:pStyle w:val="TableParagraph"/>
              <w:spacing w:line="206" w:lineRule="exact"/>
              <w:ind w:end="983"/>
              <w:jc w:val="right"/>
              <w:rPr>
                <w:sz w:val="18"/>
              </w:rPr>
            </w:pPr>
            <w:r>
              <w:rPr>
                <w:i/>
                <w:sz w:val="18"/>
              </w:rPr>
              <w:t xml:space="preserve">P=0</w:t>
            </w:r>
            <w:r>
              <w:rPr>
                <w:sz w:val="18"/>
              </w:rPr>
              <w:t xml:space="preserve">.73</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à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à </w:t>
            </w:r>
            <w:r>
              <w:rPr>
                <w:b/>
                <w:i/>
                <w:sz w:val="20"/>
              </w:rPr>
              <w:t xml:space="preserve">12 </w:t>
            </w:r>
            <w:r>
              <w:rPr>
                <w:b/>
                <w:i/>
                <w:sz w:val="20"/>
              </w:rPr>
              <w:t xml:space="preserve">mois3 </w:t>
            </w:r>
            <w:r>
              <w:rPr>
                <w:b/>
                <w:i/>
                <w:sz w:val="20"/>
              </w:rPr>
              <w:t xml:space="preserve">(un </w:t>
            </w:r>
            <w:r>
              <w:rPr>
                <w:b/>
                <w:i/>
                <w:sz w:val="20"/>
              </w:rPr>
              <w:t xml:space="preserve">score </w:t>
            </w:r>
            <w:r>
              <w:rPr>
                <w:b/>
                <w:i/>
                <w:sz w:val="20"/>
              </w:rPr>
              <w:t xml:space="preserve">plus élevé </w:t>
            </w:r>
            <w:r>
              <w:rPr>
                <w:b/>
                <w:i/>
                <w:sz w:val="20"/>
              </w:rPr>
              <w:t xml:space="preserve">indique </w:t>
            </w:r>
            <w:r>
              <w:rPr>
                <w:b/>
                <w:i/>
                <w:sz w:val="20"/>
              </w:rPr>
              <w:t xml:space="preserve">un bénéfice).</w:t>
            </w:r>
          </w:p>
        </w:tc>
      </w:tr>
      <w:tr w:rsidR="00432386">
        <w:trPr>
          <w:trHeight w:val="676"/>
        </w:trPr>
        <w:tc>
          <w:tcPr>
            <w:tcW w:w="1594" w:type="dxa"/>
          </w:tcPr>
          <w:p>
            <w:pPr>
              <w:pStyle w:val="TableParagraph"/>
              <w:spacing w:before="128"/>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09" w:end="403" w:firstLine="3"/>
              <w:jc w:val="center"/>
              <w:rPr>
                <w:sz w:val="18"/>
              </w:rPr>
            </w:pPr>
            <w:r>
              <w:rPr>
                <w:sz w:val="18"/>
              </w:rPr>
              <w:t xml:space="preserve">n=60 </w:t>
            </w:r>
            <w:r>
              <w:rPr>
                <w:sz w:val="18"/>
              </w:rPr>
              <w:t xml:space="preserve">64.70</w:t>
            </w:r>
          </w:p>
          <w:p>
            <w:pPr>
              <w:pStyle w:val="TableParagraph"/>
              <w:spacing w:line="206" w:lineRule="exact"/>
              <w:ind w:start="157" w:end="151"/>
              <w:jc w:val="center"/>
              <w:rPr>
                <w:sz w:val="18"/>
              </w:rPr>
            </w:pPr>
            <w:r>
              <w:rPr>
                <w:sz w:val="18"/>
              </w:rPr>
              <w:t xml:space="preserve">[±13.34]</w:t>
            </w:r>
          </w:p>
        </w:tc>
        <w:tc>
          <w:tcPr>
            <w:tcW w:w="1130" w:type="dxa"/>
          </w:tcPr>
          <w:p>
            <w:pPr>
              <w:pStyle w:val="TableParagraph"/>
              <w:ind w:start="337" w:end="327" w:firstLine="3"/>
              <w:jc w:val="center"/>
              <w:rPr>
                <w:sz w:val="18"/>
              </w:rPr>
            </w:pPr>
            <w:r>
              <w:rPr>
                <w:sz w:val="18"/>
              </w:rPr>
              <w:t xml:space="preserve">n=61 </w:t>
            </w:r>
            <w:r>
              <w:rPr>
                <w:sz w:val="18"/>
              </w:rPr>
              <w:t xml:space="preserve">62.97</w:t>
            </w:r>
          </w:p>
          <w:p>
            <w:pPr>
              <w:pStyle w:val="TableParagraph"/>
              <w:spacing w:line="206" w:lineRule="exact"/>
              <w:ind w:start="90" w:end="80"/>
              <w:jc w:val="center"/>
              <w:rPr>
                <w:sz w:val="18"/>
              </w:rPr>
            </w:pPr>
            <w:r>
              <w:rPr>
                <w:sz w:val="18"/>
              </w:rPr>
              <w:t xml:space="preserve">[±14.10]</w:t>
            </w:r>
          </w:p>
        </w:tc>
        <w:tc>
          <w:tcPr>
            <w:tcW w:w="2568" w:type="dxa"/>
          </w:tcPr>
          <w:p>
            <w:pPr>
              <w:pStyle w:val="TableParagraph"/>
              <w:spacing w:line="206" w:lineRule="exact"/>
              <w:ind w:end="983"/>
              <w:jc w:val="right"/>
              <w:rPr>
                <w:sz w:val="18"/>
              </w:rPr>
            </w:pPr>
            <w:r>
              <w:rPr>
                <w:i/>
                <w:sz w:val="18"/>
              </w:rPr>
              <w:t xml:space="preserve">P=0</w:t>
            </w:r>
            <w:r>
              <w:rPr>
                <w:sz w:val="18"/>
              </w:rPr>
              <w:t xml:space="preserve">.49</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2"/>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sur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à </w:t>
            </w:r>
            <w:r>
              <w:rPr>
                <w:b/>
                <w:i/>
                <w:sz w:val="20"/>
              </w:rPr>
              <w:t xml:space="preserve">18 </w:t>
            </w:r>
            <w:r>
              <w:rPr>
                <w:b/>
                <w:i/>
                <w:sz w:val="20"/>
              </w:rPr>
              <w:t xml:space="preserve">mois4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676"/>
        </w:trPr>
        <w:tc>
          <w:tcPr>
            <w:tcW w:w="1594" w:type="dxa"/>
          </w:tcPr>
          <w:p>
            <w:pPr>
              <w:pStyle w:val="TableParagraph"/>
              <w:spacing w:before="131"/>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80"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42" w:lineRule="auto"/>
              <w:ind w:start="409" w:end="403" w:firstLine="3"/>
              <w:jc w:val="center"/>
              <w:rPr>
                <w:sz w:val="18"/>
              </w:rPr>
            </w:pPr>
            <w:r>
              <w:rPr>
                <w:sz w:val="18"/>
              </w:rPr>
              <w:t xml:space="preserve">n=35 </w:t>
            </w:r>
            <w:r>
              <w:rPr>
                <w:sz w:val="18"/>
              </w:rPr>
              <w:t xml:space="preserve">67.40</w:t>
            </w:r>
          </w:p>
          <w:p>
            <w:pPr>
              <w:pStyle w:val="TableParagraph"/>
              <w:spacing w:line="205" w:lineRule="exact"/>
              <w:ind w:start="157" w:end="151"/>
              <w:jc w:val="center"/>
              <w:rPr>
                <w:sz w:val="18"/>
              </w:rPr>
            </w:pPr>
            <w:r>
              <w:rPr>
                <w:sz w:val="18"/>
              </w:rPr>
              <w:t xml:space="preserve">[±13.93]</w:t>
            </w:r>
          </w:p>
        </w:tc>
        <w:tc>
          <w:tcPr>
            <w:tcW w:w="1130" w:type="dxa"/>
          </w:tcPr>
          <w:p>
            <w:pPr>
              <w:pStyle w:val="TableParagraph"/>
              <w:spacing w:line="242" w:lineRule="auto"/>
              <w:ind w:start="337" w:end="327" w:firstLine="3"/>
              <w:jc w:val="center"/>
              <w:rPr>
                <w:sz w:val="18"/>
              </w:rPr>
            </w:pPr>
            <w:r>
              <w:rPr>
                <w:sz w:val="18"/>
              </w:rPr>
              <w:t xml:space="preserve">n=36 </w:t>
            </w:r>
            <w:r>
              <w:rPr>
                <w:sz w:val="18"/>
              </w:rPr>
              <w:t xml:space="preserve">62.53</w:t>
            </w:r>
          </w:p>
          <w:p>
            <w:pPr>
              <w:pStyle w:val="TableParagraph"/>
              <w:spacing w:line="205" w:lineRule="exact"/>
              <w:ind w:start="90" w:end="80"/>
              <w:jc w:val="center"/>
              <w:rPr>
                <w:sz w:val="18"/>
              </w:rPr>
            </w:pPr>
            <w:r>
              <w:rPr>
                <w:sz w:val="18"/>
              </w:rPr>
              <w:t xml:space="preserve">[±13.54]</w:t>
            </w:r>
          </w:p>
        </w:tc>
        <w:tc>
          <w:tcPr>
            <w:tcW w:w="2568" w:type="dxa"/>
          </w:tcPr>
          <w:p>
            <w:pPr>
              <w:pStyle w:val="TableParagraph"/>
              <w:spacing w:line="206" w:lineRule="exact"/>
              <w:ind w:end="983"/>
              <w:jc w:val="right"/>
              <w:rPr>
                <w:sz w:val="18"/>
              </w:rPr>
            </w:pPr>
            <w:r>
              <w:rPr>
                <w:i/>
                <w:sz w:val="18"/>
              </w:rPr>
              <w:t xml:space="preserve">P=0</w:t>
            </w:r>
            <w:r>
              <w:rPr>
                <w:sz w:val="18"/>
              </w:rPr>
              <w:t xml:space="preserve">.14</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6 </w:t>
            </w:r>
            <w:r>
              <w:rPr>
                <w:b/>
                <w:i/>
                <w:sz w:val="20"/>
              </w:rPr>
              <w:t xml:space="preserve">mois </w:t>
            </w:r>
            <w:r>
              <w:rPr>
                <w:b/>
                <w:i/>
                <w:sz w:val="20"/>
              </w:rPr>
              <w:t xml:space="preserve">par rapport </w:t>
            </w:r>
            <w:r>
              <w:rPr>
                <w:b/>
                <w:i/>
                <w:sz w:val="20"/>
              </w:rPr>
              <w:t xml:space="preserve">au </w:t>
            </w:r>
            <w:r>
              <w:rPr>
                <w:b/>
                <w:i/>
                <w:sz w:val="20"/>
              </w:rPr>
              <w:t xml:space="preserve">début de l'étude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368" w:end="343"/>
              <w:rPr>
                <w:sz w:val="18"/>
              </w:rPr>
            </w:pPr>
            <w:r>
              <w:rPr>
                <w:sz w:val="18"/>
              </w:rPr>
              <w:t xml:space="preserve">N=101 </w:t>
            </w:r>
            <w:r>
              <w:rPr>
                <w:sz w:val="18"/>
              </w:rPr>
              <w:t xml:space="preserve">N=101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Ligne de base : </w:t>
            </w:r>
            <w:r>
              <w:rPr>
                <w:sz w:val="18"/>
              </w:rPr>
              <w:t xml:space="preserve">58,72±11,38</w:t>
            </w:r>
          </w:p>
          <w:p>
            <w:pPr>
              <w:pStyle w:val="TableParagraph"/>
              <w:spacing w:before="30"/>
              <w:ind w:start="107" w:end="99"/>
              <w:jc w:val="center"/>
              <w:rPr>
                <w:sz w:val="18"/>
              </w:rPr>
            </w:pPr>
            <w:r>
              <w:rPr>
                <w:sz w:val="18"/>
              </w:rPr>
              <w:t xml:space="preserve">6 </w:t>
            </w:r>
            <w:r>
              <w:rPr>
                <w:sz w:val="18"/>
              </w:rPr>
              <w:t xml:space="preserve">mois : </w:t>
            </w:r>
            <w:r>
              <w:rPr>
                <w:sz w:val="18"/>
              </w:rPr>
              <w:t xml:space="preserve">60.89±12.17</w:t>
            </w:r>
          </w:p>
          <w:p>
            <w:pPr>
              <w:pStyle w:val="TableParagraph"/>
              <w:spacing w:before="31"/>
              <w:ind w:start="107" w:end="96"/>
              <w:jc w:val="center"/>
              <w:rPr>
                <w:sz w:val="18"/>
              </w:rPr>
            </w:pPr>
            <w:r>
              <w:rPr>
                <w:i/>
                <w:sz w:val="18"/>
              </w:rPr>
              <w:t xml:space="preserve">P=0</w:t>
            </w:r>
            <w:r>
              <w:rPr>
                <w:sz w:val="18"/>
              </w:rPr>
              <w:t xml:space="preserve">.19</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2"/>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12 </w:t>
            </w:r>
            <w:r>
              <w:rPr>
                <w:b/>
                <w:i/>
                <w:sz w:val="20"/>
              </w:rPr>
              <w:t xml:space="preserve">mois </w:t>
            </w:r>
            <w:r>
              <w:rPr>
                <w:b/>
                <w:i/>
                <w:sz w:val="20"/>
              </w:rPr>
              <w:t xml:space="preserve">par rapport </w:t>
            </w:r>
            <w:r>
              <w:rPr>
                <w:b/>
                <w:i/>
                <w:sz w:val="20"/>
              </w:rPr>
              <w:t xml:space="preserve">au </w:t>
            </w:r>
            <w:r>
              <w:rPr>
                <w:b/>
                <w:i/>
                <w:sz w:val="20"/>
              </w:rPr>
              <w:t xml:space="preserve">début de l'étude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bl>
    <w:p w:rsidR="00432386" w:rsidRDefault="00432386">
      <w:pPr>
        <w:spacing w:line="229" w:lineRule="exact"/>
        <w:rPr>
          <w:sz w:val="20"/>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57" w:end="153"/>
              <w:jc w:val="center"/>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80"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N=101 </w:t>
            </w:r>
            <w:r>
              <w:rPr>
                <w:sz w:val="18"/>
              </w:rPr>
              <w:t xml:space="preserve">N=60</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Ligne de base : </w:t>
            </w:r>
            <w:r>
              <w:rPr>
                <w:sz w:val="18"/>
              </w:rPr>
              <w:t xml:space="preserve">58,72±11,38</w:t>
            </w:r>
          </w:p>
          <w:p>
            <w:pPr>
              <w:pStyle w:val="TableParagraph"/>
              <w:spacing w:before="33"/>
              <w:ind w:start="107" w:end="97"/>
              <w:jc w:val="center"/>
              <w:rPr>
                <w:sz w:val="18"/>
              </w:rPr>
            </w:pPr>
            <w:r>
              <w:rPr>
                <w:sz w:val="18"/>
              </w:rPr>
              <w:t xml:space="preserve">12 </w:t>
            </w:r>
            <w:r>
              <w:rPr>
                <w:sz w:val="18"/>
              </w:rPr>
              <w:t xml:space="preserve">mois : </w:t>
            </w:r>
            <w:r>
              <w:rPr>
                <w:sz w:val="18"/>
              </w:rPr>
              <w:t xml:space="preserve">64.70±13.34</w:t>
            </w:r>
          </w:p>
          <w:p>
            <w:pPr>
              <w:pStyle w:val="TableParagraph"/>
              <w:spacing w:before="30"/>
              <w:ind w:start="107" w:end="96"/>
              <w:jc w:val="center"/>
              <w:rPr>
                <w:sz w:val="18"/>
              </w:rPr>
            </w:pPr>
            <w:r>
              <w:rPr>
                <w:i/>
                <w:sz w:val="18"/>
              </w:rPr>
              <w:t xml:space="preserve">P=0</w:t>
            </w:r>
            <w:r>
              <w:rPr>
                <w:sz w:val="18"/>
              </w:rPr>
              <w:t xml:space="preserve">.003</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18 </w:t>
            </w:r>
            <w:r>
              <w:rPr>
                <w:b/>
                <w:i/>
                <w:sz w:val="20"/>
              </w:rPr>
              <w:t xml:space="preserve">mois </w:t>
            </w:r>
            <w:r>
              <w:rPr>
                <w:b/>
                <w:i/>
                <w:sz w:val="20"/>
              </w:rPr>
              <w:t xml:space="preserve">par rapport </w:t>
            </w:r>
            <w:r>
              <w:rPr>
                <w:b/>
                <w:i/>
                <w:sz w:val="20"/>
              </w:rPr>
              <w:t xml:space="preserve">au </w:t>
            </w:r>
            <w:r>
              <w:rPr>
                <w:b/>
                <w:i/>
                <w:sz w:val="20"/>
              </w:rPr>
              <w:t xml:space="preserve">début de l'étude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2"/>
        </w:trPr>
        <w:tc>
          <w:tcPr>
            <w:tcW w:w="1594" w:type="dxa"/>
          </w:tcPr>
          <w:p>
            <w:pPr>
              <w:pStyle w:val="TableParagraph"/>
              <w:spacing w:before="147"/>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N=101 </w:t>
            </w:r>
            <w:r>
              <w:rPr>
                <w:sz w:val="18"/>
              </w:rPr>
              <w:t xml:space="preserve">N=35</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Ligne de base : </w:t>
            </w:r>
            <w:r>
              <w:rPr>
                <w:sz w:val="18"/>
              </w:rPr>
              <w:t xml:space="preserve">58,72±11,38</w:t>
            </w:r>
          </w:p>
          <w:p>
            <w:pPr>
              <w:pStyle w:val="TableParagraph"/>
              <w:spacing w:before="30"/>
              <w:ind w:start="107" w:end="97"/>
              <w:jc w:val="center"/>
              <w:rPr>
                <w:sz w:val="18"/>
              </w:rPr>
            </w:pPr>
            <w:r>
              <w:rPr>
                <w:sz w:val="18"/>
              </w:rPr>
              <w:t xml:space="preserve">18 </w:t>
            </w:r>
            <w:r>
              <w:rPr>
                <w:sz w:val="18"/>
              </w:rPr>
              <w:t xml:space="preserve">mois : </w:t>
            </w:r>
            <w:r>
              <w:rPr>
                <w:sz w:val="18"/>
              </w:rPr>
              <w:t xml:space="preserve">67.40±13.93</w:t>
            </w:r>
          </w:p>
          <w:p>
            <w:pPr>
              <w:pStyle w:val="TableParagraph"/>
              <w:spacing w:before="31"/>
              <w:ind w:start="107" w:end="96"/>
              <w:jc w:val="center"/>
              <w:rPr>
                <w:sz w:val="18"/>
              </w:rPr>
            </w:pPr>
            <w:r>
              <w:rPr>
                <w:i/>
                <w:sz w:val="18"/>
              </w:rPr>
              <w:t xml:space="preserve">P&lt; 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before="2"/>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12 </w:t>
            </w:r>
            <w:r>
              <w:rPr>
                <w:b/>
                <w:i/>
                <w:sz w:val="20"/>
              </w:rPr>
              <w:t xml:space="preserve">mois </w:t>
            </w:r>
            <w:r>
              <w:rPr>
                <w:b/>
                <w:i/>
                <w:sz w:val="20"/>
              </w:rPr>
              <w:t xml:space="preserve">par rapport </w:t>
            </w:r>
            <w:r>
              <w:rPr>
                <w:b/>
                <w:i/>
                <w:sz w:val="20"/>
              </w:rPr>
              <w:t xml:space="preserve">à </w:t>
            </w:r>
            <w:r>
              <w:rPr>
                <w:b/>
                <w:i/>
                <w:sz w:val="20"/>
              </w:rPr>
              <w:t xml:space="preserve">6 </w:t>
            </w:r>
            <w:r>
              <w:rPr>
                <w:b/>
                <w:i/>
                <w:sz w:val="20"/>
              </w:rPr>
              <w:t xml:space="preserve">mois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N=101 </w:t>
            </w:r>
            <w:r>
              <w:rPr>
                <w:sz w:val="18"/>
              </w:rPr>
              <w:t xml:space="preserve">N=60</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9"/>
              <w:jc w:val="center"/>
              <w:rPr>
                <w:sz w:val="18"/>
              </w:rPr>
            </w:pPr>
            <w:r>
              <w:rPr>
                <w:sz w:val="18"/>
              </w:rPr>
              <w:t xml:space="preserve">6 </w:t>
            </w:r>
            <w:r>
              <w:rPr>
                <w:sz w:val="18"/>
              </w:rPr>
              <w:t xml:space="preserve">mois : </w:t>
            </w:r>
            <w:r>
              <w:rPr>
                <w:sz w:val="18"/>
              </w:rPr>
              <w:t xml:space="preserve">60.89±12.17</w:t>
            </w:r>
          </w:p>
          <w:p>
            <w:pPr>
              <w:pStyle w:val="TableParagraph"/>
              <w:spacing w:before="30"/>
              <w:ind w:start="107" w:end="97"/>
              <w:jc w:val="center"/>
              <w:rPr>
                <w:sz w:val="18"/>
              </w:rPr>
            </w:pPr>
            <w:r>
              <w:rPr>
                <w:sz w:val="18"/>
              </w:rPr>
              <w:t xml:space="preserve">12 </w:t>
            </w:r>
            <w:r>
              <w:rPr>
                <w:sz w:val="18"/>
              </w:rPr>
              <w:t xml:space="preserve">mois : </w:t>
            </w:r>
            <w:r>
              <w:rPr>
                <w:sz w:val="18"/>
              </w:rPr>
              <w:t xml:space="preserve">64.70±13.34</w:t>
            </w:r>
          </w:p>
          <w:p>
            <w:pPr>
              <w:pStyle w:val="TableParagraph"/>
              <w:spacing w:before="33"/>
              <w:ind w:start="107" w:end="96"/>
              <w:jc w:val="center"/>
              <w:rPr>
                <w:sz w:val="18"/>
              </w:rPr>
            </w:pPr>
            <w:r>
              <w:rPr>
                <w:i/>
                <w:sz w:val="18"/>
              </w:rPr>
              <w:t xml:space="preserve">P=0</w:t>
            </w:r>
            <w:r>
              <w:rPr>
                <w:sz w:val="18"/>
              </w:rPr>
              <w:t xml:space="preserve">.07</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3"/>
        </w:trPr>
        <w:tc>
          <w:tcPr>
            <w:tcW w:w="14173" w:type="dxa"/>
            <w:gridSpan w:val="10"/>
            <w:shd w:val="clear" w:color="auto" w:fill="C5D9F0"/>
          </w:tcPr>
          <w:p>
            <w:pPr>
              <w:pStyle w:val="TableParagraph"/>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18 </w:t>
            </w:r>
            <w:r>
              <w:rPr>
                <w:b/>
                <w:i/>
                <w:sz w:val="20"/>
              </w:rPr>
              <w:t xml:space="preserve">mois </w:t>
            </w:r>
            <w:r>
              <w:rPr>
                <w:b/>
                <w:i/>
                <w:sz w:val="20"/>
              </w:rPr>
              <w:t xml:space="preserve">par rapport </w:t>
            </w:r>
            <w:r>
              <w:rPr>
                <w:b/>
                <w:i/>
                <w:sz w:val="20"/>
              </w:rPr>
              <w:t xml:space="preserve">à </w:t>
            </w:r>
            <w:r>
              <w:rPr>
                <w:b/>
                <w:i/>
                <w:sz w:val="20"/>
              </w:rPr>
              <w:t xml:space="preserve">6 </w:t>
            </w:r>
            <w:r>
              <w:rPr>
                <w:b/>
                <w:i/>
                <w:sz w:val="20"/>
              </w:rPr>
              <w:t xml:space="preserve">mois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418" w:end="344" w:hanging="51"/>
              <w:rPr>
                <w:sz w:val="18"/>
              </w:rPr>
            </w:pPr>
            <w:r>
              <w:rPr>
                <w:sz w:val="18"/>
              </w:rPr>
              <w:t xml:space="preserve">N=101 </w:t>
            </w:r>
            <w:r>
              <w:rPr>
                <w:sz w:val="18"/>
              </w:rPr>
              <w:t xml:space="preserve">N=35</w:t>
            </w:r>
          </w:p>
        </w:tc>
        <w:tc>
          <w:tcPr>
            <w:tcW w:w="1130" w:type="dxa"/>
          </w:tcPr>
          <w:p>
            <w:pPr>
              <w:pStyle w:val="TableParagraph"/>
              <w:spacing w:before="1"/>
              <w:ind w:start="90" w:end="80"/>
              <w:jc w:val="center"/>
              <w:rPr>
                <w:sz w:val="18"/>
              </w:rPr>
            </w:pPr>
            <w:r>
              <w:rPr>
                <w:sz w:val="18"/>
              </w:rPr>
              <w:t xml:space="preserve">Aucun</w:t>
            </w:r>
          </w:p>
        </w:tc>
        <w:tc>
          <w:tcPr>
            <w:tcW w:w="2568" w:type="dxa"/>
          </w:tcPr>
          <w:p>
            <w:pPr>
              <w:pStyle w:val="TableParagraph"/>
              <w:spacing w:before="1"/>
              <w:ind w:start="107" w:end="99"/>
              <w:jc w:val="center"/>
              <w:rPr>
                <w:sz w:val="18"/>
              </w:rPr>
            </w:pPr>
            <w:r>
              <w:rPr>
                <w:sz w:val="18"/>
              </w:rPr>
              <w:t xml:space="preserve">6 </w:t>
            </w:r>
            <w:r>
              <w:rPr>
                <w:sz w:val="18"/>
              </w:rPr>
              <w:t xml:space="preserve">mois : </w:t>
            </w:r>
            <w:r>
              <w:rPr>
                <w:sz w:val="18"/>
              </w:rPr>
              <w:t xml:space="preserve">60.89±12.17</w:t>
            </w:r>
          </w:p>
          <w:p>
            <w:pPr>
              <w:pStyle w:val="TableParagraph"/>
              <w:spacing w:before="31"/>
              <w:ind w:start="107" w:end="97"/>
              <w:jc w:val="center"/>
              <w:rPr>
                <w:sz w:val="18"/>
              </w:rPr>
            </w:pPr>
            <w:r>
              <w:rPr>
                <w:sz w:val="18"/>
              </w:rPr>
              <w:t xml:space="preserve">18 </w:t>
            </w:r>
            <w:r>
              <w:rPr>
                <w:sz w:val="18"/>
              </w:rPr>
              <w:t xml:space="preserve">mois : </w:t>
            </w:r>
            <w:r>
              <w:rPr>
                <w:sz w:val="18"/>
              </w:rPr>
              <w:t xml:space="preserve">67.40±13.93</w:t>
            </w:r>
          </w:p>
          <w:p>
            <w:pPr>
              <w:pStyle w:val="TableParagraph"/>
              <w:spacing w:before="30"/>
              <w:ind w:start="107" w:end="96"/>
              <w:jc w:val="center"/>
              <w:rPr>
                <w:sz w:val="18"/>
              </w:rPr>
            </w:pPr>
            <w:r>
              <w:rPr>
                <w:i/>
                <w:sz w:val="18"/>
              </w:rPr>
              <w:t xml:space="preserve">P&lt; 0.</w:t>
            </w:r>
            <w:r>
              <w:rPr>
                <w:sz w:val="18"/>
              </w:rPr>
              <w:t xml:space="preserve">001</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r w:rsidR="00432386">
        <w:trPr>
          <w:trHeight w:val="465"/>
        </w:trPr>
        <w:tc>
          <w:tcPr>
            <w:tcW w:w="14173"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des </w:t>
            </w:r>
            <w:r>
              <w:rPr>
                <w:b/>
                <w:i/>
                <w:sz w:val="20"/>
              </w:rPr>
              <w:t xml:space="preserve">enfants</w:t>
            </w:r>
            <w:r>
              <w:rPr>
                <w:b/>
                <w:i/>
                <w:sz w:val="20"/>
              </w:rPr>
              <w:t xml:space="preserve">, </w:t>
            </w:r>
            <w:r>
              <w:rPr>
                <w:b/>
                <w:i/>
                <w:sz w:val="20"/>
              </w:rPr>
              <w:t xml:space="preserve">participants </w:t>
            </w:r>
            <w:r>
              <w:rPr>
                <w:b/>
                <w:i/>
                <w:sz w:val="20"/>
              </w:rPr>
              <w:t xml:space="preserve">à </w:t>
            </w:r>
            <w:r>
              <w:rPr>
                <w:b/>
                <w:i/>
                <w:sz w:val="20"/>
              </w:rPr>
              <w:t xml:space="preserve">18 </w:t>
            </w:r>
            <w:r>
              <w:rPr>
                <w:b/>
                <w:i/>
                <w:sz w:val="20"/>
              </w:rPr>
              <w:t xml:space="preserve">mois </w:t>
            </w:r>
            <w:r>
              <w:rPr>
                <w:b/>
                <w:i/>
                <w:sz w:val="20"/>
              </w:rPr>
              <w:t xml:space="preserve">par rapport </w:t>
            </w:r>
            <w:r>
              <w:rPr>
                <w:b/>
                <w:i/>
                <w:sz w:val="20"/>
              </w:rPr>
              <w:t xml:space="preserve">à </w:t>
            </w:r>
            <w:r>
              <w:rPr>
                <w:b/>
                <w:i/>
                <w:sz w:val="20"/>
              </w:rPr>
              <w:t xml:space="preserve">12 </w:t>
            </w:r>
            <w:r>
              <w:rPr>
                <w:b/>
                <w:i/>
                <w:sz w:val="20"/>
              </w:rPr>
              <w:t xml:space="preserve">mois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5"/>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93"/>
              <w:rPr>
                <w:sz w:val="18"/>
              </w:rPr>
            </w:pPr>
            <w:r>
              <w:rPr>
                <w:sz w:val="18"/>
              </w:rPr>
              <w:t xml:space="preserve">N=60 </w:t>
            </w:r>
            <w:r>
              <w:rPr>
                <w:sz w:val="18"/>
              </w:rPr>
              <w:t xml:space="preserve">N=35</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12 </w:t>
            </w:r>
            <w:r>
              <w:rPr>
                <w:sz w:val="18"/>
              </w:rPr>
              <w:t xml:space="preserve">mois : </w:t>
            </w:r>
            <w:r>
              <w:rPr>
                <w:sz w:val="18"/>
              </w:rPr>
              <w:t xml:space="preserve">64.70±13.34</w:t>
            </w:r>
          </w:p>
          <w:p>
            <w:pPr>
              <w:pStyle w:val="TableParagraph"/>
              <w:spacing w:before="30"/>
              <w:ind w:start="107" w:end="97"/>
              <w:jc w:val="center"/>
              <w:rPr>
                <w:sz w:val="18"/>
              </w:rPr>
            </w:pPr>
            <w:r>
              <w:rPr>
                <w:sz w:val="18"/>
              </w:rPr>
              <w:t xml:space="preserve">18 </w:t>
            </w:r>
            <w:r>
              <w:rPr>
                <w:sz w:val="18"/>
              </w:rPr>
              <w:t xml:space="preserve">mois : </w:t>
            </w:r>
            <w:r>
              <w:rPr>
                <w:sz w:val="18"/>
              </w:rPr>
              <w:t xml:space="preserve">67.40±13.93</w:t>
            </w:r>
          </w:p>
          <w:p>
            <w:pPr>
              <w:pStyle w:val="TableParagraph"/>
              <w:spacing w:before="31"/>
              <w:ind w:start="107" w:end="96"/>
              <w:jc w:val="center"/>
              <w:rPr>
                <w:sz w:val="18"/>
              </w:rPr>
            </w:pPr>
            <w:r>
              <w:rPr>
                <w:i/>
                <w:sz w:val="18"/>
              </w:rPr>
              <w:t xml:space="preserve">P=0</w:t>
            </w:r>
            <w:r>
              <w:rPr>
                <w:sz w:val="18"/>
              </w:rPr>
              <w:t xml:space="preserve">.35</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6"/>
        </w:trPr>
        <w:tc>
          <w:tcPr>
            <w:tcW w:w="14173" w:type="dxa"/>
            <w:gridSpan w:val="10"/>
            <w:shd w:val="clear" w:color="auto" w:fill="C5D9F0"/>
          </w:tcPr>
          <w:p>
            <w:pPr>
              <w:pStyle w:val="TableParagraph"/>
              <w:spacing w:line="276" w:lineRule="auto"/>
              <w:ind w:start="107" w:end="951"/>
              <w:rPr>
                <w:b/>
                <w:i/>
                <w:sz w:val="20"/>
              </w:rPr>
            </w:pPr>
            <w:r>
              <w:rPr>
                <w:b/>
                <w:i/>
                <w:sz w:val="20"/>
              </w:rPr>
              <w:t xml:space="preserve">Score moyen [±SD] de l'échelle d'évaluation globale de l'enfant, chez tous les participants (y compris ceux qui n'étaient pas traités par des analogues de la GnRH) à 6 mois2 </w:t>
            </w:r>
            <w:r>
              <w:rPr>
                <w:b/>
                <w:i/>
                <w:sz w:val="20"/>
              </w:rPr>
              <w:t xml:space="preserve">par rapport </w:t>
            </w:r>
            <w:r>
              <w:rPr>
                <w:b/>
                <w:i/>
                <w:sz w:val="20"/>
              </w:rPr>
              <w:t xml:space="preserve">au début de l'étude </w:t>
            </w:r>
            <w:r>
              <w:rPr>
                <w:b/>
                <w:i/>
                <w:sz w:val="20"/>
              </w:rPr>
              <w:t xml:space="preserve">(un </w:t>
            </w:r>
            <w:r>
              <w:rPr>
                <w:b/>
                <w:i/>
                <w:sz w:val="20"/>
              </w:rPr>
              <w:t xml:space="preserve">score </w:t>
            </w:r>
            <w:r>
              <w:rPr>
                <w:b/>
                <w:i/>
                <w:sz w:val="20"/>
              </w:rPr>
              <w:t xml:space="preserve">plus élevé </w:t>
            </w:r>
            <w:r>
              <w:rPr>
                <w:b/>
                <w:i/>
                <w:sz w:val="20"/>
              </w:rPr>
              <w:t xml:space="preserve">indique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3"/>
              <w:ind w:start="197"/>
              <w:rPr>
                <w:sz w:val="18"/>
              </w:rPr>
            </w:pPr>
            <w:r>
              <w:rPr>
                <w:sz w:val="18"/>
              </w:rPr>
              <w:t xml:space="preserve">Non </w:t>
            </w:r>
            <w:r>
              <w:rPr>
                <w:sz w:val="18"/>
              </w:rPr>
              <w:t xml:space="preserve">applicable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157" w:end="150"/>
              <w:jc w:val="center"/>
              <w:rPr>
                <w:sz w:val="18"/>
              </w:rPr>
            </w:pPr>
            <w:r>
              <w:rPr>
                <w:sz w:val="18"/>
              </w:rPr>
              <w:t xml:space="preserve">N=201</w:t>
            </w:r>
          </w:p>
        </w:tc>
        <w:tc>
          <w:tcPr>
            <w:tcW w:w="1130" w:type="dxa"/>
          </w:tcPr>
          <w:p>
            <w:pPr>
              <w:pStyle w:val="TableParagraph"/>
              <w:spacing w:before="1"/>
              <w:ind w:start="90" w:end="80"/>
              <w:jc w:val="center"/>
              <w:rPr>
                <w:sz w:val="18"/>
              </w:rPr>
            </w:pPr>
            <w:r>
              <w:rPr>
                <w:sz w:val="18"/>
              </w:rPr>
              <w:t xml:space="preserve">Aucun</w:t>
            </w:r>
          </w:p>
        </w:tc>
        <w:tc>
          <w:tcPr>
            <w:tcW w:w="2568" w:type="dxa"/>
          </w:tcPr>
          <w:p>
            <w:pPr>
              <w:pStyle w:val="TableParagraph"/>
              <w:spacing w:before="1"/>
              <w:ind w:start="107" w:end="97"/>
              <w:jc w:val="center"/>
              <w:rPr>
                <w:sz w:val="18"/>
              </w:rPr>
            </w:pPr>
            <w:r>
              <w:rPr>
                <w:sz w:val="18"/>
              </w:rPr>
              <w:t xml:space="preserve">Ligne de base : </w:t>
            </w:r>
            <w:r>
              <w:rPr>
                <w:sz w:val="18"/>
              </w:rPr>
              <w:t xml:space="preserve">57,73±12,27</w:t>
            </w:r>
          </w:p>
          <w:p>
            <w:pPr>
              <w:pStyle w:val="TableParagraph"/>
              <w:spacing w:before="31"/>
              <w:ind w:start="107" w:end="99"/>
              <w:jc w:val="center"/>
              <w:rPr>
                <w:sz w:val="18"/>
              </w:rPr>
            </w:pPr>
            <w:r>
              <w:rPr>
                <w:sz w:val="18"/>
              </w:rPr>
              <w:t xml:space="preserve">6 </w:t>
            </w:r>
            <w:r>
              <w:rPr>
                <w:sz w:val="18"/>
              </w:rPr>
              <w:t xml:space="preserve">mois : </w:t>
            </w:r>
            <w:r>
              <w:rPr>
                <w:sz w:val="18"/>
              </w:rPr>
              <w:t xml:space="preserve">60.68±12.47</w:t>
            </w:r>
          </w:p>
          <w:p>
            <w:pPr>
              <w:pStyle w:val="TableParagraph"/>
              <w:spacing w:before="30"/>
              <w:ind w:start="107" w:end="97"/>
              <w:jc w:val="center"/>
              <w:rPr>
                <w:sz w:val="18"/>
              </w:rPr>
            </w:pPr>
            <w:r>
              <w:rPr>
                <w:i/>
                <w:sz w:val="18"/>
              </w:rPr>
              <w:t xml:space="preserve">P&lt;0</w:t>
            </w:r>
            <w:r>
              <w:rPr>
                <w:sz w:val="18"/>
              </w:rPr>
              <w:t xml:space="preserve">.001</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8" w:lineRule="auto"/>
              <w:ind w:start="107" w:end="840"/>
              <w:rPr>
                <w:b/>
                <w:i/>
                <w:sz w:val="20"/>
              </w:rPr>
            </w:pPr>
            <w:r>
              <w:rPr>
                <w:b/>
                <w:i/>
                <w:sz w:val="20"/>
              </w:rPr>
              <w:t xml:space="preserve">Score moyen [±SD] de l'échelle d'évaluation globale de l'enfant, chez tous les participants (y compris ceux qui n'étaient pas traités par des analogues de la GnRH) à 12 mois3 </w:t>
            </w:r>
            <w:r>
              <w:rPr>
                <w:b/>
                <w:i/>
                <w:sz w:val="20"/>
              </w:rPr>
              <w:t xml:space="preserve">par rapport </w:t>
            </w:r>
            <w:r>
              <w:rPr>
                <w:b/>
                <w:i/>
                <w:sz w:val="20"/>
              </w:rPr>
              <w:t xml:space="preserve">au début de l'étude </w:t>
            </w:r>
            <w:r>
              <w:rPr>
                <w:b/>
                <w:i/>
                <w:sz w:val="20"/>
              </w:rPr>
              <w:t xml:space="preserve">(un </w:t>
            </w:r>
            <w:r>
              <w:rPr>
                <w:b/>
                <w:i/>
                <w:sz w:val="20"/>
              </w:rPr>
              <w:t xml:space="preserve">score </w:t>
            </w:r>
            <w:r>
              <w:rPr>
                <w:b/>
                <w:i/>
                <w:sz w:val="20"/>
              </w:rPr>
              <w:t xml:space="preserve">plus élevé </w:t>
            </w:r>
            <w:r>
              <w:rPr>
                <w:b/>
                <w:i/>
                <w:sz w:val="20"/>
              </w:rPr>
              <w:t xml:space="preserve">indique </w:t>
            </w:r>
            <w:r>
              <w:rPr>
                <w:b/>
                <w:i/>
                <w:sz w:val="20"/>
              </w:rPr>
              <w:t xml:space="preserve">un bénéfice).</w:t>
            </w:r>
          </w:p>
        </w:tc>
      </w:tr>
    </w:tbl>
    <w:p w:rsidR="00432386" w:rsidRDefault="00432386">
      <w:pPr>
        <w:spacing w:line="278" w:lineRule="auto"/>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76"/>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80"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368" w:end="343"/>
              <w:rPr>
                <w:sz w:val="18"/>
              </w:rPr>
            </w:pPr>
            <w:r>
              <w:rPr>
                <w:sz w:val="18"/>
              </w:rPr>
              <w:t xml:space="preserve">N=201 </w:t>
            </w:r>
            <w:r>
              <w:rPr>
                <w:sz w:val="18"/>
              </w:rPr>
              <w:t xml:space="preserve">N=121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Ligne de base : </w:t>
            </w:r>
            <w:r>
              <w:rPr>
                <w:sz w:val="18"/>
              </w:rPr>
              <w:t xml:space="preserve">57,73±12,27</w:t>
            </w:r>
          </w:p>
          <w:p>
            <w:pPr>
              <w:pStyle w:val="TableParagraph"/>
              <w:spacing w:before="33"/>
              <w:ind w:start="107" w:end="97"/>
              <w:jc w:val="center"/>
              <w:rPr>
                <w:sz w:val="18"/>
              </w:rPr>
            </w:pPr>
            <w:r>
              <w:rPr>
                <w:sz w:val="18"/>
              </w:rPr>
              <w:t xml:space="preserve">12 </w:t>
            </w:r>
            <w:r>
              <w:rPr>
                <w:sz w:val="18"/>
              </w:rPr>
              <w:t xml:space="preserve">mois : </w:t>
            </w:r>
            <w:r>
              <w:rPr>
                <w:sz w:val="18"/>
              </w:rPr>
              <w:t xml:space="preserve">63.31±14.41</w:t>
            </w:r>
          </w:p>
          <w:p>
            <w:pPr>
              <w:pStyle w:val="TableParagraph"/>
              <w:spacing w:before="30"/>
              <w:ind w:start="107" w:end="97"/>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end="1029"/>
              <w:rPr>
                <w:b/>
                <w:i/>
                <w:sz w:val="20"/>
              </w:rPr>
            </w:pPr>
            <w:r>
              <w:rPr>
                <w:b/>
                <w:i/>
                <w:sz w:val="20"/>
              </w:rPr>
              <w:t xml:space="preserve">Score moyen±SD de l'échelle d'évaluation globale de l'enfant, chez tous les participants (y compris ceux qui n'étaient pas traités par des analogues de la GnRH) à 18 mois4 </w:t>
            </w:r>
            <w:r>
              <w:rPr>
                <w:b/>
                <w:i/>
                <w:sz w:val="20"/>
              </w:rPr>
              <w:t xml:space="preserve">par rapport </w:t>
            </w:r>
            <w:r>
              <w:rPr>
                <w:b/>
                <w:i/>
                <w:sz w:val="20"/>
              </w:rPr>
              <w:t xml:space="preserve">au début de l'étude </w:t>
            </w:r>
            <w:r>
              <w:rPr>
                <w:b/>
                <w:i/>
                <w:sz w:val="20"/>
              </w:rPr>
              <w:t xml:space="preserve">(des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N=201 </w:t>
            </w:r>
            <w:r>
              <w:rPr>
                <w:sz w:val="18"/>
              </w:rPr>
              <w:t xml:space="preserve">N=71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Ligne de base : </w:t>
            </w:r>
            <w:r>
              <w:rPr>
                <w:sz w:val="18"/>
              </w:rPr>
              <w:t xml:space="preserve">57,73±12,27</w:t>
            </w:r>
          </w:p>
          <w:p>
            <w:pPr>
              <w:pStyle w:val="TableParagraph"/>
              <w:spacing w:before="30"/>
              <w:ind w:start="107" w:end="97"/>
              <w:jc w:val="center"/>
              <w:rPr>
                <w:sz w:val="18"/>
              </w:rPr>
            </w:pPr>
            <w:r>
              <w:rPr>
                <w:sz w:val="18"/>
              </w:rPr>
              <w:t xml:space="preserve">18 </w:t>
            </w:r>
            <w:r>
              <w:rPr>
                <w:sz w:val="18"/>
              </w:rPr>
              <w:t xml:space="preserve">mois : </w:t>
            </w:r>
            <w:r>
              <w:rPr>
                <w:sz w:val="18"/>
              </w:rPr>
              <w:t xml:space="preserve">64.93±13.85</w:t>
            </w:r>
          </w:p>
          <w:p>
            <w:pPr>
              <w:pStyle w:val="TableParagraph"/>
              <w:spacing w:before="31"/>
              <w:ind w:start="107" w:end="97"/>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6"/>
        </w:trPr>
        <w:tc>
          <w:tcPr>
            <w:tcW w:w="14173" w:type="dxa"/>
            <w:gridSpan w:val="10"/>
            <w:shd w:val="clear" w:color="auto" w:fill="C5D9F0"/>
          </w:tcPr>
          <w:p>
            <w:pPr>
              <w:pStyle w:val="TableParagraph"/>
              <w:spacing w:line="276" w:lineRule="auto"/>
              <w:ind w:start="107" w:end="90"/>
              <w:rPr>
                <w:b/>
                <w:i/>
                <w:sz w:val="20"/>
              </w:rPr>
            </w:pPr>
            <w:r>
              <w:rPr>
                <w:b/>
                <w:i/>
                <w:sz w:val="20"/>
              </w:rPr>
              <w:t xml:space="preserve">Score moyen±SD de l'échelle d'évaluation globale de l'enfant, chez tous les participants (y compris ceux qui n'étaient pas traités par des analogues de la GnRH) à 12 mois par rapport </w:t>
            </w:r>
            <w:r>
              <w:rPr>
                <w:b/>
                <w:i/>
                <w:sz w:val="20"/>
              </w:rPr>
              <w:t xml:space="preserve">à </w:t>
            </w:r>
            <w:r>
              <w:rPr>
                <w:b/>
                <w:i/>
                <w:sz w:val="20"/>
              </w:rPr>
              <w:t xml:space="preserve">6 </w:t>
            </w:r>
            <w:r>
              <w:rPr>
                <w:b/>
                <w:i/>
                <w:sz w:val="20"/>
              </w:rPr>
              <w:t xml:space="preserve">mois (des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5"/>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368" w:end="343"/>
              <w:rPr>
                <w:sz w:val="18"/>
              </w:rPr>
            </w:pPr>
            <w:r>
              <w:rPr>
                <w:sz w:val="18"/>
              </w:rPr>
              <w:t xml:space="preserve">N=201 </w:t>
            </w:r>
            <w:r>
              <w:rPr>
                <w:sz w:val="18"/>
              </w:rPr>
              <w:t xml:space="preserve">N=121</w:t>
            </w:r>
          </w:p>
        </w:tc>
        <w:tc>
          <w:tcPr>
            <w:tcW w:w="1130" w:type="dxa"/>
          </w:tcPr>
          <w:p>
            <w:pPr>
              <w:pStyle w:val="TableParagraph"/>
              <w:spacing w:before="1"/>
              <w:ind w:start="90" w:end="80"/>
              <w:jc w:val="center"/>
              <w:rPr>
                <w:sz w:val="18"/>
              </w:rPr>
            </w:pPr>
            <w:r>
              <w:rPr>
                <w:sz w:val="18"/>
              </w:rPr>
              <w:t xml:space="preserve">Aucun</w:t>
            </w:r>
          </w:p>
        </w:tc>
        <w:tc>
          <w:tcPr>
            <w:tcW w:w="2568" w:type="dxa"/>
          </w:tcPr>
          <w:p>
            <w:pPr>
              <w:pStyle w:val="TableParagraph"/>
              <w:spacing w:before="1"/>
              <w:ind w:start="107" w:end="99"/>
              <w:jc w:val="center"/>
              <w:rPr>
                <w:sz w:val="18"/>
              </w:rPr>
            </w:pPr>
            <w:r>
              <w:rPr>
                <w:sz w:val="18"/>
              </w:rPr>
              <w:t xml:space="preserve">6 </w:t>
            </w:r>
            <w:r>
              <w:rPr>
                <w:sz w:val="18"/>
              </w:rPr>
              <w:t xml:space="preserve">mois : </w:t>
            </w:r>
            <w:r>
              <w:rPr>
                <w:sz w:val="18"/>
              </w:rPr>
              <w:t xml:space="preserve">60.68±12.47</w:t>
            </w:r>
          </w:p>
          <w:p>
            <w:pPr>
              <w:pStyle w:val="TableParagraph"/>
              <w:spacing w:before="31"/>
              <w:ind w:start="107" w:end="97"/>
              <w:jc w:val="center"/>
              <w:rPr>
                <w:sz w:val="18"/>
              </w:rPr>
            </w:pPr>
            <w:r>
              <w:rPr>
                <w:sz w:val="18"/>
              </w:rPr>
              <w:t xml:space="preserve">12 </w:t>
            </w:r>
            <w:r>
              <w:rPr>
                <w:sz w:val="18"/>
              </w:rPr>
              <w:t xml:space="preserve">mois : </w:t>
            </w:r>
            <w:r>
              <w:rPr>
                <w:sz w:val="18"/>
              </w:rPr>
              <w:t xml:space="preserve">63.31±14.41</w:t>
            </w:r>
          </w:p>
          <w:p>
            <w:pPr>
              <w:pStyle w:val="TableParagraph"/>
              <w:spacing w:before="31"/>
              <w:ind w:start="107" w:end="97"/>
              <w:jc w:val="center"/>
              <w:rPr>
                <w:sz w:val="18"/>
              </w:rPr>
            </w:pPr>
            <w:r>
              <w:rPr>
                <w:i/>
                <w:sz w:val="18"/>
              </w:rPr>
              <w:t xml:space="preserve">P&lt;0</w:t>
            </w:r>
            <w:r>
              <w:rPr>
                <w:sz w:val="18"/>
              </w:rPr>
              <w:t xml:space="preserve">.08</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8" w:lineRule="auto"/>
              <w:ind w:start="107" w:end="90"/>
              <w:rPr>
                <w:b/>
                <w:i/>
                <w:sz w:val="20"/>
              </w:rPr>
            </w:pPr>
            <w:r>
              <w:rPr>
                <w:b/>
                <w:i/>
                <w:sz w:val="20"/>
              </w:rPr>
              <w:t xml:space="preserve">Score moyen±SD de l'échelle d'évaluation globale de l'enfant, chez tous les participants (y compris ceux qui n'étaient pas traités par des analogues de la GnRH) à 18 mois par rapport </w:t>
            </w:r>
            <w:r>
              <w:rPr>
                <w:b/>
                <w:i/>
                <w:sz w:val="20"/>
              </w:rPr>
              <w:t xml:space="preserve">à </w:t>
            </w:r>
            <w:r>
              <w:rPr>
                <w:b/>
                <w:i/>
                <w:sz w:val="20"/>
              </w:rPr>
              <w:t xml:space="preserve">6 </w:t>
            </w:r>
            <w:r>
              <w:rPr>
                <w:b/>
                <w:i/>
                <w:sz w:val="20"/>
              </w:rPr>
              <w:t xml:space="preserve">mois (des </w:t>
            </w:r>
            <w:r>
              <w:rPr>
                <w:b/>
                <w:i/>
                <w:sz w:val="20"/>
              </w:rPr>
              <w:t xml:space="preserve">scores </w:t>
            </w:r>
            <w:r>
              <w:rPr>
                <w:b/>
                <w:i/>
                <w:sz w:val="20"/>
              </w:rPr>
              <w:t xml:space="preserve">plus élevés </w:t>
            </w:r>
            <w:r>
              <w:rPr>
                <w:b/>
                <w:i/>
                <w:sz w:val="20"/>
              </w:rPr>
              <w:t xml:space="preserve">indiquent </w:t>
            </w:r>
            <w:r>
              <w:rPr>
                <w:b/>
                <w:i/>
                <w:sz w:val="20"/>
              </w:rPr>
              <w:t xml:space="preserve">un bénéfice).</w:t>
            </w:r>
          </w:p>
        </w:tc>
      </w:tr>
      <w:tr w:rsidR="00432386">
        <w:trPr>
          <w:trHeight w:val="714"/>
        </w:trPr>
        <w:tc>
          <w:tcPr>
            <w:tcW w:w="1594" w:type="dxa"/>
          </w:tcPr>
          <w:p>
            <w:pPr>
              <w:pStyle w:val="TableParagraph"/>
              <w:spacing w:before="150"/>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N=201 </w:t>
            </w:r>
            <w:r>
              <w:rPr>
                <w:sz w:val="18"/>
              </w:rPr>
              <w:t xml:space="preserve">N=71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9"/>
              <w:jc w:val="center"/>
              <w:rPr>
                <w:sz w:val="18"/>
              </w:rPr>
            </w:pPr>
            <w:r>
              <w:rPr>
                <w:sz w:val="18"/>
              </w:rPr>
              <w:t xml:space="preserve">6 </w:t>
            </w:r>
            <w:r>
              <w:rPr>
                <w:sz w:val="18"/>
              </w:rPr>
              <w:t xml:space="preserve">mois : </w:t>
            </w:r>
            <w:r>
              <w:rPr>
                <w:sz w:val="18"/>
              </w:rPr>
              <w:t xml:space="preserve">60.68±12.47</w:t>
            </w:r>
          </w:p>
          <w:p>
            <w:pPr>
              <w:pStyle w:val="TableParagraph"/>
              <w:spacing w:before="30"/>
              <w:ind w:start="107" w:end="97"/>
              <w:jc w:val="center"/>
              <w:rPr>
                <w:sz w:val="18"/>
              </w:rPr>
            </w:pPr>
            <w:r>
              <w:rPr>
                <w:sz w:val="18"/>
              </w:rPr>
              <w:t xml:space="preserve">18 </w:t>
            </w:r>
            <w:r>
              <w:rPr>
                <w:sz w:val="18"/>
              </w:rPr>
              <w:t xml:space="preserve">mois : </w:t>
            </w:r>
            <w:r>
              <w:rPr>
                <w:sz w:val="18"/>
              </w:rPr>
              <w:t xml:space="preserve">64.93±13.85</w:t>
            </w:r>
          </w:p>
          <w:p>
            <w:pPr>
              <w:pStyle w:val="TableParagraph"/>
              <w:spacing w:before="33"/>
              <w:ind w:start="107" w:end="97"/>
              <w:jc w:val="center"/>
              <w:rPr>
                <w:sz w:val="18"/>
              </w:rPr>
            </w:pPr>
            <w:r>
              <w:rPr>
                <w:i/>
                <w:sz w:val="18"/>
              </w:rPr>
              <w:t xml:space="preserve">P&lt;0</w:t>
            </w:r>
            <w:r>
              <w:rPr>
                <w:sz w:val="18"/>
              </w:rPr>
              <w:t xml:space="preserve">.02</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end="90"/>
              <w:rPr>
                <w:b/>
                <w:i/>
                <w:sz w:val="20"/>
              </w:rPr>
            </w:pPr>
            <w:r>
              <w:rPr>
                <w:b/>
                <w:i/>
                <w:sz w:val="20"/>
              </w:rPr>
              <w:t xml:space="preserve">Score moyen±SD de l'échelle d'évaluation globale de l'enfant, chez tous les participants (y compris ceux qui n'étaient pas traités par des analogues de la GnRH) à 18 mois par rapport </w:t>
            </w:r>
            <w:r>
              <w:rPr>
                <w:b/>
                <w:i/>
                <w:sz w:val="20"/>
              </w:rPr>
              <w:t xml:space="preserve">à </w:t>
            </w:r>
            <w:r>
              <w:rPr>
                <w:b/>
                <w:i/>
                <w:sz w:val="20"/>
              </w:rPr>
              <w:t xml:space="preserve">12 </w:t>
            </w:r>
            <w:r>
              <w:rPr>
                <w:b/>
                <w:i/>
                <w:sz w:val="20"/>
              </w:rPr>
              <w:t xml:space="preserve">mois (des scores plus élevés </w:t>
            </w:r>
            <w:r>
              <w:rPr>
                <w:b/>
                <w:i/>
                <w:sz w:val="20"/>
              </w:rPr>
              <w:t xml:space="preserve">indiquent </w:t>
            </w:r>
            <w:r>
              <w:rPr>
                <w:b/>
                <w:i/>
                <w:sz w:val="20"/>
              </w:rPr>
              <w:t xml:space="preserve">un bénéfice).</w:t>
            </w:r>
          </w:p>
        </w:tc>
      </w:tr>
      <w:tr w:rsidR="00432386">
        <w:trPr>
          <w:trHeight w:val="712"/>
        </w:trPr>
        <w:tc>
          <w:tcPr>
            <w:tcW w:w="1594" w:type="dxa"/>
          </w:tcPr>
          <w:p>
            <w:pPr>
              <w:pStyle w:val="TableParagraph"/>
              <w:spacing w:before="147"/>
              <w:ind w:start="141" w:end="127" w:firstLine="88"/>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line="278" w:lineRule="auto"/>
              <w:ind w:start="228" w:end="211" w:firstLine="108"/>
              <w:rPr>
                <w:sz w:val="18"/>
              </w:rPr>
            </w:pPr>
            <w:r>
              <w:rPr>
                <w:sz w:val="18"/>
              </w:rPr>
              <w:t xml:space="preserve">Aucune </w:t>
            </w:r>
            <w:r>
              <w:rPr>
                <w:spacing w:val="-1"/>
                <w:sz w:val="18"/>
              </w:rPr>
              <w:t xml:space="preserve">incohérence </w:t>
            </w:r>
            <w:r>
              <w:rPr>
                <w:sz w:val="18"/>
              </w:rPr>
              <w:t xml:space="preserve">grave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ind w:start="418" w:end="344" w:hanging="51"/>
              <w:rPr>
                <w:sz w:val="18"/>
              </w:rPr>
            </w:pPr>
            <w:r>
              <w:rPr>
                <w:sz w:val="18"/>
              </w:rPr>
              <w:t xml:space="preserve">N=121 </w:t>
            </w:r>
            <w:r>
              <w:rPr>
                <w:sz w:val="18"/>
              </w:rPr>
              <w:t xml:space="preserve">N=71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12 </w:t>
            </w:r>
            <w:r>
              <w:rPr>
                <w:sz w:val="18"/>
              </w:rPr>
              <w:t xml:space="preserve">mois : </w:t>
            </w:r>
            <w:r>
              <w:rPr>
                <w:sz w:val="18"/>
              </w:rPr>
              <w:t xml:space="preserve">63.31±14.41</w:t>
            </w:r>
          </w:p>
          <w:p>
            <w:pPr>
              <w:pStyle w:val="TableParagraph"/>
              <w:spacing w:before="30"/>
              <w:ind w:start="107" w:end="97"/>
              <w:jc w:val="center"/>
              <w:rPr>
                <w:sz w:val="18"/>
              </w:rPr>
            </w:pPr>
            <w:r>
              <w:rPr>
                <w:sz w:val="18"/>
              </w:rPr>
              <w:t xml:space="preserve">18 </w:t>
            </w:r>
            <w:r>
              <w:rPr>
                <w:sz w:val="18"/>
              </w:rPr>
              <w:t xml:space="preserve">mois : </w:t>
            </w:r>
            <w:r>
              <w:rPr>
                <w:sz w:val="18"/>
              </w:rPr>
              <w:t xml:space="preserve">64.93±13.85</w:t>
            </w:r>
          </w:p>
          <w:p>
            <w:pPr>
              <w:pStyle w:val="TableParagraph"/>
              <w:spacing w:before="31"/>
              <w:ind w:start="107" w:end="96"/>
              <w:jc w:val="center"/>
              <w:rPr>
                <w:sz w:val="18"/>
              </w:rPr>
            </w:pPr>
            <w:r>
              <w:rPr>
                <w:i/>
                <w:sz w:val="18"/>
              </w:rPr>
              <w:t xml:space="preserve">P&lt;0</w:t>
            </w:r>
            <w:r>
              <w:rPr>
                <w:sz w:val="18"/>
              </w:rPr>
              <w:t xml:space="preserve">.45</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before="2" w:line="276" w:lineRule="auto"/>
              <w:ind w:start="107" w:end="100"/>
              <w:rPr>
                <w:b/>
                <w:i/>
                <w:sz w:val="20"/>
              </w:rPr>
            </w:pPr>
            <w:r>
              <w:rPr>
                <w:b/>
                <w:i/>
                <w:sz w:val="20"/>
              </w:rPr>
              <w:t xml:space="preserve">Score </w:t>
            </w:r>
            <w:r>
              <w:rPr>
                <w:b/>
                <w:i/>
                <w:sz w:val="20"/>
              </w:rPr>
              <w:t xml:space="preserve">moyen±SD </w:t>
            </w:r>
            <w:r>
              <w:rPr>
                <w:b/>
                <w:i/>
                <w:sz w:val="20"/>
              </w:rPr>
              <w:t xml:space="preserve">de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18"/>
              </w:rPr>
              <w:t xml:space="preserve">, </w:t>
            </w:r>
            <w:r>
              <w:rPr>
                <w:b/>
                <w:i/>
                <w:sz w:val="20"/>
              </w:rPr>
              <w:t xml:space="preserve">point </w:t>
            </w:r>
            <w:r>
              <w:rPr>
                <w:b/>
                <w:i/>
                <w:sz w:val="20"/>
              </w:rPr>
              <w:t xml:space="preserve">de </w:t>
            </w:r>
            <w:r>
              <w:rPr>
                <w:b/>
                <w:i/>
                <w:sz w:val="20"/>
              </w:rPr>
              <w:t xml:space="preserve">référence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d'affirmation du </w:t>
            </w:r>
            <w:r>
              <w:rPr>
                <w:b/>
                <w:i/>
                <w:sz w:val="20"/>
              </w:rPr>
              <w:t xml:space="preserve">genre</w:t>
            </w:r>
            <w:r>
              <w:rPr>
                <w:b/>
                <w:i/>
                <w:sz w:val="20"/>
              </w:rPr>
              <w:t xml:space="preserve">, les </w:t>
            </w:r>
            <w:r>
              <w:rPr>
                <w:b/>
                <w:i/>
                <w:sz w:val="20"/>
              </w:rPr>
              <w:t xml:space="preserve">scores les </w:t>
            </w:r>
            <w:r>
              <w:rPr>
                <w:b/>
                <w:i/>
                <w:sz w:val="20"/>
              </w:rPr>
              <w:t xml:space="preserve">plus élevés </w:t>
            </w:r>
            <w:r>
              <w:rPr>
                <w:b/>
                <w:i/>
                <w:sz w:val="20"/>
              </w:rPr>
              <w:t xml:space="preserve">indiquent </w:t>
            </w:r>
            <w:r>
              <w:rPr>
                <w:b/>
                <w:i/>
                <w:sz w:val="20"/>
              </w:rPr>
              <w:t xml:space="preserve">un bénéfice).</w:t>
            </w:r>
          </w:p>
        </w:tc>
      </w:tr>
    </w:tbl>
    <w:p w:rsidR="00432386" w:rsidRDefault="00432386">
      <w:pPr>
        <w:spacing w:line="276" w:lineRule="auto"/>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57" w:end="153"/>
              <w:jc w:val="center"/>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676"/>
        </w:trPr>
        <w:tc>
          <w:tcPr>
            <w:tcW w:w="1594" w:type="dxa"/>
          </w:tcPr>
          <w:p>
            <w:pPr>
              <w:pStyle w:val="TableParagraph"/>
              <w:spacing w:before="27"/>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N=41</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8"/>
              <w:jc w:val="center"/>
              <w:rPr>
                <w:sz w:val="18"/>
              </w:rPr>
            </w:pPr>
            <w:r>
              <w:rPr>
                <w:sz w:val="18"/>
              </w:rPr>
              <w:t xml:space="preserve">Ligne de base : </w:t>
            </w:r>
            <w:r>
              <w:rPr>
                <w:sz w:val="18"/>
              </w:rPr>
              <w:t xml:space="preserve">70,24±10,12</w:t>
            </w:r>
          </w:p>
          <w:p>
            <w:pPr>
              <w:pStyle w:val="TableParagraph"/>
              <w:spacing w:before="2" w:line="207" w:lineRule="exact"/>
              <w:ind w:start="107" w:end="98"/>
              <w:jc w:val="center"/>
              <w:rPr>
                <w:sz w:val="18"/>
              </w:rPr>
            </w:pPr>
            <w:r>
              <w:rPr>
                <w:sz w:val="18"/>
              </w:rPr>
              <w:t xml:space="preserve">Analogue de la </w:t>
            </w:r>
            <w:r>
              <w:rPr>
                <w:sz w:val="18"/>
              </w:rPr>
              <w:t xml:space="preserve">GnRH </w:t>
            </w:r>
            <w:r>
              <w:rPr>
                <w:sz w:val="18"/>
              </w:rPr>
              <w:t xml:space="preserve">: </w:t>
            </w:r>
            <w:r>
              <w:rPr>
                <w:sz w:val="18"/>
              </w:rPr>
              <w:t xml:space="preserve">73.90±9.63</w:t>
            </w:r>
          </w:p>
          <w:p>
            <w:pPr>
              <w:pStyle w:val="TableParagraph"/>
              <w:spacing w:line="207" w:lineRule="exact"/>
              <w:ind w:start="107" w:end="97"/>
              <w:jc w:val="center"/>
              <w:rPr>
                <w:sz w:val="18"/>
              </w:rPr>
            </w:pPr>
            <w:r>
              <w:rPr>
                <w:i/>
                <w:sz w:val="18"/>
              </w:rPr>
              <w:t xml:space="preserve">P=0</w:t>
            </w:r>
            <w:r>
              <w:rPr>
                <w:sz w:val="18"/>
              </w:rPr>
              <w:t xml:space="preserve">.005</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rPr>
                <w:b/>
                <w:i/>
                <w:sz w:val="20"/>
              </w:rPr>
            </w:pPr>
            <w:r>
              <w:rPr>
                <w:b/>
                <w:i/>
                <w:sz w:val="20"/>
              </w:rPr>
              <w:t xml:space="preserve">Score </w:t>
            </w:r>
            <w:r>
              <w:rPr>
                <w:b/>
                <w:i/>
                <w:sz w:val="20"/>
              </w:rPr>
              <w:t xml:space="preserve">moyen±SD </w:t>
            </w:r>
            <w:r>
              <w:rPr>
                <w:b/>
                <w:i/>
                <w:sz w:val="20"/>
              </w:rPr>
              <w:t xml:space="preserve">de la </w:t>
            </w:r>
            <w:r>
              <w:rPr>
                <w:b/>
                <w:i/>
                <w:sz w:val="20"/>
              </w:rPr>
              <w:t xml:space="preserve">liste de contrôle du </w:t>
            </w:r>
            <w:r>
              <w:rPr>
                <w:b/>
                <w:i/>
                <w:sz w:val="20"/>
              </w:rPr>
              <w:t xml:space="preserve">comportement de l'</w:t>
            </w:r>
            <w:r>
              <w:rPr>
                <w:b/>
                <w:i/>
                <w:sz w:val="20"/>
              </w:rPr>
              <w:t xml:space="preserve">enfant </w:t>
            </w:r>
            <w:r>
              <w:rPr>
                <w:b/>
                <w:i/>
                <w:sz w:val="20"/>
              </w:rPr>
              <w:t xml:space="preserve">(total </w:t>
            </w:r>
            <w:r>
              <w:rPr>
                <w:b/>
                <w:i/>
                <w:sz w:val="20"/>
              </w:rPr>
              <w:t xml:space="preserve">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w:t>
            </w:r>
            <w:r>
              <w:rPr>
                <w:b/>
                <w:i/>
                <w:sz w:val="20"/>
              </w:rPr>
              <w:t xml:space="preserve">d'affirmation du genre</w:t>
            </w:r>
            <w:r>
              <w:rPr>
                <w:b/>
                <w:i/>
                <w:sz w:val="20"/>
              </w:rPr>
              <w:t xml:space="preserve">, les </w:t>
            </w:r>
            <w:r>
              <w:rPr>
                <w:b/>
                <w:i/>
                <w:sz w:val="20"/>
              </w:rPr>
              <w:t xml:space="preserve">scores les </w:t>
            </w:r>
            <w:r>
              <w:rPr>
                <w:b/>
                <w:i/>
                <w:sz w:val="20"/>
              </w:rPr>
              <w:t xml:space="preserve">plus bas </w:t>
            </w:r>
            <w:r>
              <w:rPr>
                <w:b/>
                <w:i/>
                <w:sz w:val="20"/>
              </w:rPr>
              <w:t xml:space="preserve">indiquent </w:t>
            </w:r>
            <w:r>
              <w:rPr>
                <w:b/>
                <w:i/>
                <w:sz w:val="20"/>
              </w:rPr>
              <w:t xml:space="preserve">un bénéfice).</w:t>
            </w:r>
          </w:p>
        </w:tc>
      </w:tr>
      <w:tr w:rsidR="00432386">
        <w:trPr>
          <w:trHeight w:val="858"/>
        </w:trPr>
        <w:tc>
          <w:tcPr>
            <w:tcW w:w="1594" w:type="dxa"/>
          </w:tcPr>
          <w:p>
            <w:pPr>
              <w:pStyle w:val="TableParagraph"/>
              <w:spacing w:before="119"/>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ind w:start="388" w:end="377"/>
              <w:jc w:val="center"/>
              <w:rPr>
                <w:sz w:val="18"/>
              </w:rPr>
            </w:pPr>
            <w:r>
              <w:rPr>
                <w:spacing w:val="-1"/>
                <w:sz w:val="18"/>
              </w:rPr>
              <w:t xml:space="preserve">Ligne de base : </w:t>
            </w:r>
            <w:r>
              <w:rPr>
                <w:sz w:val="18"/>
              </w:rPr>
              <w:t xml:space="preserve">60,70±12,76 </w:t>
            </w:r>
            <w:r>
              <w:rPr>
                <w:sz w:val="18"/>
              </w:rPr>
              <w:t xml:space="preserve">GnRH analogue : </w:t>
            </w:r>
            <w:r>
              <w:rPr>
                <w:sz w:val="18"/>
              </w:rPr>
              <w:t xml:space="preserve">54.46±11.23</w:t>
            </w:r>
          </w:p>
          <w:p>
            <w:pPr>
              <w:pStyle w:val="TableParagraph"/>
              <w:ind w:start="107" w:end="97"/>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rPr>
                <w:b/>
                <w:i/>
                <w:sz w:val="20"/>
              </w:rPr>
            </w:pPr>
            <w:r>
              <w:rPr>
                <w:b/>
                <w:i/>
                <w:sz w:val="20"/>
              </w:rPr>
              <w:t xml:space="preserve">Score </w:t>
            </w:r>
            <w:r>
              <w:rPr>
                <w:b/>
                <w:i/>
                <w:sz w:val="20"/>
              </w:rPr>
              <w:t xml:space="preserve">moyen±SD </w:t>
            </w:r>
            <w:r>
              <w:rPr>
                <w:b/>
                <w:i/>
                <w:sz w:val="20"/>
              </w:rPr>
              <w:t xml:space="preserve">de la </w:t>
            </w:r>
            <w:r>
              <w:rPr>
                <w:b/>
                <w:i/>
                <w:sz w:val="20"/>
              </w:rPr>
              <w:t xml:space="preserve">liste de contrôle du </w:t>
            </w:r>
            <w:r>
              <w:rPr>
                <w:b/>
                <w:i/>
                <w:sz w:val="20"/>
              </w:rPr>
              <w:t xml:space="preserve">comportement de l'</w:t>
            </w:r>
            <w:r>
              <w:rPr>
                <w:b/>
                <w:i/>
                <w:sz w:val="20"/>
              </w:rPr>
              <w:t xml:space="preserve">enfant </w:t>
            </w:r>
            <w:r>
              <w:rPr>
                <w:b/>
                <w:i/>
                <w:sz w:val="20"/>
              </w:rPr>
              <w:t xml:space="preserve">(internalisation </w:t>
            </w:r>
            <w:r>
              <w:rPr>
                <w:b/>
                <w:i/>
                <w:sz w:val="20"/>
              </w:rPr>
              <w:t xml:space="preserve">T)</w:t>
            </w:r>
            <w:r>
              <w:rPr>
                <w:b/>
                <w:i/>
                <w:sz w:val="20"/>
              </w:rPr>
              <w:t xml:space="preserve">, </w:t>
            </w:r>
            <w:r>
              <w:rPr>
                <w:b/>
                <w:i/>
                <w:sz w:val="20"/>
              </w:rPr>
              <w:t xml:space="preserve">point </w:t>
            </w:r>
            <w:r>
              <w:rPr>
                <w:b/>
                <w:i/>
                <w:sz w:val="20"/>
              </w:rPr>
              <w:t xml:space="preserve">temporel de </w:t>
            </w:r>
            <w:r>
              <w:rPr>
                <w:b/>
                <w:i/>
                <w:sz w:val="20"/>
              </w:rPr>
              <w:t xml:space="preserve">la </w:t>
            </w:r>
            <w:r>
              <w:rPr>
                <w:b/>
                <w:i/>
                <w:sz w:val="20"/>
              </w:rPr>
              <w:t xml:space="preserve">ligne de base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d'affirmation du </w:t>
            </w:r>
            <w:r>
              <w:rPr>
                <w:b/>
                <w:i/>
                <w:sz w:val="20"/>
              </w:rPr>
              <w:t xml:space="preserve">genre</w:t>
            </w:r>
            <w:r>
              <w:rPr>
                <w:b/>
                <w:i/>
                <w:sz w:val="20"/>
              </w:rPr>
              <w:t xml:space="preserve">, </w:t>
            </w:r>
            <w:r>
              <w:rPr>
                <w:b/>
                <w:i/>
                <w:sz w:val="20"/>
              </w:rPr>
              <w:t xml:space="preserve">les scores les </w:t>
            </w:r>
            <w:r>
              <w:rPr>
                <w:b/>
                <w:i/>
                <w:sz w:val="20"/>
              </w:rPr>
              <w:t xml:space="preserve">plus bas </w:t>
            </w:r>
            <w:r>
              <w:rPr>
                <w:b/>
                <w:i/>
                <w:sz w:val="20"/>
              </w:rPr>
              <w:t xml:space="preserve">indiquent </w:t>
            </w:r>
            <w:r>
              <w:rPr>
                <w:b/>
                <w:i/>
                <w:sz w:val="20"/>
              </w:rPr>
              <w:t xml:space="preserve">un bénéfice).</w:t>
            </w:r>
          </w:p>
        </w:tc>
      </w:tr>
      <w:tr w:rsidR="00432386">
        <w:trPr>
          <w:trHeight w:val="676"/>
        </w:trPr>
        <w:tc>
          <w:tcPr>
            <w:tcW w:w="1594" w:type="dxa"/>
          </w:tcPr>
          <w:p>
            <w:pPr>
              <w:pStyle w:val="TableParagraph"/>
              <w:spacing w:before="28"/>
              <w:ind w:start="229"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8"/>
              <w:jc w:val="center"/>
              <w:rPr>
                <w:sz w:val="18"/>
              </w:rPr>
            </w:pPr>
            <w:r>
              <w:rPr>
                <w:sz w:val="18"/>
              </w:rPr>
              <w:t xml:space="preserve">Ligne de base : </w:t>
            </w:r>
            <w:r>
              <w:rPr>
                <w:sz w:val="18"/>
              </w:rPr>
              <w:t xml:space="preserve">61,00±12,21</w:t>
            </w:r>
          </w:p>
          <w:p>
            <w:pPr>
              <w:pStyle w:val="TableParagraph"/>
              <w:ind w:start="107" w:end="101"/>
              <w:jc w:val="center"/>
              <w:rPr>
                <w:sz w:val="18"/>
              </w:rPr>
            </w:pPr>
            <w:r>
              <w:rPr>
                <w:sz w:val="18"/>
              </w:rPr>
              <w:t xml:space="preserve">Analogue de la </w:t>
            </w:r>
            <w:r>
              <w:rPr>
                <w:sz w:val="18"/>
              </w:rPr>
              <w:t xml:space="preserve">GnRH </w:t>
            </w:r>
            <w:r>
              <w:rPr>
                <w:sz w:val="18"/>
              </w:rPr>
              <w:t xml:space="preserve">: </w:t>
            </w:r>
            <w:r>
              <w:rPr>
                <w:sz w:val="18"/>
              </w:rPr>
              <w:t xml:space="preserve">52.1±9.81</w:t>
            </w:r>
          </w:p>
          <w:p>
            <w:pPr>
              <w:pStyle w:val="TableParagraph"/>
              <w:spacing w:before="1"/>
              <w:ind w:start="107" w:end="97"/>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rPr>
                <w:b/>
                <w:i/>
                <w:sz w:val="20"/>
              </w:rPr>
            </w:pPr>
            <w:r>
              <w:rPr>
                <w:b/>
                <w:i/>
                <w:sz w:val="20"/>
              </w:rPr>
              <w:t xml:space="preserve">Score </w:t>
            </w:r>
            <w:r>
              <w:rPr>
                <w:b/>
                <w:i/>
                <w:sz w:val="20"/>
              </w:rPr>
              <w:t xml:space="preserve">moyen±SD </w:t>
            </w:r>
            <w:r>
              <w:rPr>
                <w:b/>
                <w:i/>
                <w:sz w:val="20"/>
              </w:rPr>
              <w:t xml:space="preserve">de la </w:t>
            </w:r>
            <w:r>
              <w:rPr>
                <w:b/>
                <w:i/>
                <w:sz w:val="20"/>
              </w:rPr>
              <w:t xml:space="preserve">liste de contrôle du </w:t>
            </w:r>
            <w:r>
              <w:rPr>
                <w:b/>
                <w:i/>
                <w:sz w:val="20"/>
              </w:rPr>
              <w:t xml:space="preserve">comportement de l'</w:t>
            </w:r>
            <w:r>
              <w:rPr>
                <w:b/>
                <w:i/>
                <w:sz w:val="20"/>
              </w:rPr>
              <w:t xml:space="preserve">enfant </w:t>
            </w:r>
            <w:r>
              <w:rPr>
                <w:b/>
                <w:i/>
                <w:sz w:val="20"/>
              </w:rPr>
              <w:t xml:space="preserve">(externalisation </w:t>
            </w:r>
            <w:r>
              <w:rPr>
                <w:b/>
                <w:i/>
                <w:sz w:val="20"/>
              </w:rPr>
              <w:t xml:space="preserve">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(juste </w:t>
            </w:r>
            <w:r>
              <w:rPr>
                <w:b/>
                <w:i/>
                <w:sz w:val="20"/>
              </w:rPr>
              <w:t xml:space="preserve">avant les </w:t>
            </w:r>
            <w:r>
              <w:rPr>
                <w:b/>
                <w:i/>
                <w:sz w:val="20"/>
              </w:rPr>
              <w:t xml:space="preserve">hormones d'affirmation du </w:t>
            </w:r>
            <w:r>
              <w:rPr>
                <w:b/>
                <w:i/>
                <w:sz w:val="20"/>
              </w:rPr>
              <w:t xml:space="preserve">genre</w:t>
            </w:r>
            <w:r>
              <w:rPr>
                <w:b/>
                <w:i/>
                <w:sz w:val="20"/>
              </w:rPr>
              <w:t xml:space="preserve">, </w:t>
            </w:r>
            <w:r>
              <w:rPr>
                <w:b/>
                <w:i/>
                <w:sz w:val="20"/>
              </w:rPr>
              <w:t xml:space="preserve">les scores </w:t>
            </w:r>
            <w:r>
              <w:rPr>
                <w:b/>
                <w:i/>
                <w:sz w:val="20"/>
              </w:rPr>
              <w:t xml:space="preserve">les plus bas </w:t>
            </w:r>
            <w:r>
              <w:rPr>
                <w:b/>
                <w:i/>
                <w:sz w:val="20"/>
              </w:rPr>
              <w:t xml:space="preserve">indiquent </w:t>
            </w:r>
            <w:r>
              <w:rPr>
                <w:b/>
                <w:i/>
                <w:sz w:val="20"/>
              </w:rPr>
              <w:t xml:space="preserve">un bénéfice).</w:t>
            </w:r>
          </w:p>
        </w:tc>
      </w:tr>
      <w:tr w:rsidR="00432386">
        <w:trPr>
          <w:trHeight w:val="858"/>
        </w:trPr>
        <w:tc>
          <w:tcPr>
            <w:tcW w:w="1594" w:type="dxa"/>
          </w:tcPr>
          <w:p>
            <w:pPr>
              <w:pStyle w:val="TableParagraph"/>
              <w:spacing w:before="116"/>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ind w:start="388" w:end="377"/>
              <w:jc w:val="center"/>
              <w:rPr>
                <w:sz w:val="18"/>
              </w:rPr>
            </w:pPr>
            <w:r>
              <w:rPr>
                <w:spacing w:val="-1"/>
                <w:sz w:val="18"/>
              </w:rPr>
              <w:t xml:space="preserve">Ligne de base : </w:t>
            </w:r>
            <w:r>
              <w:rPr>
                <w:sz w:val="18"/>
              </w:rPr>
              <w:t xml:space="preserve">58,04±12,99 </w:t>
            </w:r>
            <w:r>
              <w:rPr>
                <w:sz w:val="18"/>
              </w:rPr>
              <w:t xml:space="preserve">GnRH analogue : </w:t>
            </w:r>
            <w:r>
              <w:rPr>
                <w:sz w:val="18"/>
              </w:rPr>
              <w:t xml:space="preserve">53.81±11.86</w:t>
            </w:r>
          </w:p>
          <w:p>
            <w:pPr>
              <w:pStyle w:val="TableParagraph"/>
              <w:ind w:start="107" w:end="97"/>
              <w:jc w:val="center"/>
              <w:rPr>
                <w:sz w:val="18"/>
              </w:rPr>
            </w:pPr>
            <w:r>
              <w:rPr>
                <w:i/>
                <w:sz w:val="18"/>
              </w:rPr>
              <w:t xml:space="preserve">P=0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rPr>
                <w:b/>
                <w:i/>
                <w:sz w:val="20"/>
              </w:rPr>
            </w:pPr>
            <w:r>
              <w:rPr>
                <w:b/>
                <w:i/>
                <w:sz w:val="20"/>
              </w:rPr>
              <w:t xml:space="preserve">Proportion </w:t>
            </w:r>
            <w:r>
              <w:rPr>
                <w:b/>
                <w:i/>
                <w:sz w:val="20"/>
              </w:rPr>
              <w:t xml:space="preserve">d'</w:t>
            </w:r>
            <w:r>
              <w:rPr>
                <w:b/>
                <w:i/>
                <w:sz w:val="20"/>
              </w:rPr>
              <w:t xml:space="preserve">adolescents dont </w:t>
            </w:r>
            <w:r>
              <w:rPr>
                <w:b/>
                <w:i/>
                <w:sz w:val="20"/>
              </w:rPr>
              <w:t xml:space="preserve">le score </w:t>
            </w:r>
            <w:r>
              <w:rPr>
                <w:b/>
                <w:i/>
                <w:sz w:val="20"/>
              </w:rPr>
              <w:t xml:space="preserve">se situe dans </w:t>
            </w:r>
            <w:r>
              <w:rPr>
                <w:b/>
                <w:i/>
                <w:sz w:val="20"/>
              </w:rPr>
              <w:t xml:space="preserve">la </w:t>
            </w:r>
            <w:r>
              <w:rPr>
                <w:b/>
                <w:i/>
                <w:sz w:val="20"/>
              </w:rPr>
              <w:t xml:space="preserve">fourchette </w:t>
            </w:r>
            <w:r>
              <w:rPr>
                <w:b/>
                <w:i/>
                <w:sz w:val="20"/>
              </w:rPr>
              <w:t xml:space="preserve">clinique de </w:t>
            </w:r>
            <w:r>
              <w:rPr>
                <w:b/>
                <w:i/>
                <w:sz w:val="20"/>
              </w:rPr>
              <w:t xml:space="preserve">l'échelle des </w:t>
            </w:r>
            <w:r>
              <w:rPr>
                <w:b/>
                <w:i/>
                <w:sz w:val="20"/>
              </w:rPr>
              <w:t xml:space="preserve">problèmes </w:t>
            </w:r>
            <w:r>
              <w:rPr>
                <w:b/>
                <w:i/>
                <w:sz w:val="20"/>
              </w:rPr>
              <w:t xml:space="preserve">totaux </w:t>
            </w:r>
            <w:r>
              <w:rPr>
                <w:b/>
                <w:i/>
                <w:sz w:val="20"/>
              </w:rPr>
              <w:t xml:space="preserve">de la </w:t>
            </w:r>
            <w:r>
              <w:rPr>
                <w:b/>
                <w:i/>
                <w:sz w:val="20"/>
              </w:rPr>
              <w:t xml:space="preserve">Child </w:t>
            </w:r>
            <w:r>
              <w:rPr>
                <w:b/>
                <w:i/>
                <w:sz w:val="20"/>
              </w:rPr>
              <w:t xml:space="preserve">Behaviour </w:t>
            </w:r>
            <w:r>
              <w:rPr>
                <w:b/>
                <w:i/>
                <w:sz w:val="20"/>
              </w:rPr>
              <w:t xml:space="preserve">Checklist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(juste </w:t>
            </w:r>
            <w:r>
              <w:rPr>
                <w:b/>
                <w:i/>
                <w:sz w:val="20"/>
              </w:rPr>
              <w:t xml:space="preserve">avant les </w:t>
            </w:r>
            <w:r>
              <w:rPr>
                <w:b/>
                <w:i/>
                <w:sz w:val="20"/>
              </w:rPr>
              <w:t xml:space="preserve">hormones d'affirmation du genre, des </w:t>
            </w:r>
            <w:r>
              <w:rPr>
                <w:b/>
                <w:i/>
                <w:sz w:val="20"/>
              </w:rPr>
              <w:t xml:space="preserve">scores </w:t>
            </w:r>
            <w:r>
              <w:rPr>
                <w:b/>
                <w:i/>
                <w:sz w:val="20"/>
              </w:rPr>
              <w:t xml:space="preserve">plus faibles </w:t>
            </w:r>
            <w:r>
              <w:rPr>
                <w:b/>
                <w:i/>
                <w:sz w:val="20"/>
              </w:rPr>
              <w:t xml:space="preserve">indiquent un bénéfice).</w:t>
            </w:r>
          </w:p>
        </w:tc>
      </w:tr>
      <w:tr w:rsidR="00432386">
        <w:trPr>
          <w:trHeight w:val="676"/>
        </w:trPr>
        <w:tc>
          <w:tcPr>
            <w:tcW w:w="1594" w:type="dxa"/>
          </w:tcPr>
          <w:p>
            <w:pPr>
              <w:pStyle w:val="TableParagraph"/>
              <w:spacing w:before="25"/>
              <w:ind w:start="230"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0"/>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7"/>
              <w:jc w:val="center"/>
              <w:rPr>
                <w:sz w:val="18"/>
              </w:rPr>
            </w:pPr>
            <w:r>
              <w:rPr>
                <w:sz w:val="18"/>
              </w:rPr>
              <w:t xml:space="preserve">Base de référence : </w:t>
            </w:r>
            <w:r>
              <w:rPr>
                <w:sz w:val="18"/>
              </w:rPr>
              <w:t xml:space="preserve">44,4%.</w:t>
            </w:r>
          </w:p>
          <w:p>
            <w:pPr>
              <w:pStyle w:val="TableParagraph"/>
              <w:spacing w:line="206" w:lineRule="exact"/>
              <w:ind w:start="107" w:end="97"/>
              <w:jc w:val="center"/>
              <w:rPr>
                <w:sz w:val="18"/>
              </w:rPr>
            </w:pPr>
            <w:r>
              <w:rPr>
                <w:sz w:val="18"/>
              </w:rPr>
              <w:t xml:space="preserve">Analogue de la </w:t>
            </w:r>
            <w:r>
              <w:rPr>
                <w:sz w:val="18"/>
              </w:rPr>
              <w:t xml:space="preserve">GnRH </w:t>
            </w:r>
            <w:r>
              <w:rPr>
                <w:sz w:val="18"/>
              </w:rPr>
              <w:t xml:space="preserve">: </w:t>
            </w:r>
            <w:r>
              <w:rPr>
                <w:sz w:val="18"/>
              </w:rPr>
              <w:t xml:space="preserve">22,2 %.</w:t>
            </w:r>
          </w:p>
          <w:p>
            <w:pPr>
              <w:pStyle w:val="TableParagraph"/>
              <w:spacing w:line="207" w:lineRule="exact"/>
              <w:ind w:start="107" w:end="97"/>
              <w:jc w:val="center"/>
              <w:rPr>
                <w:sz w:val="18"/>
              </w:rPr>
            </w:pPr>
            <w:r>
              <w:rPr>
                <w:i/>
                <w:sz w:val="18"/>
              </w:rPr>
              <w:t xml:space="preserve">P=0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end="947"/>
              <w:rPr>
                <w:b/>
                <w:i/>
                <w:sz w:val="20"/>
              </w:rPr>
            </w:pPr>
            <w:r>
              <w:rPr>
                <w:b/>
                <w:i/>
                <w:sz w:val="20"/>
              </w:rPr>
              <w:t xml:space="preserve">Moyenne±SD du score du Youth Self-Report (total T), point temporel au départ (avant les analogues de la GnRH) par rapport au suivi (juste avant l'</w:t>
            </w:r>
            <w:r>
              <w:rPr>
                <w:b/>
                <w:i/>
                <w:sz w:val="20"/>
              </w:rPr>
              <w:t xml:space="preserve">hormone d'</w:t>
            </w:r>
            <w:r>
              <w:rPr>
                <w:b/>
                <w:i/>
                <w:sz w:val="20"/>
              </w:rPr>
              <w:t xml:space="preserve">affirmation du genre</w:t>
            </w:r>
            <w:r>
              <w:rPr>
                <w:b/>
                <w:i/>
                <w:sz w:val="20"/>
              </w:rPr>
              <w:t xml:space="preserve">, les </w:t>
            </w:r>
            <w:r>
              <w:rPr>
                <w:b/>
                <w:i/>
                <w:sz w:val="20"/>
              </w:rPr>
              <w:t xml:space="preserve">scores les plus bas </w:t>
            </w:r>
            <w:r>
              <w:rPr>
                <w:b/>
                <w:i/>
                <w:sz w:val="20"/>
              </w:rPr>
              <w:t xml:space="preserve">indiquent </w:t>
            </w:r>
            <w:r>
              <w:rPr>
                <w:b/>
                <w:i/>
                <w:sz w:val="20"/>
              </w:rPr>
              <w:t xml:space="preserve">un bénéfice).</w:t>
            </w:r>
          </w:p>
        </w:tc>
      </w:tr>
    </w:tbl>
    <w:p w:rsidR="00432386" w:rsidRDefault="00432386">
      <w:pPr>
        <w:spacing w:line="276" w:lineRule="auto"/>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57" w:end="153"/>
              <w:jc w:val="center"/>
              <w:rPr>
                <w:b/>
                <w:sz w:val="16"/>
              </w:rPr>
            </w:pPr>
            <w:r>
              <w:rPr>
                <w:b/>
                <w:sz w:val="16"/>
              </w:rPr>
              <w:t xml:space="preserve">Intervention</w:t>
            </w:r>
          </w:p>
        </w:tc>
        <w:tc>
          <w:tcPr>
            <w:tcW w:w="1130" w:type="dxa"/>
            <w:shd w:val="clear" w:color="auto" w:fill="D9D9D9"/>
          </w:tcPr>
          <w:p>
            <w:pPr>
              <w:pStyle w:val="TableParagraph"/>
              <w:spacing w:line="183" w:lineRule="exact"/>
              <w:ind w:start="90" w:end="82"/>
              <w:jc w:val="center"/>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858"/>
        </w:trPr>
        <w:tc>
          <w:tcPr>
            <w:tcW w:w="1594" w:type="dxa"/>
          </w:tcPr>
          <w:p>
            <w:pPr>
              <w:pStyle w:val="TableParagraph"/>
              <w:spacing w:before="119"/>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ind w:start="388" w:end="377"/>
              <w:jc w:val="center"/>
              <w:rPr>
                <w:sz w:val="18"/>
              </w:rPr>
            </w:pPr>
            <w:r>
              <w:rPr>
                <w:spacing w:val="-1"/>
                <w:sz w:val="18"/>
              </w:rPr>
              <w:t xml:space="preserve">Ligne de base : </w:t>
            </w:r>
            <w:r>
              <w:rPr>
                <w:sz w:val="18"/>
              </w:rPr>
              <w:t xml:space="preserve">55,46±11,56 </w:t>
            </w:r>
            <w:r>
              <w:rPr>
                <w:sz w:val="18"/>
              </w:rPr>
              <w:t xml:space="preserve">GnRH analogue : </w:t>
            </w:r>
            <w:r>
              <w:rPr>
                <w:sz w:val="18"/>
              </w:rPr>
              <w:t xml:space="preserve">50.00±10.56</w:t>
            </w:r>
          </w:p>
          <w:p>
            <w:pPr>
              <w:pStyle w:val="TableParagraph"/>
              <w:ind w:start="107" w:end="51"/>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8" w:lineRule="auto"/>
              <w:ind w:start="107" w:end="180"/>
              <w:rPr>
                <w:b/>
                <w:i/>
                <w:sz w:val="20"/>
              </w:rPr>
            </w:pPr>
            <w:r>
              <w:rPr>
                <w:b/>
                <w:i/>
                <w:sz w:val="20"/>
              </w:rPr>
              <w:t xml:space="preserve">Score moyen±SD du Youth Self-Report (internalisation T), point temporel au départ (avant les analogues de la GnRH) par rapport au suivi (juste avant les </w:t>
            </w:r>
            <w:r>
              <w:rPr>
                <w:b/>
                <w:i/>
                <w:sz w:val="20"/>
              </w:rPr>
              <w:t xml:space="preserve">hormones d'</w:t>
            </w:r>
            <w:r>
              <w:rPr>
                <w:b/>
                <w:i/>
                <w:sz w:val="20"/>
              </w:rPr>
              <w:t xml:space="preserve">affirmation du genre</w:t>
            </w:r>
            <w:r>
              <w:rPr>
                <w:b/>
                <w:i/>
                <w:sz w:val="20"/>
              </w:rPr>
              <w:t xml:space="preserve">, les </w:t>
            </w:r>
            <w:r>
              <w:rPr>
                <w:b/>
                <w:i/>
                <w:sz w:val="20"/>
              </w:rPr>
              <w:t xml:space="preserve">scores </w:t>
            </w:r>
            <w:r>
              <w:rPr>
                <w:b/>
                <w:i/>
                <w:sz w:val="20"/>
              </w:rPr>
              <w:t xml:space="preserve">les plus bas </w:t>
            </w:r>
            <w:r>
              <w:rPr>
                <w:b/>
                <w:i/>
                <w:sz w:val="20"/>
              </w:rPr>
              <w:t xml:space="preserve">indiquent </w:t>
            </w:r>
            <w:r>
              <w:rPr>
                <w:b/>
                <w:i/>
                <w:sz w:val="20"/>
              </w:rPr>
              <w:t xml:space="preserve">un bénéfice).</w:t>
            </w:r>
          </w:p>
        </w:tc>
      </w:tr>
      <w:tr w:rsidR="00432386">
        <w:trPr>
          <w:trHeight w:val="858"/>
        </w:trPr>
        <w:tc>
          <w:tcPr>
            <w:tcW w:w="1594" w:type="dxa"/>
          </w:tcPr>
          <w:p>
            <w:pPr>
              <w:pStyle w:val="TableParagraph"/>
              <w:spacing w:before="119"/>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ind w:start="388" w:end="377"/>
              <w:jc w:val="center"/>
              <w:rPr>
                <w:sz w:val="18"/>
              </w:rPr>
            </w:pPr>
            <w:r>
              <w:rPr>
                <w:spacing w:val="-1"/>
                <w:sz w:val="18"/>
              </w:rPr>
              <w:t xml:space="preserve">Ligne de base : </w:t>
            </w:r>
            <w:r>
              <w:rPr>
                <w:sz w:val="18"/>
              </w:rPr>
              <w:t xml:space="preserve">56,04±12,49 </w:t>
            </w:r>
            <w:r>
              <w:rPr>
                <w:sz w:val="18"/>
              </w:rPr>
              <w:t xml:space="preserve">GnRH analogue : </w:t>
            </w:r>
            <w:r>
              <w:rPr>
                <w:sz w:val="18"/>
              </w:rPr>
              <w:t xml:space="preserve">49.78±11.63</w:t>
            </w:r>
          </w:p>
          <w:p>
            <w:pPr>
              <w:pStyle w:val="TableParagraph"/>
              <w:ind w:start="107" w:end="96"/>
              <w:jc w:val="center"/>
              <w:rPr>
                <w:sz w:val="18"/>
              </w:rPr>
            </w:pPr>
            <w:r>
              <w:rPr>
                <w:i/>
                <w:sz w:val="18"/>
              </w:rPr>
              <w:t xml:space="preserve">P&lt;0</w:t>
            </w:r>
            <w:r>
              <w:rPr>
                <w:sz w:val="18"/>
              </w:rPr>
              <w:t xml:space="preserve">.001</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726"/>
        </w:trPr>
        <w:tc>
          <w:tcPr>
            <w:tcW w:w="14173" w:type="dxa"/>
            <w:gridSpan w:val="10"/>
            <w:tcBorders>
              <w:bottom w:val="single" w:color="000000" w:sz="6" w:space="0"/>
            </w:tcBorders>
            <w:shd w:val="clear" w:color="auto" w:fill="C5D9F0"/>
          </w:tcPr>
          <w:p>
            <w:pPr>
              <w:pStyle w:val="TableParagraph"/>
              <w:spacing w:line="278" w:lineRule="auto"/>
              <w:ind w:start="107" w:end="135"/>
              <w:rPr>
                <w:b/>
                <w:i/>
                <w:sz w:val="20"/>
              </w:rPr>
            </w:pPr>
            <w:r>
              <w:rPr>
                <w:b/>
                <w:i/>
                <w:sz w:val="20"/>
              </w:rPr>
              <w:t xml:space="preserve">Score moyen±SD du Youth Self-Report (externalisation T), point temporel au départ (avant les analogues de la GnRH) par rapport au suivi (juste avant les </w:t>
            </w:r>
            <w:r>
              <w:rPr>
                <w:b/>
                <w:i/>
                <w:sz w:val="20"/>
              </w:rPr>
              <w:t xml:space="preserve">hormones d'</w:t>
            </w:r>
            <w:r>
              <w:rPr>
                <w:b/>
                <w:i/>
                <w:sz w:val="20"/>
              </w:rPr>
              <w:t xml:space="preserve">affirmation du genre</w:t>
            </w:r>
            <w:r>
              <w:rPr>
                <w:b/>
                <w:i/>
                <w:sz w:val="20"/>
              </w:rPr>
              <w:t xml:space="preserve">, les </w:t>
            </w:r>
            <w:r>
              <w:rPr>
                <w:b/>
                <w:i/>
                <w:sz w:val="20"/>
              </w:rPr>
              <w:t xml:space="preserve">scores </w:t>
            </w:r>
            <w:r>
              <w:rPr>
                <w:b/>
                <w:i/>
                <w:sz w:val="20"/>
              </w:rPr>
              <w:t xml:space="preserve">les plus bas </w:t>
            </w:r>
            <w:r>
              <w:rPr>
                <w:b/>
                <w:i/>
                <w:sz w:val="20"/>
              </w:rPr>
              <w:t xml:space="preserve">indiquent </w:t>
            </w:r>
            <w:r>
              <w:rPr>
                <w:b/>
                <w:i/>
                <w:sz w:val="20"/>
              </w:rPr>
              <w:t xml:space="preserve">un bénéfice).</w:t>
            </w:r>
          </w:p>
        </w:tc>
      </w:tr>
      <w:tr w:rsidR="00432386">
        <w:trPr>
          <w:trHeight w:val="674"/>
        </w:trPr>
        <w:tc>
          <w:tcPr>
            <w:tcW w:w="1594" w:type="dxa"/>
            <w:tcBorders>
              <w:top w:val="single" w:color="000000" w:sz="6" w:space="0"/>
            </w:tcBorders>
          </w:tcPr>
          <w:p>
            <w:pPr>
              <w:pStyle w:val="TableParagraph"/>
              <w:spacing w:before="25"/>
              <w:ind w:start="230" w:end="219"/>
              <w:jc w:val="center"/>
              <w:rPr>
                <w:sz w:val="18"/>
              </w:rPr>
            </w:pPr>
            <w:r>
              <w:rPr>
                <w:sz w:val="18"/>
              </w:rPr>
              <w:t xml:space="preserve">1 étude de cohorte </w:t>
            </w:r>
            <w:r>
              <w:rPr>
                <w:sz w:val="18"/>
              </w:rPr>
              <w:t xml:space="preserve">de Vries et al </w:t>
            </w:r>
            <w:r>
              <w:rPr>
                <w:sz w:val="18"/>
              </w:rPr>
              <w:t xml:space="preserve">2011</w:t>
            </w:r>
          </w:p>
        </w:tc>
        <w:tc>
          <w:tcPr>
            <w:tcW w:w="1097" w:type="dxa"/>
            <w:tcBorders>
              <w:top w:val="single" w:color="000000" w:sz="6" w:space="0"/>
            </w:tcBorders>
          </w:tcPr>
          <w:p>
            <w:pPr>
              <w:pStyle w:val="TableParagraph"/>
              <w:spacing w:line="237" w:lineRule="auto"/>
              <w:ind w:start="115" w:end="85" w:firstLine="127"/>
              <w:rPr>
                <w:sz w:val="12"/>
              </w:rPr>
            </w:pPr>
            <w:r>
              <w:rPr>
                <w:sz w:val="18"/>
              </w:rPr>
              <w:t xml:space="preserve">De sérieuses </w:t>
            </w:r>
            <w:r>
              <w:rPr>
                <w:sz w:val="18"/>
              </w:rPr>
              <w:t xml:space="preserve">limitations5</w:t>
            </w:r>
          </w:p>
        </w:tc>
        <w:tc>
          <w:tcPr>
            <w:tcW w:w="1440" w:type="dxa"/>
            <w:tcBorders>
              <w:top w:val="single" w:color="000000" w:sz="6" w:space="0"/>
            </w:tcBorders>
          </w:tcPr>
          <w:p>
            <w:pPr>
              <w:pStyle w:val="TableParagraph"/>
              <w:spacing w:line="280"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Borders>
              <w:top w:val="single" w:color="000000" w:sz="6" w:space="0"/>
            </w:tcBorders>
          </w:tcPr>
          <w:p>
            <w:pPr>
              <w:pStyle w:val="TableParagraph"/>
              <w:spacing w:line="206" w:lineRule="exact"/>
              <w:ind w:start="197"/>
              <w:rPr>
                <w:sz w:val="18"/>
              </w:rPr>
            </w:pPr>
            <w:r>
              <w:rPr>
                <w:sz w:val="18"/>
              </w:rPr>
              <w:t xml:space="preserve">Non </w:t>
            </w:r>
            <w:r>
              <w:rPr>
                <w:sz w:val="18"/>
              </w:rPr>
              <w:t xml:space="preserve">applicable</w:t>
            </w:r>
          </w:p>
        </w:tc>
        <w:tc>
          <w:tcPr>
            <w:tcW w:w="1277" w:type="dxa"/>
            <w:tcBorders>
              <w:top w:val="single" w:color="000000" w:sz="6" w:space="0"/>
            </w:tcBorders>
          </w:tcPr>
          <w:p>
            <w:pPr>
              <w:pStyle w:val="TableParagraph"/>
              <w:spacing w:line="280" w:lineRule="auto"/>
              <w:ind w:start="236" w:end="210" w:firstLine="261"/>
              <w:rPr>
                <w:sz w:val="18"/>
              </w:rPr>
            </w:pPr>
            <w:r>
              <w:rPr>
                <w:sz w:val="18"/>
              </w:rPr>
              <w:t xml:space="preserve">Non </w:t>
            </w:r>
            <w:r>
              <w:rPr>
                <w:sz w:val="18"/>
              </w:rPr>
              <w:t xml:space="preserve">calculable</w:t>
            </w:r>
          </w:p>
        </w:tc>
        <w:tc>
          <w:tcPr>
            <w:tcW w:w="1277" w:type="dxa"/>
            <w:tcBorders>
              <w:top w:val="single" w:color="000000" w:sz="6" w:space="0"/>
            </w:tcBorders>
          </w:tcPr>
          <w:p>
            <w:pPr>
              <w:pStyle w:val="TableParagraph"/>
              <w:spacing w:line="204" w:lineRule="exact"/>
              <w:ind w:start="157" w:end="151"/>
              <w:jc w:val="center"/>
              <w:rPr>
                <w:sz w:val="18"/>
              </w:rPr>
            </w:pPr>
            <w:r>
              <w:rPr>
                <w:sz w:val="18"/>
              </w:rPr>
              <w:t xml:space="preserve">N=54</w:t>
            </w:r>
          </w:p>
        </w:tc>
        <w:tc>
          <w:tcPr>
            <w:tcW w:w="1130" w:type="dxa"/>
            <w:tcBorders>
              <w:top w:val="single" w:color="000000" w:sz="6" w:space="0"/>
            </w:tcBorders>
          </w:tcPr>
          <w:p>
            <w:pPr>
              <w:pStyle w:val="TableParagraph"/>
              <w:spacing w:line="204" w:lineRule="exact"/>
              <w:ind w:start="90" w:end="80"/>
              <w:jc w:val="center"/>
              <w:rPr>
                <w:sz w:val="18"/>
              </w:rPr>
            </w:pPr>
            <w:r>
              <w:rPr>
                <w:sz w:val="18"/>
              </w:rPr>
              <w:t xml:space="preserve">Aucun</w:t>
            </w:r>
          </w:p>
        </w:tc>
        <w:tc>
          <w:tcPr>
            <w:tcW w:w="2568" w:type="dxa"/>
            <w:tcBorders>
              <w:top w:val="single" w:color="000000" w:sz="6" w:space="0"/>
            </w:tcBorders>
          </w:tcPr>
          <w:p>
            <w:pPr>
              <w:pStyle w:val="TableParagraph"/>
              <w:spacing w:line="204" w:lineRule="exact"/>
              <w:ind w:start="107" w:end="98"/>
              <w:jc w:val="center"/>
              <w:rPr>
                <w:sz w:val="18"/>
              </w:rPr>
            </w:pPr>
            <w:r>
              <w:rPr>
                <w:sz w:val="18"/>
              </w:rPr>
              <w:t xml:space="preserve">Ligne de base : </w:t>
            </w:r>
            <w:r>
              <w:rPr>
                <w:sz w:val="18"/>
              </w:rPr>
              <w:t xml:space="preserve">53,30±11,87</w:t>
            </w:r>
          </w:p>
          <w:p>
            <w:pPr>
              <w:pStyle w:val="TableParagraph"/>
              <w:spacing w:before="2" w:line="207" w:lineRule="exact"/>
              <w:ind w:start="107" w:end="98"/>
              <w:jc w:val="center"/>
              <w:rPr>
                <w:sz w:val="18"/>
              </w:rPr>
            </w:pPr>
            <w:r>
              <w:rPr>
                <w:sz w:val="18"/>
              </w:rPr>
              <w:t xml:space="preserve">Analogue de la </w:t>
            </w:r>
            <w:r>
              <w:rPr>
                <w:sz w:val="18"/>
              </w:rPr>
              <w:t xml:space="preserve">GnRH </w:t>
            </w:r>
            <w:r>
              <w:rPr>
                <w:sz w:val="18"/>
              </w:rPr>
              <w:t xml:space="preserve">: </w:t>
            </w:r>
            <w:r>
              <w:rPr>
                <w:sz w:val="18"/>
              </w:rPr>
              <w:t xml:space="preserve">49.98±9.35</w:t>
            </w:r>
          </w:p>
          <w:p>
            <w:pPr>
              <w:pStyle w:val="TableParagraph"/>
              <w:spacing w:line="207" w:lineRule="exact"/>
              <w:ind w:start="107" w:end="97"/>
              <w:jc w:val="center"/>
              <w:rPr>
                <w:sz w:val="18"/>
              </w:rPr>
            </w:pPr>
            <w:r>
              <w:rPr>
                <w:i/>
                <w:sz w:val="18"/>
              </w:rPr>
              <w:t xml:space="preserve">P=0</w:t>
            </w:r>
            <w:r>
              <w:rPr>
                <w:sz w:val="18"/>
              </w:rPr>
              <w:t xml:space="preserve">.009</w:t>
            </w:r>
          </w:p>
        </w:tc>
        <w:tc>
          <w:tcPr>
            <w:tcW w:w="991" w:type="dxa"/>
            <w:tcBorders>
              <w:top w:val="single" w:color="000000" w:sz="6" w:space="0"/>
            </w:tcBorders>
          </w:tcPr>
          <w:p>
            <w:pPr>
              <w:pStyle w:val="TableParagraph"/>
              <w:spacing w:line="206" w:lineRule="exact"/>
              <w:ind w:end="101"/>
              <w:jc w:val="right"/>
              <w:rPr>
                <w:sz w:val="18"/>
              </w:rPr>
            </w:pPr>
            <w:r>
              <w:rPr>
                <w:sz w:val="18"/>
              </w:rPr>
              <w:t xml:space="preserve">Important</w:t>
            </w:r>
          </w:p>
        </w:tc>
        <w:tc>
          <w:tcPr>
            <w:tcW w:w="1262" w:type="dxa"/>
            <w:tcBorders>
              <w:top w:val="single" w:color="000000" w:sz="6" w:space="0"/>
            </w:tcBorders>
          </w:tcPr>
          <w:p>
            <w:pPr>
              <w:pStyle w:val="TableParagraph"/>
              <w:spacing w:line="206" w:lineRule="exact"/>
              <w:ind w:start="134" w:end="129"/>
              <w:jc w:val="center"/>
              <w:rPr>
                <w:sz w:val="18"/>
              </w:rPr>
            </w:pPr>
            <w:r>
              <w:rPr>
                <w:sz w:val="18"/>
              </w:rPr>
              <w:t xml:space="preserve">TRES </w:t>
            </w:r>
            <w:r>
              <w:rPr>
                <w:sz w:val="18"/>
              </w:rPr>
              <w:t xml:space="preserve">FAIBLE</w:t>
            </w:r>
          </w:p>
        </w:tc>
      </w:tr>
      <w:tr w:rsidR="00432386">
        <w:trPr>
          <w:trHeight w:val="729"/>
        </w:trPr>
        <w:tc>
          <w:tcPr>
            <w:tcW w:w="14173" w:type="dxa"/>
            <w:gridSpan w:val="10"/>
            <w:shd w:val="clear" w:color="auto" w:fill="C5D9F0"/>
          </w:tcPr>
          <w:p>
            <w:pPr>
              <w:pStyle w:val="TableParagraph"/>
              <w:spacing w:line="276" w:lineRule="auto"/>
              <w:ind w:start="107"/>
              <w:rPr>
                <w:b/>
                <w:i/>
                <w:sz w:val="20"/>
              </w:rPr>
            </w:pPr>
            <w:r>
              <w:rPr>
                <w:b/>
                <w:i/>
                <w:sz w:val="20"/>
              </w:rPr>
              <w:t xml:space="preserve">Proportion </w:t>
            </w:r>
            <w:r>
              <w:rPr>
                <w:b/>
                <w:i/>
                <w:sz w:val="20"/>
              </w:rPr>
              <w:t xml:space="preserve">d'</w:t>
            </w:r>
            <w:r>
              <w:rPr>
                <w:b/>
                <w:i/>
                <w:sz w:val="20"/>
              </w:rPr>
              <w:t xml:space="preserve">adolescents dont </w:t>
            </w:r>
            <w:r>
              <w:rPr>
                <w:b/>
                <w:i/>
                <w:sz w:val="20"/>
              </w:rPr>
              <w:t xml:space="preserve">le score </w:t>
            </w:r>
            <w:r>
              <w:rPr>
                <w:b/>
                <w:i/>
                <w:sz w:val="20"/>
              </w:rPr>
              <w:t xml:space="preserve">se situe dans </w:t>
            </w:r>
            <w:r>
              <w:rPr>
                <w:b/>
                <w:i/>
                <w:sz w:val="20"/>
              </w:rPr>
              <w:t xml:space="preserve">la </w:t>
            </w:r>
            <w:r>
              <w:rPr>
                <w:b/>
                <w:i/>
                <w:sz w:val="20"/>
              </w:rPr>
              <w:t xml:space="preserve">fourchette </w:t>
            </w:r>
            <w:r>
              <w:rPr>
                <w:b/>
                <w:i/>
                <w:sz w:val="20"/>
              </w:rPr>
              <w:t xml:space="preserve">clinique du </w:t>
            </w:r>
            <w:r>
              <w:rPr>
                <w:b/>
                <w:i/>
                <w:sz w:val="20"/>
              </w:rPr>
              <w:t xml:space="preserve">Youth </w:t>
            </w:r>
            <w:r>
              <w:rPr>
                <w:b/>
                <w:i/>
                <w:sz w:val="20"/>
              </w:rPr>
              <w:t xml:space="preserve">Self-Report </w:t>
            </w:r>
            <w:r>
              <w:rPr>
                <w:b/>
                <w:i/>
                <w:sz w:val="20"/>
              </w:rPr>
              <w:t xml:space="preserve">(internalisation </w:t>
            </w:r>
            <w:r>
              <w:rPr>
                <w:b/>
                <w:i/>
                <w:sz w:val="20"/>
              </w:rPr>
              <w:t xml:space="preserve">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(juste avant les </w:t>
            </w:r>
            <w:r>
              <w:rPr>
                <w:b/>
                <w:i/>
                <w:sz w:val="20"/>
              </w:rPr>
              <w:t xml:space="preserve">hormones d'</w:t>
            </w:r>
            <w:r>
              <w:rPr>
                <w:b/>
                <w:i/>
                <w:sz w:val="20"/>
              </w:rPr>
              <w:t xml:space="preserve">affirmation du genre</w:t>
            </w:r>
            <w:r>
              <w:rPr>
                <w:b/>
                <w:i/>
                <w:sz w:val="20"/>
              </w:rPr>
              <w:t xml:space="preserve">, des </w:t>
            </w:r>
            <w:r>
              <w:rPr>
                <w:b/>
                <w:i/>
                <w:sz w:val="20"/>
              </w:rPr>
              <w:t xml:space="preserve">scores </w:t>
            </w:r>
            <w:r>
              <w:rPr>
                <w:b/>
                <w:i/>
                <w:sz w:val="20"/>
              </w:rPr>
              <w:t xml:space="preserve">plus faibles </w:t>
            </w:r>
            <w:r>
              <w:rPr>
                <w:b/>
                <w:i/>
                <w:sz w:val="20"/>
              </w:rPr>
              <w:t xml:space="preserve">indiquent </w:t>
            </w:r>
            <w:r>
              <w:rPr>
                <w:b/>
                <w:i/>
                <w:sz w:val="20"/>
              </w:rPr>
              <w:t xml:space="preserve">un bénéfice).</w:t>
            </w:r>
          </w:p>
        </w:tc>
      </w:tr>
      <w:tr w:rsidR="00432386">
        <w:trPr>
          <w:trHeight w:val="676"/>
        </w:trPr>
        <w:tc>
          <w:tcPr>
            <w:tcW w:w="1594" w:type="dxa"/>
          </w:tcPr>
          <w:p>
            <w:pPr>
              <w:pStyle w:val="TableParagraph"/>
              <w:spacing w:before="27"/>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limitations5</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line="206" w:lineRule="exact"/>
              <w:ind w:start="157" w:end="151"/>
              <w:jc w:val="center"/>
              <w:rPr>
                <w:sz w:val="18"/>
              </w:rPr>
            </w:pPr>
            <w:r>
              <w:rPr>
                <w:sz w:val="18"/>
              </w:rPr>
              <w:t xml:space="preserve">N=54</w:t>
            </w:r>
          </w:p>
        </w:tc>
        <w:tc>
          <w:tcPr>
            <w:tcW w:w="1130" w:type="dxa"/>
          </w:tcPr>
          <w:p>
            <w:pPr>
              <w:pStyle w:val="TableParagraph"/>
              <w:spacing w:line="206" w:lineRule="exact"/>
              <w:ind w:start="90" w:end="80"/>
              <w:jc w:val="center"/>
              <w:rPr>
                <w:sz w:val="18"/>
              </w:rPr>
            </w:pPr>
            <w:r>
              <w:rPr>
                <w:sz w:val="18"/>
              </w:rPr>
              <w:t xml:space="preserve">Aucun</w:t>
            </w:r>
          </w:p>
        </w:tc>
        <w:tc>
          <w:tcPr>
            <w:tcW w:w="2568" w:type="dxa"/>
          </w:tcPr>
          <w:p>
            <w:pPr>
              <w:pStyle w:val="TableParagraph"/>
              <w:spacing w:line="206" w:lineRule="exact"/>
              <w:ind w:start="107" w:end="98"/>
              <w:jc w:val="center"/>
              <w:rPr>
                <w:sz w:val="18"/>
              </w:rPr>
            </w:pPr>
            <w:r>
              <w:rPr>
                <w:sz w:val="18"/>
              </w:rPr>
              <w:t xml:space="preserve">Base de référence : </w:t>
            </w:r>
            <w:r>
              <w:rPr>
                <w:sz w:val="18"/>
              </w:rPr>
              <w:t xml:space="preserve">29,6%.</w:t>
            </w:r>
          </w:p>
          <w:p>
            <w:pPr>
              <w:pStyle w:val="TableParagraph"/>
              <w:spacing w:line="207" w:lineRule="exact"/>
              <w:ind w:start="107" w:end="98"/>
              <w:jc w:val="center"/>
              <w:rPr>
                <w:sz w:val="18"/>
              </w:rPr>
            </w:pPr>
            <w:r>
              <w:rPr>
                <w:sz w:val="18"/>
              </w:rPr>
              <w:t xml:space="preserve">Analogue de la </w:t>
            </w:r>
            <w:r>
              <w:rPr>
                <w:sz w:val="18"/>
              </w:rPr>
              <w:t xml:space="preserve">GnRH </w:t>
            </w:r>
            <w:r>
              <w:rPr>
                <w:sz w:val="18"/>
              </w:rPr>
              <w:t xml:space="preserve">: </w:t>
            </w:r>
            <w:r>
              <w:rPr>
                <w:sz w:val="18"/>
              </w:rPr>
              <w:t xml:space="preserve">11.1%</w:t>
            </w:r>
          </w:p>
          <w:p>
            <w:pPr>
              <w:pStyle w:val="TableParagraph"/>
              <w:spacing w:before="2"/>
              <w:ind w:start="107" w:end="97"/>
              <w:jc w:val="center"/>
              <w:rPr>
                <w:sz w:val="18"/>
              </w:rPr>
            </w:pPr>
            <w:r>
              <w:rPr>
                <w:i/>
                <w:sz w:val="18"/>
              </w:rPr>
              <w:t xml:space="preserve">P=0</w:t>
            </w:r>
            <w:r>
              <w:rPr>
                <w:sz w:val="18"/>
              </w:rPr>
              <w:t xml:space="preserve">.017</w:t>
            </w:r>
          </w:p>
        </w:tc>
        <w:tc>
          <w:tcPr>
            <w:tcW w:w="991" w:type="dxa"/>
          </w:tcPr>
          <w:p>
            <w:pPr>
              <w:pStyle w:val="TableParagraph"/>
              <w:spacing w:before="1"/>
              <w:ind w:end="101"/>
              <w:jc w:val="right"/>
              <w:rPr>
                <w:sz w:val="18"/>
              </w:rPr>
            </w:pPr>
            <w:r>
              <w:rPr>
                <w:sz w:val="18"/>
              </w:rPr>
              <w:t xml:space="preserve">Important</w:t>
            </w:r>
          </w:p>
        </w:tc>
        <w:tc>
          <w:tcPr>
            <w:tcW w:w="1262" w:type="dxa"/>
          </w:tcPr>
          <w:p>
            <w:pPr>
              <w:pStyle w:val="TableParagraph"/>
              <w:spacing w:before="1"/>
              <w:ind w:start="134" w:end="129"/>
              <w:jc w:val="center"/>
              <w:rPr>
                <w:sz w:val="18"/>
              </w:rPr>
            </w:pPr>
            <w:r>
              <w:rPr>
                <w:sz w:val="18"/>
              </w:rPr>
              <w:t xml:space="preserve">TRES </w:t>
            </w:r>
            <w:r>
              <w:rPr>
                <w:sz w:val="18"/>
              </w:rPr>
              <w:t xml:space="preserve">FAIBLE</w:t>
            </w:r>
          </w:p>
        </w:tc>
      </w:tr>
      <w:tr w:rsidR="00432386">
        <w:trPr>
          <w:trHeight w:val="463"/>
        </w:trPr>
        <w:tc>
          <w:tcPr>
            <w:tcW w:w="14173" w:type="dxa"/>
            <w:gridSpan w:val="10"/>
            <w:shd w:val="clear" w:color="auto" w:fill="C5D9F0"/>
          </w:tcPr>
          <w:p>
            <w:pPr>
              <w:pStyle w:val="TableParagraph"/>
              <w:ind w:start="107"/>
              <w:rPr>
                <w:b/>
                <w:i/>
                <w:sz w:val="20"/>
              </w:rPr>
            </w:pPr>
            <w:r>
              <w:rPr>
                <w:b/>
                <w:i/>
                <w:sz w:val="20"/>
              </w:rPr>
              <w:t xml:space="preserve">Score </w:t>
            </w:r>
            <w:r>
              <w:rPr>
                <w:b/>
                <w:i/>
                <w:sz w:val="20"/>
              </w:rPr>
              <w:t xml:space="preserve">moyen±SD </w:t>
            </w:r>
            <w:r>
              <w:rPr>
                <w:b/>
                <w:i/>
                <w:sz w:val="20"/>
              </w:rPr>
              <w:t xml:space="preserve">de la </w:t>
            </w:r>
            <w:r>
              <w:rPr>
                <w:b/>
                <w:i/>
                <w:sz w:val="20"/>
              </w:rPr>
              <w:t xml:space="preserve">liste de contrôle du </w:t>
            </w:r>
            <w:r>
              <w:rPr>
                <w:b/>
                <w:i/>
                <w:sz w:val="20"/>
              </w:rPr>
              <w:t xml:space="preserve">comportement de </w:t>
            </w:r>
            <w:r>
              <w:rPr>
                <w:b/>
                <w:i/>
                <w:sz w:val="20"/>
              </w:rPr>
              <w:t xml:space="preserve">l'enfant</w:t>
            </w:r>
            <w:r>
              <w:rPr>
                <w:b/>
                <w:i/>
                <w:sz w:val="20"/>
              </w:rPr>
              <w:t xml:space="preserve">, </w:t>
            </w:r>
            <w:r>
              <w:rPr>
                <w:b/>
                <w:i/>
                <w:sz w:val="20"/>
              </w:rPr>
              <w:t xml:space="preserve">transfemmes </w:t>
            </w:r>
            <w:r>
              <w:rPr>
                <w:b/>
                <w:i/>
                <w:sz w:val="20"/>
              </w:rPr>
              <w:t xml:space="preserve">(les </w:t>
            </w:r>
            <w:r>
              <w:rPr>
                <w:b/>
                <w:i/>
                <w:sz w:val="20"/>
              </w:rPr>
              <w:t xml:space="preserve">scores </w:t>
            </w:r>
            <w:r>
              <w:rPr>
                <w:b/>
                <w:i/>
                <w:sz w:val="20"/>
              </w:rPr>
              <w:t xml:space="preserve">les plus bas </w:t>
            </w:r>
            <w:r>
              <w:rPr>
                <w:b/>
                <w:i/>
                <w:sz w:val="20"/>
              </w:rPr>
              <w:t xml:space="preserve">indiquent </w:t>
            </w:r>
            <w:r>
              <w:rPr>
                <w:b/>
                <w:i/>
                <w:sz w:val="20"/>
              </w:rPr>
              <w:t xml:space="preserve">un avantage).</w:t>
            </w:r>
          </w:p>
        </w:tc>
      </w:tr>
      <w:tr w:rsidR="00432386">
        <w:trPr>
          <w:trHeight w:val="830"/>
        </w:trPr>
        <w:tc>
          <w:tcPr>
            <w:tcW w:w="1594" w:type="dxa"/>
          </w:tcPr>
          <w:p>
            <w:pPr>
              <w:pStyle w:val="TableParagraph"/>
              <w:spacing w:line="206" w:lineRule="exact"/>
              <w:ind w:start="119" w:end="109"/>
              <w:jc w:val="center"/>
              <w:rPr>
                <w:sz w:val="18"/>
              </w:rPr>
            </w:pPr>
            <w:r>
              <w:rPr>
                <w:sz w:val="18"/>
              </w:rPr>
              <w:t xml:space="preserve">1 </w:t>
            </w:r>
            <w:r>
              <w:rPr>
                <w:sz w:val="18"/>
              </w:rPr>
              <w:t xml:space="preserve">étude </w:t>
            </w:r>
            <w:r>
              <w:rPr>
                <w:sz w:val="18"/>
              </w:rPr>
              <w:t xml:space="preserve">transversale </w:t>
            </w:r>
            <w:r>
              <w:rPr>
                <w:sz w:val="18"/>
              </w:rPr>
              <w:t xml:space="preserve">Staphorsius et al </w:t>
            </w:r>
            <w:r>
              <w:rPr>
                <w:sz w:val="18"/>
              </w:rPr>
              <w:t xml:space="preserve">2015</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limitations6</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3"/>
              <w:ind w:start="197"/>
              <w:rPr>
                <w:sz w:val="18"/>
              </w:rPr>
            </w:pPr>
            <w:r>
              <w:rPr>
                <w:sz w:val="18"/>
              </w:rPr>
              <w:t xml:space="preserve">Non </w:t>
            </w:r>
            <w:r>
              <w:rPr>
                <w:sz w:val="18"/>
              </w:rPr>
              <w:t xml:space="preserve">applicable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155" w:end="153"/>
              <w:jc w:val="center"/>
              <w:rPr>
                <w:sz w:val="18"/>
              </w:rPr>
            </w:pPr>
            <w:r>
              <w:rPr>
                <w:sz w:val="18"/>
              </w:rPr>
              <w:t xml:space="preserve">N=8</w:t>
            </w:r>
          </w:p>
        </w:tc>
        <w:tc>
          <w:tcPr>
            <w:tcW w:w="1130" w:type="dxa"/>
          </w:tcPr>
          <w:p>
            <w:pPr>
              <w:pStyle w:val="TableParagraph"/>
              <w:spacing w:before="1"/>
              <w:ind w:start="90" w:end="80"/>
              <w:jc w:val="center"/>
              <w:rPr>
                <w:sz w:val="18"/>
              </w:rPr>
            </w:pPr>
            <w:r>
              <w:rPr>
                <w:sz w:val="18"/>
              </w:rPr>
              <w:t xml:space="preserve">N=10</w:t>
            </w:r>
          </w:p>
        </w:tc>
        <w:tc>
          <w:tcPr>
            <w:tcW w:w="2568" w:type="dxa"/>
          </w:tcPr>
          <w:p>
            <w:pPr>
              <w:pStyle w:val="TableParagraph"/>
              <w:spacing w:before="1" w:line="276" w:lineRule="auto"/>
              <w:ind w:start="107" w:end="95"/>
              <w:jc w:val="center"/>
              <w:rPr>
                <w:sz w:val="18"/>
              </w:rPr>
            </w:pPr>
            <w:r>
              <w:rPr>
                <w:sz w:val="18"/>
              </w:rPr>
              <w:t xml:space="preserve">Analogue de la GnRH : 57,4 [±9,8] </w:t>
            </w:r>
            <w:r>
              <w:rPr>
                <w:sz w:val="18"/>
              </w:rPr>
              <w:t xml:space="preserve">Sans analogue de la GnRH : 58.2 </w:t>
            </w:r>
            <w:r>
              <w:rPr>
                <w:sz w:val="18"/>
              </w:rPr>
              <w:t xml:space="preserve">[±9.3]</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r w:rsidR="00432386">
        <w:trPr>
          <w:trHeight w:val="462"/>
        </w:trPr>
        <w:tc>
          <w:tcPr>
            <w:tcW w:w="14173" w:type="dxa"/>
            <w:gridSpan w:val="10"/>
            <w:shd w:val="clear" w:color="auto" w:fill="C5D9F0"/>
          </w:tcPr>
          <w:p>
            <w:pPr>
              <w:pStyle w:val="TableParagraph"/>
              <w:spacing w:line="229" w:lineRule="exact"/>
              <w:ind w:start="107"/>
              <w:rPr>
                <w:b/>
                <w:i/>
                <w:sz w:val="20"/>
              </w:rPr>
            </w:pPr>
            <w:r>
              <w:rPr>
                <w:b/>
                <w:i/>
                <w:sz w:val="20"/>
              </w:rPr>
              <w:t xml:space="preserve">Moyenne±SD </w:t>
            </w:r>
            <w:r>
              <w:rPr>
                <w:b/>
                <w:i/>
                <w:sz w:val="20"/>
              </w:rPr>
              <w:t xml:space="preserve">du score de la </w:t>
            </w:r>
            <w:r>
              <w:rPr>
                <w:b/>
                <w:i/>
                <w:sz w:val="20"/>
              </w:rPr>
              <w:t xml:space="preserve">Child </w:t>
            </w:r>
            <w:r>
              <w:rPr>
                <w:b/>
                <w:i/>
                <w:sz w:val="20"/>
              </w:rPr>
              <w:t xml:space="preserve">Behaviour </w:t>
            </w:r>
            <w:r>
              <w:rPr>
                <w:b/>
                <w:i/>
                <w:sz w:val="20"/>
              </w:rPr>
              <w:t xml:space="preserve">Checklist</w:t>
            </w:r>
            <w:r>
              <w:rPr>
                <w:b/>
                <w:i/>
                <w:sz w:val="20"/>
              </w:rPr>
              <w:t xml:space="preserve">, </w:t>
            </w:r>
            <w:r>
              <w:rPr>
                <w:b/>
                <w:i/>
                <w:sz w:val="20"/>
              </w:rPr>
              <w:t xml:space="preserve">transmales </w:t>
            </w:r>
            <w:r>
              <w:rPr>
                <w:b/>
                <w:i/>
                <w:sz w:val="20"/>
              </w:rPr>
              <w:t xml:space="preserve">(les </w:t>
            </w:r>
            <w:r>
              <w:rPr>
                <w:b/>
                <w:i/>
                <w:sz w:val="20"/>
              </w:rPr>
              <w:t xml:space="preserve">scores </w:t>
            </w:r>
            <w:r>
              <w:rPr>
                <w:b/>
                <w:i/>
                <w:sz w:val="20"/>
              </w:rPr>
              <w:t xml:space="preserve">les plus bas </w:t>
            </w:r>
            <w:r>
              <w:rPr>
                <w:b/>
                <w:i/>
                <w:sz w:val="20"/>
              </w:rPr>
              <w:t xml:space="preserve">indiquent </w:t>
            </w:r>
            <w:r>
              <w:rPr>
                <w:b/>
                <w:i/>
                <w:sz w:val="20"/>
              </w:rPr>
              <w:t xml:space="preserve">un bénéfice)</w:t>
            </w:r>
          </w:p>
        </w:tc>
      </w:tr>
      <w:tr w:rsidR="00432386">
        <w:trPr>
          <w:trHeight w:val="715"/>
        </w:trPr>
        <w:tc>
          <w:tcPr>
            <w:tcW w:w="1594" w:type="dxa"/>
          </w:tcPr>
          <w:p>
            <w:pPr>
              <w:pStyle w:val="TableParagraph"/>
              <w:spacing w:before="150"/>
              <w:ind w:start="580" w:end="95" w:hanging="462"/>
              <w:rPr>
                <w:sz w:val="18"/>
              </w:rPr>
            </w:pPr>
            <w:r>
              <w:rPr>
                <w:sz w:val="18"/>
              </w:rPr>
              <w:t xml:space="preserve">1 </w:t>
            </w:r>
            <w:r>
              <w:rPr>
                <w:sz w:val="18"/>
              </w:rPr>
              <w:t xml:space="preserve">étude </w:t>
            </w:r>
            <w:r>
              <w:rPr>
                <w:sz w:val="18"/>
              </w:rPr>
              <w:t xml:space="preserve">transversale</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limitations6</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3"/>
              <w:ind w:start="197"/>
              <w:rPr>
                <w:sz w:val="18"/>
              </w:rPr>
            </w:pPr>
            <w:r>
              <w:rPr>
                <w:sz w:val="18"/>
              </w:rPr>
              <w:t xml:space="preserve">Non </w:t>
            </w:r>
            <w:r>
              <w:rPr>
                <w:sz w:val="18"/>
              </w:rPr>
              <w:t xml:space="preserve">applicable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277" w:type="dxa"/>
          </w:tcPr>
          <w:p>
            <w:pPr>
              <w:pStyle w:val="TableParagraph"/>
              <w:spacing w:before="1"/>
              <w:ind w:start="157" w:end="151"/>
              <w:jc w:val="center"/>
              <w:rPr>
                <w:sz w:val="18"/>
              </w:rPr>
            </w:pPr>
            <w:r>
              <w:rPr>
                <w:sz w:val="18"/>
              </w:rPr>
              <w:t xml:space="preserve">N=12</w:t>
            </w:r>
          </w:p>
        </w:tc>
        <w:tc>
          <w:tcPr>
            <w:tcW w:w="1130" w:type="dxa"/>
          </w:tcPr>
          <w:p>
            <w:pPr>
              <w:pStyle w:val="TableParagraph"/>
              <w:spacing w:before="1"/>
              <w:ind w:start="90" w:end="80"/>
              <w:jc w:val="center"/>
              <w:rPr>
                <w:sz w:val="18"/>
              </w:rPr>
            </w:pPr>
            <w:r>
              <w:rPr>
                <w:sz w:val="18"/>
              </w:rPr>
              <w:t xml:space="preserve">N=10</w:t>
            </w:r>
          </w:p>
        </w:tc>
        <w:tc>
          <w:tcPr>
            <w:tcW w:w="2568" w:type="dxa"/>
          </w:tcPr>
          <w:p>
            <w:pPr>
              <w:pStyle w:val="TableParagraph"/>
              <w:spacing w:before="1" w:line="276" w:lineRule="auto"/>
              <w:ind w:start="104" w:end="113"/>
              <w:jc w:val="center"/>
              <w:rPr>
                <w:sz w:val="18"/>
              </w:rPr>
            </w:pPr>
            <w:r>
              <w:rPr>
                <w:sz w:val="18"/>
              </w:rPr>
              <w:t xml:space="preserve">Analogues de la GnRH : 57,5 [±9,4] </w:t>
            </w:r>
            <w:r>
              <w:rPr>
                <w:sz w:val="18"/>
              </w:rPr>
              <w:t xml:space="preserve">Sans </w:t>
            </w:r>
            <w:r>
              <w:rPr>
                <w:sz w:val="18"/>
              </w:rPr>
              <w:t xml:space="preserve">analogue de la </w:t>
            </w:r>
            <w:r>
              <w:rPr>
                <w:sz w:val="18"/>
              </w:rPr>
              <w:t xml:space="preserve">GnRH </w:t>
            </w:r>
            <w:r>
              <w:rPr>
                <w:sz w:val="18"/>
              </w:rPr>
              <w:t xml:space="preserve">: </w:t>
            </w:r>
            <w:r>
              <w:rPr>
                <w:sz w:val="18"/>
              </w:rPr>
              <w:t xml:space="preserve">63.9</w:t>
            </w:r>
          </w:p>
          <w:p>
            <w:pPr>
              <w:pStyle w:val="TableParagraph"/>
              <w:spacing w:line="206" w:lineRule="exact"/>
              <w:ind w:start="107" w:end="99"/>
              <w:jc w:val="center"/>
              <w:rPr>
                <w:sz w:val="18"/>
              </w:rPr>
            </w:pPr>
            <w:r>
              <w:rPr>
                <w:sz w:val="18"/>
              </w:rPr>
              <w:t xml:space="preserve">[±10.5]</w:t>
            </w:r>
          </w:p>
        </w:tc>
        <w:tc>
          <w:tcPr>
            <w:tcW w:w="991" w:type="dxa"/>
          </w:tcPr>
          <w:p>
            <w:pPr>
              <w:pStyle w:val="TableParagraph"/>
              <w:spacing w:before="3"/>
              <w:ind w:end="101"/>
              <w:jc w:val="right"/>
              <w:rPr>
                <w:sz w:val="18"/>
              </w:rPr>
            </w:pPr>
            <w:r>
              <w:rPr>
                <w:sz w:val="18"/>
              </w:rPr>
              <w:t xml:space="preserve">Important</w:t>
            </w:r>
          </w:p>
        </w:tc>
        <w:tc>
          <w:tcPr>
            <w:tcW w:w="1262" w:type="dxa"/>
          </w:tcPr>
          <w:p>
            <w:pPr>
              <w:pStyle w:val="TableParagraph"/>
              <w:spacing w:before="3"/>
              <w:ind w:start="134" w:end="129"/>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277"/>
        <w:gridCol w:w="1130"/>
        <w:gridCol w:w="2568"/>
        <w:gridCol w:w="991"/>
        <w:gridCol w:w="1262"/>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975" w:type="dxa"/>
            <w:gridSpan w:val="3"/>
            <w:shd w:val="clear" w:color="auto" w:fill="D9D9D9"/>
          </w:tcPr>
          <w:p>
            <w:pPr>
              <w:pStyle w:val="TableParagraph"/>
              <w:spacing w:before="1"/>
              <w:ind w:start="1672" w:end="1666"/>
              <w:jc w:val="center"/>
              <w:rPr>
                <w:b/>
                <w:sz w:val="16"/>
              </w:rPr>
            </w:pPr>
            <w:r>
              <w:rPr>
                <w:b/>
                <w:sz w:val="16"/>
              </w:rPr>
              <w:t xml:space="preserve">Résumé </w:t>
            </w:r>
            <w:r>
              <w:rPr>
                <w:b/>
                <w:sz w:val="16"/>
              </w:rPr>
              <w:t xml:space="preserve">des </w:t>
            </w:r>
            <w:r>
              <w:rPr>
                <w:b/>
                <w:sz w:val="16"/>
              </w:rPr>
              <w:t xml:space="preserve">conclusions</w:t>
            </w:r>
          </w:p>
        </w:tc>
        <w:tc>
          <w:tcPr>
            <w:tcW w:w="991" w:type="dxa"/>
            <w:vMerge w:val="restart"/>
            <w:shd w:val="clear" w:color="auto" w:fill="D9D9D9"/>
          </w:tcPr>
          <w:p>
            <w:pPr>
              <w:pStyle w:val="TableParagraph"/>
              <w:spacing w:before="1"/>
              <w:ind w:start="326" w:end="97" w:hanging="200"/>
              <w:rPr>
                <w:b/>
                <w:sz w:val="16"/>
              </w:rPr>
            </w:pPr>
            <w:r>
              <w:rPr>
                <w:b/>
                <w:sz w:val="16"/>
              </w:rPr>
              <w:t xml:space="preserve">IMPORTA </w:t>
            </w:r>
            <w:r>
              <w:rPr>
                <w:b/>
                <w:sz w:val="16"/>
              </w:rPr>
              <w:t xml:space="preserve">NCE</w:t>
            </w:r>
          </w:p>
        </w:tc>
        <w:tc>
          <w:tcPr>
            <w:tcW w:w="1262" w:type="dxa"/>
            <w:vMerge w:val="restart"/>
            <w:shd w:val="clear" w:color="auto" w:fill="D9D9D9"/>
          </w:tcPr>
          <w:p>
            <w:pPr>
              <w:pStyle w:val="TableParagraph"/>
              <w:spacing w:before="1"/>
              <w:ind w:start="170"/>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407" w:type="dxa"/>
            <w:gridSpan w:val="2"/>
            <w:shd w:val="clear" w:color="auto" w:fill="D9D9D9"/>
          </w:tcPr>
          <w:p>
            <w:pPr>
              <w:pStyle w:val="TableParagraph"/>
              <w:spacing w:line="180" w:lineRule="atLeast"/>
              <w:ind w:start="949" w:end="141" w:hanging="785"/>
              <w:rPr>
                <w:b/>
                <w:sz w:val="16"/>
              </w:rPr>
            </w:pPr>
            <w:r>
              <w:rPr>
                <w:b/>
                <w:sz w:val="16"/>
              </w:rPr>
              <w:t xml:space="preserve">Nombre d'événements/Nombre de patients </w:t>
            </w:r>
            <w:r>
              <w:rPr>
                <w:b/>
                <w:sz w:val="16"/>
              </w:rPr>
              <w:t xml:space="preserve">(n/N%)</w:t>
            </w:r>
          </w:p>
        </w:tc>
        <w:tc>
          <w:tcPr>
            <w:tcW w:w="2568" w:type="dxa"/>
            <w:shd w:val="clear" w:color="auto" w:fill="D9D9D9"/>
          </w:tcPr>
          <w:p>
            <w:pPr>
              <w:pStyle w:val="TableParagraph"/>
              <w:spacing w:before="1"/>
              <w:ind w:start="107" w:end="100"/>
              <w:jc w:val="center"/>
              <w:rPr>
                <w:b/>
                <w:sz w:val="16"/>
              </w:rPr>
            </w:pPr>
            <w:r>
              <w:rPr>
                <w:b/>
                <w:sz w:val="16"/>
              </w:rPr>
              <w:t xml:space="preserve">Effet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38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spacing w:line="184" w:lineRule="exact"/>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277" w:type="dxa"/>
            <w:shd w:val="clear" w:color="auto" w:fill="D9D9D9"/>
          </w:tcPr>
          <w:p>
            <w:pPr>
              <w:pStyle w:val="TableParagraph"/>
              <w:spacing w:line="183" w:lineRule="exact"/>
              <w:ind w:start="176"/>
              <w:rPr>
                <w:b/>
                <w:sz w:val="16"/>
              </w:rPr>
            </w:pPr>
            <w:r>
              <w:rPr>
                <w:b/>
                <w:sz w:val="16"/>
              </w:rPr>
              <w:t xml:space="preserve">Intervention</w:t>
            </w:r>
          </w:p>
        </w:tc>
        <w:tc>
          <w:tcPr>
            <w:tcW w:w="1130" w:type="dxa"/>
            <w:shd w:val="clear" w:color="auto" w:fill="D9D9D9"/>
          </w:tcPr>
          <w:p>
            <w:pPr>
              <w:pStyle w:val="TableParagraph"/>
              <w:spacing w:line="183" w:lineRule="exact"/>
              <w:ind w:start="109"/>
              <w:rPr>
                <w:b/>
                <w:sz w:val="16"/>
              </w:rPr>
            </w:pPr>
            <w:r>
              <w:rPr>
                <w:b/>
                <w:sz w:val="16"/>
              </w:rPr>
              <w:t xml:space="preserve">Comparateur</w:t>
            </w:r>
          </w:p>
        </w:tc>
        <w:tc>
          <w:tcPr>
            <w:tcW w:w="2568" w:type="dxa"/>
            <w:shd w:val="clear" w:color="auto" w:fill="D9D9D9"/>
          </w:tcPr>
          <w:p>
            <w:pPr>
              <w:pStyle w:val="TableParagraph"/>
              <w:spacing w:line="183" w:lineRule="exact"/>
              <w:ind w:start="107" w:end="98"/>
              <w:jc w:val="center"/>
              <w:rPr>
                <w:b/>
                <w:sz w:val="16"/>
              </w:rPr>
            </w:pPr>
            <w:r>
              <w:rPr>
                <w:b/>
                <w:sz w:val="16"/>
              </w:rPr>
              <w:t xml:space="preserve">Résultat</w:t>
            </w:r>
          </w:p>
        </w:tc>
        <w:tc>
          <w:tcPr>
            <w:tcW w:w="991" w:type="dxa"/>
            <w:vMerge/>
            <w:tcBorders>
              <w:top w:val="nil"/>
            </w:tcBorders>
            <w:shd w:val="clear" w:color="auto" w:fill="D9D9D9"/>
          </w:tcPr>
          <w:p w:rsidR="00432386" w:rsidRDefault="00432386">
            <w:pPr>
              <w:rPr>
                <w:sz w:val="2"/>
                <w:szCs w:val="2"/>
              </w:rPr>
            </w:pPr>
          </w:p>
        </w:tc>
        <w:tc>
          <w:tcPr>
            <w:tcW w:w="1262" w:type="dxa"/>
            <w:vMerge/>
            <w:tcBorders>
              <w:top w:val="nil"/>
            </w:tcBorders>
            <w:shd w:val="clear" w:color="auto" w:fill="D9D9D9"/>
          </w:tcPr>
          <w:p w:rsidR="00432386" w:rsidRDefault="00432386">
            <w:pPr>
              <w:rPr>
                <w:sz w:val="2"/>
                <w:szCs w:val="2"/>
              </w:rPr>
            </w:pPr>
          </w:p>
        </w:tc>
      </w:tr>
      <w:tr w:rsidR="00432386">
        <w:trPr>
          <w:trHeight w:val="407"/>
        </w:trPr>
        <w:tc>
          <w:tcPr>
            <w:tcW w:w="1594" w:type="dxa"/>
          </w:tcPr>
          <w:p>
            <w:pPr>
              <w:pStyle w:val="TableParagraph"/>
              <w:spacing w:line="196" w:lineRule="exact"/>
              <w:ind w:start="106" w:end="99"/>
              <w:jc w:val="center"/>
              <w:rPr>
                <w:sz w:val="18"/>
              </w:rPr>
            </w:pPr>
            <w:r>
              <w:rPr>
                <w:sz w:val="18"/>
              </w:rPr>
              <w:t xml:space="preserve">Staphorsius </w:t>
            </w:r>
            <w:r>
              <w:rPr>
                <w:sz w:val="18"/>
              </w:rPr>
              <w:t xml:space="preserve">et </w:t>
            </w:r>
            <w:r>
              <w:rPr>
                <w:sz w:val="18"/>
              </w:rPr>
              <w:t xml:space="preserve">al</w:t>
            </w:r>
          </w:p>
          <w:p>
            <w:pPr>
              <w:pStyle w:val="TableParagraph"/>
              <w:spacing w:line="192" w:lineRule="exact"/>
              <w:ind w:start="229" w:end="219"/>
              <w:jc w:val="center"/>
              <w:rPr>
                <w:sz w:val="18"/>
              </w:rPr>
            </w:pPr>
            <w:r>
              <w:rPr>
                <w:sz w:val="18"/>
              </w:rPr>
              <w:t xml:space="preserve">2015</w:t>
            </w:r>
          </w:p>
        </w:tc>
        <w:tc>
          <w:tcPr>
            <w:tcW w:w="1097" w:type="dxa"/>
          </w:tcPr>
          <w:p w:rsidR="00432386" w:rsidRDefault="00432386">
            <w:pPr>
              <w:pStyle w:val="TableParagraph"/>
              <w:rPr>
                <w:rFonts w:ascii="Times New Roman"/>
                <w:sz w:val="18"/>
              </w:rPr>
            </w:pPr>
          </w:p>
        </w:tc>
        <w:tc>
          <w:tcPr>
            <w:tcW w:w="1440" w:type="dxa"/>
          </w:tcPr>
          <w:p w:rsidR="00432386" w:rsidRDefault="00432386">
            <w:pPr>
              <w:pStyle w:val="TableParagraph"/>
              <w:rPr>
                <w:rFonts w:ascii="Times New Roman"/>
                <w:sz w:val="18"/>
              </w:rPr>
            </w:pPr>
          </w:p>
        </w:tc>
        <w:tc>
          <w:tcPr>
            <w:tcW w:w="1537" w:type="dxa"/>
          </w:tcPr>
          <w:p w:rsidR="00432386" w:rsidRDefault="00432386">
            <w:pPr>
              <w:pStyle w:val="TableParagraph"/>
              <w:rPr>
                <w:rFonts w:ascii="Times New Roman"/>
                <w:sz w:val="18"/>
              </w:rPr>
            </w:pPr>
          </w:p>
        </w:tc>
        <w:tc>
          <w:tcPr>
            <w:tcW w:w="1277" w:type="dxa"/>
          </w:tcPr>
          <w:p w:rsidR="00432386" w:rsidRDefault="00432386">
            <w:pPr>
              <w:pStyle w:val="TableParagraph"/>
              <w:rPr>
                <w:rFonts w:ascii="Times New Roman"/>
                <w:sz w:val="18"/>
              </w:rPr>
            </w:pPr>
          </w:p>
        </w:tc>
        <w:tc>
          <w:tcPr>
            <w:tcW w:w="1277" w:type="dxa"/>
          </w:tcPr>
          <w:p w:rsidR="00432386" w:rsidRDefault="00432386">
            <w:pPr>
              <w:pStyle w:val="TableParagraph"/>
              <w:rPr>
                <w:rFonts w:ascii="Times New Roman"/>
                <w:sz w:val="18"/>
              </w:rPr>
            </w:pPr>
          </w:p>
        </w:tc>
        <w:tc>
          <w:tcPr>
            <w:tcW w:w="1130" w:type="dxa"/>
          </w:tcPr>
          <w:p w:rsidR="00432386" w:rsidRDefault="00432386">
            <w:pPr>
              <w:pStyle w:val="TableParagraph"/>
              <w:rPr>
                <w:rFonts w:ascii="Times New Roman"/>
                <w:sz w:val="18"/>
              </w:rPr>
            </w:pPr>
          </w:p>
        </w:tc>
        <w:tc>
          <w:tcPr>
            <w:tcW w:w="2568" w:type="dxa"/>
          </w:tcPr>
          <w:p w:rsidR="00432386" w:rsidRDefault="00432386">
            <w:pPr>
              <w:pStyle w:val="TableParagraph"/>
              <w:rPr>
                <w:rFonts w:ascii="Times New Roman"/>
                <w:sz w:val="18"/>
              </w:rPr>
            </w:pPr>
          </w:p>
        </w:tc>
        <w:tc>
          <w:tcPr>
            <w:tcW w:w="991" w:type="dxa"/>
          </w:tcPr>
          <w:p w:rsidR="00432386" w:rsidRDefault="00432386">
            <w:pPr>
              <w:pStyle w:val="TableParagraph"/>
              <w:rPr>
                <w:rFonts w:ascii="Times New Roman"/>
                <w:sz w:val="18"/>
              </w:rPr>
            </w:pPr>
          </w:p>
        </w:tc>
        <w:tc>
          <w:tcPr>
            <w:tcW w:w="1262" w:type="dxa"/>
          </w:tcPr>
          <w:p w:rsidR="00432386" w:rsidRDefault="00432386">
            <w:pPr>
              <w:pStyle w:val="TableParagraph"/>
              <w:rPr>
                <w:rFonts w:ascii="Times New Roman"/>
                <w:sz w:val="18"/>
              </w:rPr>
            </w:pPr>
          </w:p>
        </w:tc>
      </w:tr>
    </w:tbl>
    <w:p>
      <w:pPr>
        <w:spacing w:before="1"/>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10"/>
        <w:ind w:start="0"/>
        <w:rPr>
          <w:sz w:val="19"/>
        </w:rPr>
      </w:pPr>
    </w:p>
    <w:p>
      <w:pPr>
        <w:ind w:start="120" w:end="1683"/>
        <w:rPr>
          <w:i/>
          <w:sz w:val="18"/>
        </w:rPr>
      </w:pPr>
      <w:r>
        <w:rPr>
          <w:i/>
          <w:sz w:val="18"/>
        </w:rPr>
        <w:t xml:space="preserve">1 Rétrogradé de 1 niveau - l'étude de cohorte de Costa et al. (2015) a été évaluée comme présentant un risque élevé de biais (qualité médiocre dans l'ensemble ; absence d'aveugle et de groupe témoin). </w:t>
      </w:r>
      <w:r>
        <w:rPr>
          <w:i/>
          <w:sz w:val="18"/>
        </w:rPr>
        <w:t xml:space="preserve">2 6 </w:t>
      </w:r>
      <w:r>
        <w:rPr>
          <w:i/>
          <w:sz w:val="18"/>
        </w:rPr>
        <w:t xml:space="preserve">mois </w:t>
      </w:r>
      <w:r>
        <w:rPr>
          <w:i/>
          <w:sz w:val="18"/>
        </w:rPr>
        <w:t xml:space="preserve">à partir de la </w:t>
      </w:r>
      <w:r>
        <w:rPr>
          <w:i/>
          <w:sz w:val="18"/>
        </w:rPr>
        <w:t xml:space="preserve">ligne de base </w:t>
      </w:r>
      <w:r>
        <w:rPr>
          <w:i/>
          <w:sz w:val="18"/>
        </w:rPr>
        <w:t xml:space="preserve">(après 6 mois </w:t>
      </w:r>
      <w:r>
        <w:rPr>
          <w:i/>
          <w:sz w:val="18"/>
        </w:rPr>
        <w:t xml:space="preserve">de </w:t>
      </w:r>
      <w:r>
        <w:rPr>
          <w:i/>
          <w:sz w:val="18"/>
        </w:rPr>
        <w:t xml:space="preserve">soutien </w:t>
      </w:r>
      <w:r>
        <w:rPr>
          <w:i/>
          <w:sz w:val="18"/>
        </w:rPr>
        <w:t xml:space="preserve">psychologique </w:t>
      </w:r>
      <w:r>
        <w:rPr>
          <w:i/>
          <w:sz w:val="18"/>
        </w:rPr>
        <w:t xml:space="preserve">- </w:t>
      </w:r>
      <w:r>
        <w:rPr>
          <w:i/>
          <w:sz w:val="18"/>
        </w:rPr>
        <w:t xml:space="preserve">les deux groupes).</w:t>
      </w:r>
    </w:p>
    <w:p>
      <w:pPr>
        <w:pStyle w:val="Paragraphedeliste"/>
        <w:numPr>
          <w:ilvl w:val="0"/>
          <w:numId w:val="7"/>
        </w:numPr>
        <w:tabs>
          <w:tab w:val="left" w:pos="272"/>
        </w:tabs>
        <w:spacing w:before="1"/>
        <w:ind w:end="911" w:firstLine="0"/>
        <w:rPr>
          <w:i/>
          <w:sz w:val="18"/>
        </w:rPr>
      </w:pPr>
      <w:r>
        <w:rPr>
          <w:i/>
          <w:sz w:val="18"/>
        </w:rPr>
        <w:t xml:space="preserve">12 </w:t>
      </w:r>
      <w:r>
        <w:rPr>
          <w:i/>
          <w:sz w:val="18"/>
        </w:rPr>
        <w:t xml:space="preserve">mois </w:t>
      </w:r>
      <w:r>
        <w:rPr>
          <w:i/>
          <w:sz w:val="18"/>
        </w:rPr>
        <w:t xml:space="preserve">à partir de la </w:t>
      </w:r>
      <w:r>
        <w:rPr>
          <w:i/>
          <w:sz w:val="18"/>
        </w:rPr>
        <w:t xml:space="preserve">ligne de base </w:t>
      </w:r>
      <w:r>
        <w:rPr>
          <w:i/>
          <w:sz w:val="18"/>
        </w:rPr>
        <w:t xml:space="preserve">(</w:t>
      </w:r>
      <w:r>
        <w:rPr>
          <w:i/>
          <w:sz w:val="18"/>
        </w:rPr>
        <w:t xml:space="preserve">adolescents souffrant de </w:t>
      </w:r>
      <w:r>
        <w:rPr>
          <w:i/>
          <w:sz w:val="18"/>
        </w:rPr>
        <w:t xml:space="preserve">dysphorie de </w:t>
      </w:r>
      <w:r>
        <w:rPr>
          <w:i/>
          <w:sz w:val="18"/>
        </w:rPr>
        <w:t xml:space="preserve">genre </w:t>
      </w:r>
      <w:r>
        <w:rPr>
          <w:i/>
          <w:sz w:val="18"/>
        </w:rPr>
        <w:t xml:space="preserve">[DG] </w:t>
      </w:r>
      <w:r>
        <w:rPr>
          <w:i/>
          <w:sz w:val="18"/>
        </w:rPr>
        <w:t xml:space="preserve">éligibles </w:t>
      </w:r>
      <w:r>
        <w:rPr>
          <w:i/>
          <w:sz w:val="18"/>
        </w:rPr>
        <w:t xml:space="preserve">tardivement</w:t>
      </w:r>
      <w:r>
        <w:rPr>
          <w:i/>
          <w:sz w:val="18"/>
        </w:rPr>
        <w:t xml:space="preserve">, </w:t>
      </w:r>
      <w:r>
        <w:rPr>
          <w:i/>
          <w:sz w:val="18"/>
        </w:rPr>
        <w:t xml:space="preserve">après </w:t>
      </w:r>
      <w:r>
        <w:rPr>
          <w:i/>
          <w:sz w:val="18"/>
        </w:rPr>
        <w:t xml:space="preserve">12 </w:t>
      </w:r>
      <w:r>
        <w:rPr>
          <w:i/>
          <w:sz w:val="18"/>
        </w:rPr>
        <w:t xml:space="preserve">mois </w:t>
      </w:r>
      <w:r>
        <w:rPr>
          <w:i/>
          <w:sz w:val="18"/>
        </w:rPr>
        <w:t xml:space="preserve">de </w:t>
      </w:r>
      <w:r>
        <w:rPr>
          <w:i/>
          <w:sz w:val="18"/>
        </w:rPr>
        <w:t xml:space="preserve">soutien </w:t>
      </w:r>
      <w:r>
        <w:rPr>
          <w:i/>
          <w:sz w:val="18"/>
        </w:rPr>
        <w:t xml:space="preserve">psychologique </w:t>
      </w:r>
      <w:r>
        <w:rPr>
          <w:i/>
          <w:sz w:val="18"/>
        </w:rPr>
        <w:t xml:space="preserve">; </w:t>
      </w:r>
      <w:r>
        <w:rPr>
          <w:i/>
          <w:sz w:val="18"/>
        </w:rPr>
        <w:t xml:space="preserve">adolescents </w:t>
      </w:r>
      <w:r>
        <w:rPr>
          <w:i/>
          <w:sz w:val="18"/>
        </w:rPr>
        <w:t xml:space="preserve">souffrant de DG </w:t>
      </w:r>
      <w:r>
        <w:rPr>
          <w:i/>
          <w:sz w:val="18"/>
        </w:rPr>
        <w:t xml:space="preserve">immédiatement </w:t>
      </w:r>
      <w:r>
        <w:rPr>
          <w:i/>
          <w:sz w:val="18"/>
        </w:rPr>
        <w:t xml:space="preserve">éligibles</w:t>
      </w:r>
      <w:r>
        <w:rPr>
          <w:i/>
          <w:sz w:val="18"/>
        </w:rPr>
        <w:t xml:space="preserve">, </w:t>
      </w:r>
      <w:r>
        <w:rPr>
          <w:i/>
          <w:sz w:val="18"/>
        </w:rPr>
        <w:t xml:space="preserve">après </w:t>
      </w:r>
      <w:r>
        <w:rPr>
          <w:i/>
          <w:sz w:val="18"/>
        </w:rPr>
        <w:t xml:space="preserve">12 </w:t>
      </w:r>
      <w:r>
        <w:rPr>
          <w:i/>
          <w:sz w:val="18"/>
        </w:rPr>
        <w:t xml:space="preserve">mois de soutien psychologique + 6 mois </w:t>
      </w:r>
      <w:r>
        <w:rPr>
          <w:i/>
          <w:sz w:val="18"/>
        </w:rPr>
        <w:t xml:space="preserve">de </w:t>
      </w:r>
      <w:r>
        <w:rPr>
          <w:i/>
          <w:sz w:val="18"/>
        </w:rPr>
        <w:t xml:space="preserve">suppression de la </w:t>
      </w:r>
      <w:r>
        <w:rPr>
          <w:i/>
          <w:sz w:val="18"/>
        </w:rPr>
        <w:t xml:space="preserve">puberté</w:t>
      </w:r>
      <w:r>
        <w:rPr>
          <w:i/>
          <w:sz w:val="18"/>
        </w:rPr>
        <w:t xml:space="preserve">).</w:t>
      </w:r>
    </w:p>
    <w:p>
      <w:pPr>
        <w:pStyle w:val="Paragraphedeliste"/>
        <w:numPr>
          <w:ilvl w:val="0"/>
          <w:numId w:val="7"/>
        </w:numPr>
        <w:tabs>
          <w:tab w:val="left" w:pos="272"/>
        </w:tabs>
        <w:spacing w:before="0"/>
        <w:ind w:end="909" w:firstLine="0"/>
        <w:rPr>
          <w:i/>
          <w:sz w:val="18"/>
        </w:rPr>
      </w:pPr>
      <w:r>
        <w:rPr>
          <w:i/>
          <w:sz w:val="18"/>
        </w:rPr>
        <w:t xml:space="preserve">18 mois à partir de la ligne de base (</w:t>
      </w:r>
      <w:r>
        <w:rPr>
          <w:i/>
          <w:sz w:val="18"/>
        </w:rPr>
        <w:t xml:space="preserve">adolescents souffrant de dysphorie de genre [DG] éligibles </w:t>
      </w:r>
      <w:r>
        <w:rPr>
          <w:i/>
          <w:sz w:val="18"/>
        </w:rPr>
        <w:t xml:space="preserve">tardivement</w:t>
      </w:r>
      <w:r>
        <w:rPr>
          <w:i/>
          <w:sz w:val="18"/>
        </w:rPr>
        <w:t xml:space="preserve">, après 12 mois de soutien psychologique ; adolescents souffrant de DG immédiatement éligibles, après 12 </w:t>
      </w:r>
      <w:r>
        <w:rPr>
          <w:i/>
          <w:sz w:val="18"/>
        </w:rPr>
        <w:t xml:space="preserve">mois de soutien psychologique + 6 mois </w:t>
      </w:r>
      <w:r>
        <w:rPr>
          <w:i/>
          <w:sz w:val="18"/>
        </w:rPr>
        <w:t xml:space="preserve">de </w:t>
      </w:r>
      <w:r>
        <w:rPr>
          <w:i/>
          <w:sz w:val="18"/>
        </w:rPr>
        <w:t xml:space="preserve">suppression de la </w:t>
      </w:r>
      <w:r>
        <w:rPr>
          <w:i/>
          <w:sz w:val="18"/>
        </w:rPr>
        <w:t xml:space="preserve">puberté</w:t>
      </w:r>
      <w:r>
        <w:rPr>
          <w:i/>
          <w:sz w:val="18"/>
        </w:rPr>
        <w:t xml:space="preserve">).</w:t>
      </w:r>
    </w:p>
    <w:p>
      <w:pPr>
        <w:pStyle w:val="Paragraphedeliste"/>
        <w:numPr>
          <w:ilvl w:val="0"/>
          <w:numId w:val="7"/>
        </w:numPr>
        <w:tabs>
          <w:tab w:val="left" w:pos="272"/>
        </w:tabs>
        <w:spacing w:before="0"/>
        <w:ind w:start="271"/>
        <w:rPr>
          <w:i/>
          <w:sz w:val="18"/>
        </w:rPr>
      </w:pPr>
      <w:r>
        <w:rPr>
          <w:i/>
          <w:sz w:val="18"/>
        </w:rPr>
        <w:t xml:space="preserve">Déclassement d'</w:t>
      </w:r>
      <w:r>
        <w:rPr>
          <w:i/>
          <w:sz w:val="18"/>
        </w:rPr>
        <w:t xml:space="preserve">un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de </w:t>
      </w:r>
      <w:r>
        <w:rPr>
          <w:i/>
          <w:sz w:val="18"/>
        </w:rPr>
        <w:t xml:space="preserve">Vries </w:t>
      </w:r>
      <w:r>
        <w:rPr>
          <w:i/>
          <w:sz w:val="18"/>
        </w:rPr>
        <w:t xml:space="preserve">et </w:t>
      </w:r>
      <w:r>
        <w:rPr>
          <w:i/>
          <w:sz w:val="18"/>
        </w:rPr>
        <w:t xml:space="preserve">al. </w:t>
      </w:r>
      <w:r>
        <w:rPr>
          <w:i/>
          <w:sz w:val="18"/>
        </w:rPr>
        <w:t xml:space="preserve">(2011) </w:t>
      </w:r>
      <w:r>
        <w:rPr>
          <w:i/>
          <w:sz w:val="18"/>
        </w:rPr>
        <w:t xml:space="preserve">a été évaluée </w:t>
      </w:r>
      <w:r>
        <w:rPr>
          <w:i/>
          <w:sz w:val="18"/>
        </w:rPr>
        <w:t xml:space="preserve">comme 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pPr>
        <w:pStyle w:val="Paragraphedeliste"/>
        <w:numPr>
          <w:ilvl w:val="0"/>
          <w:numId w:val="7"/>
        </w:numPr>
        <w:tabs>
          <w:tab w:val="left" w:pos="272"/>
        </w:tabs>
        <w:spacing w:before="33"/>
        <w:ind w:start="271"/>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Staphorsius et </w:t>
      </w:r>
      <w:r>
        <w:rPr>
          <w:i/>
          <w:sz w:val="18"/>
        </w:rPr>
        <w:t xml:space="preserve">al. </w:t>
      </w:r>
      <w:r>
        <w:rPr>
          <w:i/>
          <w:sz w:val="18"/>
        </w:rPr>
        <w:t xml:space="preserve">(2015) </w:t>
      </w:r>
      <w:r>
        <w:rPr>
          <w:i/>
          <w:sz w:val="18"/>
        </w:rPr>
        <w:t xml:space="preserve">a été </w:t>
      </w:r>
      <w:r>
        <w:rPr>
          <w:i/>
          <w:sz w:val="18"/>
        </w:rPr>
        <w:t xml:space="preserve">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pas de </w:t>
      </w:r>
      <w:r>
        <w:rPr>
          <w:i/>
          <w:sz w:val="18"/>
        </w:rPr>
        <w:t xml:space="preserve">randomisation).</w:t>
      </w:r>
    </w:p>
    <w:p w:rsidR="00432386" w:rsidRDefault="00432386">
      <w:pPr>
        <w:pStyle w:val="Corpsdetexte"/>
        <w:spacing w:before="0"/>
        <w:ind w:start="0"/>
        <w:rPr>
          <w:i/>
          <w:sz w:val="20"/>
        </w:rPr>
      </w:pPr>
    </w:p>
    <w:p w:rsidR="00432386" w:rsidRDefault="00432386">
      <w:pPr>
        <w:pStyle w:val="Corpsdetexte"/>
        <w:spacing w:before="1"/>
        <w:ind w:start="0"/>
        <w:rPr>
          <w:i/>
          <w:sz w:val="18"/>
        </w:rPr>
      </w:pPr>
    </w:p>
    <w:p>
      <w:pPr>
        <w:pStyle w:val="Titre1"/>
        <w:ind w:start="120" w:end="668"/>
        <w:jc w:val="both"/>
      </w:pPr>
      <w:r>
        <w:t xml:space="preserve">Tableau 6 : Question 1. Pour les enfants et les adolescents souffrant de dysphorie de genre, quelle est l'efficacité clinique du traitement </w:t>
      </w:r>
      <w:r>
        <w:t xml:space="preserve">par analogues de la GnRH par rapport à une ou une combinaison de soutien psychologique, de transition sociale vers le </w:t>
      </w:r>
      <w:r>
        <w:t xml:space="preserve">genre </w:t>
      </w:r>
      <w:r>
        <w:t xml:space="preserve">désiré </w:t>
      </w:r>
      <w:r>
        <w:t xml:space="preserve">ou d'aucune intervention ? - </w:t>
      </w:r>
      <w:r>
        <w:t xml:space="preserve">engagement auprès des </w:t>
      </w:r>
      <w:r>
        <w:t xml:space="preserve">services de </w:t>
      </w:r>
      <w:r>
        <w:t xml:space="preserve">santé</w:t>
      </w: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4"/>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6"/>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2" w:lineRule="exac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302"/>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462"/>
        </w:trPr>
        <w:tc>
          <w:tcPr>
            <w:tcW w:w="13950" w:type="dxa"/>
            <w:gridSpan w:val="10"/>
            <w:shd w:val="clear" w:color="auto" w:fill="8DB3E1"/>
          </w:tcPr>
          <w:p>
            <w:pPr>
              <w:pStyle w:val="TableParagraph"/>
              <w:spacing w:line="229" w:lineRule="exact"/>
              <w:ind w:start="107"/>
              <w:rPr>
                <w:b/>
                <w:i/>
                <w:sz w:val="20"/>
              </w:rPr>
            </w:pPr>
            <w:r>
              <w:rPr>
                <w:b/>
                <w:i/>
                <w:sz w:val="20"/>
              </w:rPr>
              <w:t xml:space="preserve">Engagement </w:t>
            </w:r>
            <w:r>
              <w:rPr>
                <w:b/>
                <w:i/>
                <w:sz w:val="20"/>
              </w:rPr>
              <w:t xml:space="preserve">avec les </w:t>
            </w:r>
            <w:r>
              <w:rPr>
                <w:b/>
                <w:i/>
                <w:sz w:val="20"/>
              </w:rPr>
              <w:t xml:space="preserve">services de </w:t>
            </w:r>
            <w:r>
              <w:rPr>
                <w:b/>
                <w:i/>
                <w:sz w:val="20"/>
              </w:rPr>
              <w:t xml:space="preserve">santé</w:t>
            </w:r>
          </w:p>
        </w:tc>
      </w:tr>
      <w:tr w:rsidR="00432386">
        <w:trPr>
          <w:trHeight w:val="465"/>
        </w:trPr>
        <w:tc>
          <w:tcPr>
            <w:tcW w:w="13950" w:type="dxa"/>
            <w:gridSpan w:val="10"/>
            <w:shd w:val="clear" w:color="auto" w:fill="C5D9F0"/>
          </w:tcPr>
          <w:p>
            <w:pPr>
              <w:pStyle w:val="TableParagraph"/>
              <w:spacing w:line="229" w:lineRule="exact"/>
              <w:ind w:start="107"/>
              <w:rPr>
                <w:b/>
                <w:i/>
                <w:sz w:val="20"/>
              </w:rPr>
            </w:pPr>
            <w:r>
              <w:rPr>
                <w:b/>
                <w:i/>
                <w:sz w:val="20"/>
              </w:rPr>
              <w:t xml:space="preserve">Nombre </w:t>
            </w:r>
            <w:r>
              <w:rPr>
                <w:b/>
                <w:i/>
                <w:sz w:val="20"/>
              </w:rPr>
              <w:t xml:space="preserve">(proportion) de personnes </w:t>
            </w:r>
            <w:r>
              <w:rPr>
                <w:b/>
                <w:i/>
                <w:sz w:val="20"/>
              </w:rPr>
              <w:t xml:space="preserve">n'</w:t>
            </w:r>
            <w:r>
              <w:rPr>
                <w:b/>
                <w:i/>
                <w:sz w:val="20"/>
              </w:rPr>
              <w:t xml:space="preserve">ayant</w:t>
            </w:r>
            <w:r>
              <w:rPr>
                <w:b/>
                <w:i/>
                <w:sz w:val="20"/>
              </w:rPr>
              <w:t xml:space="preserve"> pas eu </w:t>
            </w:r>
            <w:r>
              <w:rPr>
                <w:b/>
                <w:i/>
                <w:sz w:val="20"/>
              </w:rPr>
              <w:t xml:space="preserve">recours </w:t>
            </w:r>
            <w:r>
              <w:rPr>
                <w:b/>
                <w:i/>
                <w:sz w:val="20"/>
              </w:rPr>
              <w:t xml:space="preserve">aux </w:t>
            </w:r>
            <w:r>
              <w:rPr>
                <w:b/>
                <w:i/>
                <w:sz w:val="20"/>
              </w:rPr>
              <w:t xml:space="preserve">services de </w:t>
            </w:r>
            <w:r>
              <w:rPr>
                <w:b/>
                <w:i/>
                <w:sz w:val="20"/>
              </w:rPr>
              <w:t xml:space="preserve">soins de </w:t>
            </w:r>
            <w:r>
              <w:rPr>
                <w:b/>
                <w:i/>
                <w:sz w:val="20"/>
              </w:rPr>
              <w:t xml:space="preserve">santé </w:t>
            </w:r>
            <w:r>
              <w:rPr>
                <w:b/>
                <w:i/>
                <w:sz w:val="20"/>
              </w:rPr>
              <w:t xml:space="preserve">(</w:t>
            </w:r>
            <w:r>
              <w:rPr>
                <w:b/>
                <w:i/>
                <w:sz w:val="20"/>
              </w:rPr>
              <w:t xml:space="preserve">ne </w:t>
            </w:r>
            <w:r>
              <w:rPr>
                <w:b/>
                <w:i/>
                <w:sz w:val="20"/>
              </w:rPr>
              <w:t xml:space="preserve">se sont </w:t>
            </w:r>
            <w:r>
              <w:rPr>
                <w:b/>
                <w:i/>
                <w:sz w:val="20"/>
              </w:rPr>
              <w:t xml:space="preserve">pas </w:t>
            </w:r>
            <w:r>
              <w:rPr>
                <w:b/>
                <w:i/>
                <w:sz w:val="20"/>
              </w:rPr>
              <w:t xml:space="preserve">rendues à la </w:t>
            </w:r>
            <w:r>
              <w:rPr>
                <w:b/>
                <w:i/>
                <w:sz w:val="20"/>
              </w:rPr>
              <w:t xml:space="preserve">clinique), </w:t>
            </w:r>
            <w:r>
              <w:rPr>
                <w:b/>
                <w:i/>
                <w:sz w:val="20"/>
              </w:rPr>
              <w:t xml:space="preserve">lors du </w:t>
            </w:r>
            <w:r>
              <w:rPr>
                <w:b/>
                <w:i/>
                <w:sz w:val="20"/>
              </w:rPr>
              <w:t xml:space="preserve">suivi de </w:t>
            </w:r>
            <w:r>
              <w:rPr>
                <w:b/>
                <w:i/>
                <w:sz w:val="20"/>
              </w:rPr>
              <w:t xml:space="preserve">9 </w:t>
            </w:r>
            <w:r>
              <w:rPr>
                <w:b/>
                <w:i/>
                <w:sz w:val="20"/>
              </w:rPr>
              <w:t xml:space="preserve">ans </w:t>
            </w:r>
            <w:r>
              <w:rPr>
                <w:b/>
                <w:i/>
                <w:sz w:val="20"/>
              </w:rPr>
              <w:t xml:space="preserve">(ou plus</w:t>
            </w:r>
            <w:r>
              <w:rPr>
                <w:b/>
                <w:i/>
                <w:sz w:val="20"/>
              </w:rPr>
              <w:t xml:space="preserve">)</w:t>
            </w:r>
          </w:p>
        </w:tc>
      </w:tr>
      <w:tr w:rsidR="00432386">
        <w:trPr>
          <w:trHeight w:val="882"/>
        </w:trPr>
        <w:tc>
          <w:tcPr>
            <w:tcW w:w="1133" w:type="dxa"/>
          </w:tcPr>
          <w:p>
            <w:pPr>
              <w:pStyle w:val="TableParagraph"/>
              <w:spacing w:before="27"/>
              <w:ind w:start="213" w:end="205" w:firstLine="2"/>
              <w:jc w:val="center"/>
              <w:rPr>
                <w:sz w:val="18"/>
              </w:rPr>
            </w:pPr>
            <w:r>
              <w:rPr>
                <w:sz w:val="18"/>
              </w:rPr>
              <w:t xml:space="preserve">1 </w:t>
            </w:r>
            <w:r>
              <w:rPr>
                <w:sz w:val="18"/>
              </w:rPr>
              <w:t xml:space="preserve">étude de </w:t>
            </w:r>
            <w:r>
              <w:rPr>
                <w:sz w:val="18"/>
              </w:rPr>
              <w:t xml:space="preserve">cohorte </w:t>
            </w:r>
            <w:r>
              <w:rPr>
                <w:sz w:val="18"/>
              </w:rPr>
              <w:t xml:space="preserve">Brik et al </w:t>
            </w:r>
            <w:r>
              <w:rPr>
                <w:sz w:val="18"/>
              </w:rPr>
              <w:t xml:space="preserve">2018</w:t>
            </w:r>
          </w:p>
        </w:tc>
        <w:tc>
          <w:tcPr>
            <w:tcW w:w="1135" w:type="dxa"/>
          </w:tcPr>
          <w:p w:rsidR="00432386" w:rsidRDefault="00432386">
            <w:pPr>
              <w:pStyle w:val="TableParagraph"/>
              <w:spacing w:before="7"/>
              <w:rPr>
                <w:b/>
                <w:sz w:val="20"/>
              </w:rPr>
            </w:pPr>
          </w:p>
          <w:p>
            <w:pPr>
              <w:pStyle w:val="TableParagraph"/>
              <w:spacing w:line="235" w:lineRule="auto"/>
              <w:ind w:start="134" w:end="104" w:firstLine="127"/>
              <w:rPr>
                <w:sz w:val="12"/>
              </w:rPr>
            </w:pPr>
            <w:r>
              <w:rPr>
                <w:sz w:val="18"/>
              </w:rPr>
              <w:t xml:space="preserve">De sérieuses </w:t>
            </w:r>
            <w:r>
              <w:rPr>
                <w:sz w:val="18"/>
              </w:rPr>
              <w:t xml:space="preserve">limitations1</w:t>
            </w:r>
          </w:p>
        </w:tc>
        <w:tc>
          <w:tcPr>
            <w:tcW w:w="1274" w:type="dxa"/>
          </w:tcPr>
          <w:p>
            <w:pPr>
              <w:pStyle w:val="TableParagraph"/>
              <w:spacing w:before="102" w:line="278" w:lineRule="auto"/>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18"/>
              </w:rPr>
            </w:pPr>
          </w:p>
          <w:p>
            <w:pPr>
              <w:pStyle w:val="TableParagraph"/>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spacing w:before="9"/>
              <w:rPr>
                <w:b/>
                <w:sz w:val="17"/>
              </w:rPr>
            </w:pPr>
          </w:p>
          <w:p>
            <w:pPr>
              <w:pStyle w:val="TableParagraph"/>
              <w:spacing w:before="1" w:line="280" w:lineRule="auto"/>
              <w:ind w:start="166" w:end="135" w:firstLine="259"/>
              <w:rPr>
                <w:sz w:val="18"/>
              </w:rPr>
            </w:pPr>
            <w:r>
              <w:rPr>
                <w:sz w:val="18"/>
              </w:rPr>
              <w:t xml:space="preserve">Non </w:t>
            </w:r>
            <w:r>
              <w:rPr>
                <w:sz w:val="18"/>
              </w:rPr>
              <w:t xml:space="preserve">calculable</w:t>
            </w:r>
          </w:p>
        </w:tc>
        <w:tc>
          <w:tcPr>
            <w:tcW w:w="1132" w:type="dxa"/>
          </w:tcPr>
          <w:p>
            <w:pPr>
              <w:pStyle w:val="TableParagraph"/>
              <w:ind w:start="301" w:end="270" w:firstLine="40"/>
              <w:rPr>
                <w:sz w:val="18"/>
              </w:rPr>
            </w:pPr>
            <w:r>
              <w:rPr>
                <w:sz w:val="18"/>
              </w:rPr>
              <w:t xml:space="preserve">9/214 </w:t>
            </w:r>
            <w:r>
              <w:rPr>
                <w:sz w:val="18"/>
              </w:rPr>
              <w:t xml:space="preserve">(4.2%)</w:t>
            </w:r>
          </w:p>
        </w:tc>
        <w:tc>
          <w:tcPr>
            <w:tcW w:w="1274" w:type="dxa"/>
          </w:tcPr>
          <w:p>
            <w:pPr>
              <w:pStyle w:val="TableParagraph"/>
              <w:spacing w:before="1"/>
              <w:ind w:start="153" w:end="136"/>
              <w:jc w:val="center"/>
              <w:rPr>
                <w:sz w:val="18"/>
              </w:rPr>
            </w:pPr>
            <w:r>
              <w:rPr>
                <w:sz w:val="18"/>
              </w:rPr>
              <w:t xml:space="preserve">Aucun</w:t>
            </w:r>
          </w:p>
        </w:tc>
        <w:tc>
          <w:tcPr>
            <w:tcW w:w="2836" w:type="dxa"/>
          </w:tcPr>
          <w:p>
            <w:pPr>
              <w:pStyle w:val="TableParagraph"/>
              <w:spacing w:before="99"/>
              <w:ind w:start="173" w:end="159" w:firstLine="4"/>
              <w:jc w:val="center"/>
              <w:rPr>
                <w:sz w:val="18"/>
              </w:rPr>
            </w:pPr>
            <w:r>
              <w:rPr>
                <w:sz w:val="18"/>
              </w:rPr>
              <w:t xml:space="preserve">9 adolescents sur 214 ne </w:t>
            </w:r>
            <w:r>
              <w:rPr>
                <w:sz w:val="18"/>
              </w:rPr>
              <w:t xml:space="preserve">se sont </w:t>
            </w:r>
            <w:r>
              <w:rPr>
                <w:sz w:val="18"/>
              </w:rPr>
              <w:t xml:space="preserve">pas </w:t>
            </w:r>
            <w:r>
              <w:rPr>
                <w:sz w:val="18"/>
              </w:rPr>
              <w:t xml:space="preserve">présentés à la clinique et ont été </w:t>
            </w:r>
            <w:r>
              <w:rPr>
                <w:sz w:val="18"/>
              </w:rPr>
              <w:t xml:space="preserve">exclus </w:t>
            </w:r>
            <w:r>
              <w:rPr>
                <w:sz w:val="18"/>
              </w:rPr>
              <w:t xml:space="preserve">de l'</w:t>
            </w:r>
            <w:r>
              <w:rPr>
                <w:sz w:val="18"/>
              </w:rPr>
              <w:t xml:space="preserve">étude </w:t>
            </w:r>
            <w:r>
              <w:rPr>
                <w:sz w:val="18"/>
              </w:rPr>
              <w:t xml:space="preserve">(4,2%)</w:t>
            </w:r>
            <w:r>
              <w:rPr>
                <w:sz w:val="18"/>
              </w:rPr>
              <w:t xml:space="preserve">.</w:t>
            </w:r>
          </w:p>
        </w:tc>
        <w:tc>
          <w:tcPr>
            <w:tcW w:w="1421" w:type="dxa"/>
          </w:tcPr>
          <w:p w:rsidR="00432386" w:rsidRDefault="00432386">
            <w:pPr>
              <w:pStyle w:val="TableParagraph"/>
              <w:spacing w:before="6"/>
              <w:rPr>
                <w:b/>
                <w:sz w:val="19"/>
              </w:rPr>
            </w:pPr>
          </w:p>
          <w:p>
            <w:pPr>
              <w:pStyle w:val="TableParagraph"/>
              <w:ind w:start="332"/>
              <w:rPr>
                <w:sz w:val="18"/>
              </w:rPr>
            </w:pPr>
            <w:r>
              <w:rPr>
                <w:sz w:val="18"/>
              </w:rPr>
              <w:t xml:space="preserve">Important</w:t>
            </w:r>
          </w:p>
        </w:tc>
        <w:tc>
          <w:tcPr>
            <w:tcW w:w="1192" w:type="dxa"/>
          </w:tcPr>
          <w:p w:rsidR="00432386" w:rsidRDefault="00432386">
            <w:pPr>
              <w:pStyle w:val="TableParagraph"/>
              <w:rPr>
                <w:b/>
                <w:sz w:val="18"/>
              </w:rPr>
            </w:pPr>
          </w:p>
          <w:p>
            <w:pPr>
              <w:pStyle w:val="TableParagraph"/>
              <w:ind w:start="104" w:end="88"/>
              <w:jc w:val="center"/>
              <w:rPr>
                <w:sz w:val="18"/>
              </w:rPr>
            </w:pPr>
            <w:r>
              <w:rPr>
                <w:sz w:val="18"/>
              </w:rPr>
              <w:t xml:space="preserve">TRES </w:t>
            </w:r>
            <w:r>
              <w:rPr>
                <w:sz w:val="18"/>
              </w:rPr>
              <w:t xml:space="preserve">FAIBLE</w:t>
            </w:r>
          </w:p>
        </w:tc>
      </w:tr>
      <w:tr w:rsidR="00432386">
        <w:trPr>
          <w:trHeight w:val="465"/>
        </w:trPr>
        <w:tc>
          <w:tcPr>
            <w:tcW w:w="13950" w:type="dxa"/>
            <w:gridSpan w:val="10"/>
            <w:shd w:val="clear" w:color="auto" w:fill="C5D9F0"/>
          </w:tcPr>
          <w:p>
            <w:pPr>
              <w:pStyle w:val="TableParagraph"/>
              <w:spacing w:line="229" w:lineRule="exact"/>
              <w:ind w:start="107"/>
              <w:rPr>
                <w:b/>
                <w:i/>
                <w:sz w:val="20"/>
              </w:rPr>
            </w:pPr>
            <w:r>
              <w:rPr>
                <w:b/>
                <w:i/>
                <w:sz w:val="20"/>
              </w:rPr>
              <w:t xml:space="preserve">Perte de </w:t>
            </w:r>
            <w:r>
              <w:rPr>
                <w:b/>
                <w:i/>
                <w:sz w:val="20"/>
              </w:rPr>
              <w:t xml:space="preserve">suivi</w:t>
            </w:r>
          </w:p>
        </w:tc>
      </w:tr>
      <w:tr w:rsidR="00432386">
        <w:trPr>
          <w:trHeight w:val="676"/>
        </w:trPr>
        <w:tc>
          <w:tcPr>
            <w:tcW w:w="1133" w:type="dxa"/>
          </w:tcPr>
          <w:p>
            <w:pPr>
              <w:pStyle w:val="TableParagraph"/>
              <w:spacing w:before="131"/>
              <w:ind w:start="350" w:end="213" w:hanging="111"/>
              <w:rPr>
                <w:sz w:val="18"/>
              </w:rPr>
            </w:pPr>
            <w:r>
              <w:rPr>
                <w:sz w:val="18"/>
              </w:rPr>
              <w:t xml:space="preserve">1 </w:t>
            </w:r>
            <w:r>
              <w:rPr>
                <w:sz w:val="18"/>
              </w:rPr>
              <w:t xml:space="preserve">étude de </w:t>
            </w:r>
            <w:r>
              <w:rPr>
                <w:sz w:val="18"/>
              </w:rPr>
              <w:t xml:space="preserve">cohorte</w:t>
            </w:r>
          </w:p>
        </w:tc>
        <w:tc>
          <w:tcPr>
            <w:tcW w:w="1135" w:type="dxa"/>
          </w:tcPr>
          <w:p>
            <w:pPr>
              <w:pStyle w:val="TableParagraph"/>
              <w:spacing w:before="134" w:line="235" w:lineRule="auto"/>
              <w:ind w:start="134" w:end="104" w:firstLine="127"/>
              <w:rPr>
                <w:sz w:val="12"/>
              </w:rPr>
            </w:pPr>
            <w:r>
              <w:rPr>
                <w:sz w:val="18"/>
              </w:rPr>
              <w:t xml:space="preserve">De sérieuses </w:t>
            </w:r>
            <w:r>
              <w:rPr>
                <w:sz w:val="18"/>
              </w:rPr>
              <w:t xml:space="preserve">limitations2</w:t>
            </w:r>
          </w:p>
        </w:tc>
        <w:tc>
          <w:tcPr>
            <w:tcW w:w="1274" w:type="dxa"/>
          </w:tcPr>
          <w:p>
            <w:pPr>
              <w:pStyle w:val="TableParagraph"/>
              <w:spacing w:line="278" w:lineRule="auto"/>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18"/>
              </w:rPr>
            </w:pPr>
          </w:p>
          <w:p>
            <w:pPr>
              <w:pStyle w:val="TableParagraph"/>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rPr>
                <w:rFonts w:ascii="Times New Roman"/>
                <w:sz w:val="18"/>
              </w:rPr>
            </w:pPr>
          </w:p>
        </w:tc>
        <w:tc>
          <w:tcPr>
            <w:tcW w:w="1132" w:type="dxa"/>
          </w:tcPr>
          <w:p>
            <w:pPr>
              <w:pStyle w:val="TableParagraph"/>
              <w:spacing w:line="206" w:lineRule="exact"/>
              <w:ind w:start="89" w:end="75"/>
              <w:jc w:val="center"/>
              <w:rPr>
                <w:sz w:val="18"/>
              </w:rPr>
            </w:pPr>
            <w:r>
              <w:rPr>
                <w:sz w:val="18"/>
              </w:rPr>
              <w:t xml:space="preserve">201</w:t>
            </w:r>
          </w:p>
        </w:tc>
        <w:tc>
          <w:tcPr>
            <w:tcW w:w="1274" w:type="dxa"/>
          </w:tcPr>
          <w:p>
            <w:pPr>
              <w:pStyle w:val="TableParagraph"/>
              <w:spacing w:before="1"/>
              <w:ind w:start="153" w:end="136"/>
              <w:jc w:val="center"/>
              <w:rPr>
                <w:sz w:val="18"/>
              </w:rPr>
            </w:pPr>
            <w:r>
              <w:rPr>
                <w:sz w:val="18"/>
              </w:rPr>
              <w:t xml:space="preserve">Aucun</w:t>
            </w:r>
          </w:p>
        </w:tc>
        <w:tc>
          <w:tcPr>
            <w:tcW w:w="2836" w:type="dxa"/>
          </w:tcPr>
          <w:p>
            <w:pPr>
              <w:pStyle w:val="TableParagraph"/>
              <w:spacing w:before="25"/>
              <w:ind w:start="408" w:end="111" w:hanging="281"/>
              <w:rPr>
                <w:sz w:val="18"/>
              </w:rPr>
            </w:pPr>
            <w:r>
              <w:rPr>
                <w:sz w:val="18"/>
              </w:rPr>
              <w:t xml:space="preserve">La </w:t>
            </w:r>
            <w:r>
              <w:rPr>
                <w:sz w:val="18"/>
              </w:rPr>
              <w:t xml:space="preserve">taille de l'</w:t>
            </w:r>
            <w:r>
              <w:rPr>
                <w:sz w:val="18"/>
              </w:rPr>
              <w:t xml:space="preserve">échantillon </w:t>
            </w:r>
            <w:r>
              <w:rPr>
                <w:sz w:val="18"/>
              </w:rPr>
              <w:t xml:space="preserve">au </w:t>
            </w:r>
            <w:r>
              <w:rPr>
                <w:sz w:val="18"/>
              </w:rPr>
              <w:t xml:space="preserve">départ </w:t>
            </w:r>
            <w:r>
              <w:rPr>
                <w:sz w:val="18"/>
              </w:rPr>
              <w:t xml:space="preserve">et à </w:t>
            </w:r>
            <w:r>
              <w:rPr>
                <w:sz w:val="18"/>
              </w:rPr>
              <w:t xml:space="preserve">6 </w:t>
            </w:r>
            <w:r>
              <w:rPr>
                <w:sz w:val="18"/>
              </w:rPr>
              <w:t xml:space="preserve">mois </w:t>
            </w:r>
            <w:r>
              <w:rPr>
                <w:sz w:val="18"/>
              </w:rPr>
              <w:t xml:space="preserve">était de </w:t>
            </w:r>
            <w:r>
              <w:rPr>
                <w:sz w:val="18"/>
              </w:rPr>
              <w:t xml:space="preserve">201, </w:t>
            </w:r>
            <w:r>
              <w:rPr>
                <w:sz w:val="18"/>
              </w:rPr>
              <w:t xml:space="preserve">ce qui</w:t>
            </w:r>
          </w:p>
          <w:p>
            <w:pPr>
              <w:pStyle w:val="TableParagraph"/>
              <w:spacing w:before="1"/>
              <w:ind w:start="209"/>
              <w:rPr>
                <w:sz w:val="18"/>
              </w:rPr>
            </w:pPr>
            <w:r>
              <w:rPr>
                <w:sz w:val="18"/>
              </w:rPr>
              <w:t xml:space="preserve">a chuté </w:t>
            </w:r>
            <w:r>
              <w:rPr>
                <w:sz w:val="18"/>
              </w:rPr>
              <w:t xml:space="preserve">de </w:t>
            </w:r>
            <w:r>
              <w:rPr>
                <w:sz w:val="18"/>
              </w:rPr>
              <w:t xml:space="preserve">39,8% </w:t>
            </w:r>
            <w:r>
              <w:rPr>
                <w:sz w:val="18"/>
              </w:rPr>
              <w:t xml:space="preserve">à </w:t>
            </w:r>
            <w:r>
              <w:rPr>
                <w:sz w:val="18"/>
              </w:rPr>
              <w:t xml:space="preserve">121 </w:t>
            </w:r>
            <w:r>
              <w:rPr>
                <w:sz w:val="18"/>
              </w:rPr>
              <w:t xml:space="preserve">après</w:t>
            </w:r>
          </w:p>
        </w:tc>
        <w:tc>
          <w:tcPr>
            <w:tcW w:w="1421" w:type="dxa"/>
          </w:tcPr>
          <w:p>
            <w:pPr>
              <w:pStyle w:val="TableParagraph"/>
              <w:spacing w:before="121"/>
              <w:ind w:start="332"/>
              <w:rPr>
                <w:sz w:val="18"/>
              </w:rPr>
            </w:pPr>
            <w:r>
              <w:rPr>
                <w:sz w:val="18"/>
              </w:rPr>
              <w:t xml:space="preserve">Important</w:t>
            </w:r>
          </w:p>
        </w:tc>
        <w:tc>
          <w:tcPr>
            <w:tcW w:w="1192" w:type="dxa"/>
          </w:tcPr>
          <w:p w:rsidR="00432386" w:rsidRDefault="00432386">
            <w:pPr>
              <w:pStyle w:val="TableParagraph"/>
              <w:rPr>
                <w:b/>
                <w:sz w:val="18"/>
              </w:rPr>
            </w:pPr>
          </w:p>
          <w:p>
            <w:pPr>
              <w:pStyle w:val="TableParagraph"/>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175"/>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84"/>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877"/>
        </w:trPr>
        <w:tc>
          <w:tcPr>
            <w:tcW w:w="1133" w:type="dxa"/>
          </w:tcPr>
          <w:p>
            <w:pPr>
              <w:pStyle w:val="TableParagraph"/>
              <w:ind w:start="364" w:end="109" w:hanging="231"/>
              <w:rPr>
                <w:sz w:val="18"/>
              </w:rPr>
            </w:pPr>
            <w:r>
              <w:rPr>
                <w:sz w:val="18"/>
              </w:rPr>
              <w:t xml:space="preserve">Costa et al </w:t>
            </w:r>
            <w:r>
              <w:rPr>
                <w:sz w:val="18"/>
              </w:rPr>
              <w:t xml:space="preserve">2015</w:t>
            </w:r>
          </w:p>
        </w:tc>
        <w:tc>
          <w:tcPr>
            <w:tcW w:w="1135"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32" w:type="dxa"/>
          </w:tcPr>
          <w:p>
            <w:pPr>
              <w:pStyle w:val="TableParagraph"/>
              <w:spacing w:line="278" w:lineRule="auto"/>
              <w:ind w:start="166" w:end="135" w:firstLine="259"/>
              <w:rPr>
                <w:sz w:val="18"/>
              </w:rPr>
            </w:pPr>
            <w:r>
              <w:rPr>
                <w:sz w:val="18"/>
              </w:rPr>
              <w:t xml:space="preserve">Non </w:t>
            </w:r>
            <w:r>
              <w:rPr>
                <w:sz w:val="18"/>
              </w:rPr>
              <w:t xml:space="preserve">calculable</w:t>
            </w:r>
          </w:p>
        </w:tc>
        <w:tc>
          <w:tcPr>
            <w:tcW w:w="1132"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2836" w:type="dxa"/>
          </w:tcPr>
          <w:p>
            <w:pPr>
              <w:pStyle w:val="TableParagraph"/>
              <w:ind w:start="151" w:end="133"/>
              <w:jc w:val="center"/>
              <w:rPr>
                <w:sz w:val="18"/>
              </w:rPr>
            </w:pPr>
            <w:r>
              <w:rPr>
                <w:sz w:val="18"/>
              </w:rPr>
              <w:t xml:space="preserve">12 mois et de 64,7% à 71 </w:t>
            </w:r>
            <w:r>
              <w:rPr>
                <w:sz w:val="18"/>
              </w:rPr>
              <w:t xml:space="preserve">au suivi de 18 mois. Aucune </w:t>
            </w:r>
            <w:r>
              <w:rPr>
                <w:sz w:val="18"/>
              </w:rPr>
              <w:t xml:space="preserve">explication des raisons de la </w:t>
            </w:r>
            <w:r>
              <w:rPr>
                <w:sz w:val="18"/>
              </w:rPr>
              <w:t xml:space="preserve">perte </w:t>
            </w:r>
            <w:r>
              <w:rPr>
                <w:sz w:val="18"/>
              </w:rPr>
              <w:t xml:space="preserve">de </w:t>
            </w:r>
            <w:r>
              <w:rPr>
                <w:sz w:val="18"/>
              </w:rPr>
              <w:t xml:space="preserve">suivi </w:t>
            </w:r>
            <w:r>
              <w:rPr>
                <w:sz w:val="18"/>
              </w:rPr>
              <w:t xml:space="preserve">n'</w:t>
            </w:r>
            <w:r>
              <w:rPr>
                <w:sz w:val="18"/>
              </w:rPr>
              <w:t xml:space="preserve">est </w:t>
            </w:r>
            <w:r>
              <w:rPr>
                <w:sz w:val="18"/>
              </w:rPr>
              <w:t xml:space="preserve">rapportée.</w:t>
            </w:r>
          </w:p>
        </w:tc>
        <w:tc>
          <w:tcPr>
            <w:tcW w:w="1421" w:type="dxa"/>
          </w:tcPr>
          <w:p w:rsidR="00432386" w:rsidRDefault="00432386">
            <w:pPr>
              <w:pStyle w:val="TableParagraph"/>
              <w:rPr>
                <w:rFonts w:ascii="Times New Roman"/>
                <w:sz w:val="18"/>
              </w:rPr>
            </w:pPr>
          </w:p>
        </w:tc>
        <w:tc>
          <w:tcPr>
            <w:tcW w:w="1192" w:type="dxa"/>
          </w:tcPr>
          <w:p w:rsidR="00432386" w:rsidRDefault="00432386">
            <w:pPr>
              <w:pStyle w:val="TableParagraph"/>
              <w:rPr>
                <w:rFonts w:ascii="Times New Roman"/>
                <w:sz w:val="18"/>
              </w:rPr>
            </w:pPr>
          </w:p>
        </w:tc>
      </w:tr>
    </w:tbl>
    <w:p>
      <w:pPr>
        <w:spacing w:before="2"/>
        <w:ind w:start="120"/>
        <w:rPr>
          <w:sz w:val="20"/>
        </w:rPr>
      </w:pPr>
      <w:r>
        <w:rPr>
          <w:b/>
          <w:sz w:val="20"/>
        </w:rPr>
        <w:t xml:space="preserve">Abréviations : </w:t>
      </w:r>
      <w:r>
        <w:rPr>
          <w:sz w:val="20"/>
        </w:rPr>
        <w:t xml:space="preserve">GnRH, </w:t>
      </w:r>
      <w:r>
        <w:rPr>
          <w:sz w:val="20"/>
        </w:rPr>
        <w:t xml:space="preserve">hormone de </w:t>
      </w:r>
      <w:r>
        <w:rPr>
          <w:sz w:val="20"/>
        </w:rPr>
        <w:t xml:space="preserve">libération de la </w:t>
      </w:r>
      <w:r>
        <w:rPr>
          <w:sz w:val="20"/>
        </w:rPr>
        <w:t xml:space="preserve">gonadotrophine</w:t>
      </w:r>
      <w:r>
        <w:rPr>
          <w:sz w:val="20"/>
        </w:rPr>
        <w:t xml:space="preserve">.</w:t>
      </w:r>
    </w:p>
    <w:p w:rsidR="00432386" w:rsidRDefault="00432386">
      <w:pPr>
        <w:pStyle w:val="Corpsdetexte"/>
        <w:spacing w:before="0"/>
        <w:ind w:start="0"/>
        <w:rPr>
          <w:sz w:val="20"/>
        </w:rPr>
      </w:pPr>
    </w:p>
    <w:p>
      <w:pPr>
        <w:pStyle w:val="Paragraphedeliste"/>
        <w:numPr>
          <w:ilvl w:val="0"/>
          <w:numId w:val="6"/>
        </w:numPr>
        <w:tabs>
          <w:tab w:val="left" w:pos="272"/>
        </w:tabs>
        <w:spacing w:before="0"/>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w:t>
      </w:r>
      <w:r>
        <w:rPr>
          <w:i/>
          <w:sz w:val="18"/>
        </w:rPr>
        <w:t xml:space="preserve">Brik </w:t>
      </w:r>
      <w:r>
        <w:rPr>
          <w:i/>
          <w:sz w:val="18"/>
        </w:rPr>
        <w:t xml:space="preserve">et </w:t>
      </w:r>
      <w:r>
        <w:rPr>
          <w:i/>
          <w:sz w:val="18"/>
        </w:rPr>
        <w:t xml:space="preserve">al. </w:t>
      </w:r>
      <w:r>
        <w:rPr>
          <w:i/>
          <w:sz w:val="18"/>
        </w:rPr>
        <w:t xml:space="preserve">(2018) </w:t>
      </w:r>
      <w:r>
        <w:rPr>
          <w:i/>
          <w:sz w:val="18"/>
        </w:rPr>
        <w:t xml:space="preserve">a été évaluée </w:t>
      </w:r>
      <w:r>
        <w:rPr>
          <w:i/>
          <w:sz w:val="18"/>
        </w:rPr>
        <w:t xml:space="preserve">comme 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w:t>
      </w:r>
      <w:r>
        <w:rPr>
          <w:i/>
          <w:sz w:val="18"/>
        </w:rPr>
        <w:t xml:space="preserve">médiocre </w:t>
      </w:r>
      <w:r>
        <w:rPr>
          <w:i/>
          <w:sz w:val="18"/>
        </w:rPr>
        <w:t xml:space="preserve">dans l'ensemble ;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pPr>
        <w:pStyle w:val="Paragraphedeliste"/>
        <w:numPr>
          <w:ilvl w:val="0"/>
          <w:numId w:val="6"/>
        </w:numPr>
        <w:tabs>
          <w:tab w:val="left" w:pos="272"/>
        </w:tabs>
        <w:spacing w:before="31"/>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Costa </w:t>
      </w:r>
      <w:r>
        <w:rPr>
          <w:i/>
          <w:sz w:val="18"/>
        </w:rPr>
        <w:t xml:space="preserve">et </w:t>
      </w:r>
      <w:r>
        <w:rPr>
          <w:i/>
          <w:sz w:val="18"/>
        </w:rPr>
        <w:t xml:space="preserve">al. </w:t>
      </w:r>
      <w:r>
        <w:rPr>
          <w:i/>
          <w:sz w:val="18"/>
        </w:rPr>
        <w:t xml:space="preserve">(2015) </w:t>
      </w:r>
      <w:r>
        <w:rPr>
          <w:i/>
          <w:sz w:val="18"/>
        </w:rPr>
        <w:t xml:space="preserve">a été </w:t>
      </w:r>
      <w:r>
        <w:rPr>
          <w:i/>
          <w:sz w:val="18"/>
        </w:rPr>
        <w:t xml:space="preserve">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rsidR="00432386" w:rsidRDefault="00432386">
      <w:pPr>
        <w:pStyle w:val="Corpsdetexte"/>
        <w:spacing w:before="0"/>
        <w:ind w:start="0"/>
        <w:rPr>
          <w:i/>
          <w:sz w:val="20"/>
        </w:rPr>
      </w:pPr>
    </w:p>
    <w:p w:rsidR="00432386" w:rsidRDefault="00432386">
      <w:pPr>
        <w:pStyle w:val="Corpsdetexte"/>
        <w:spacing w:before="0"/>
        <w:ind w:start="0"/>
        <w:rPr>
          <w:i/>
        </w:rPr>
      </w:pPr>
    </w:p>
    <w:p>
      <w:pPr>
        <w:pStyle w:val="Titre1"/>
        <w:ind w:start="120" w:end="668"/>
        <w:jc w:val="both"/>
      </w:pPr>
      <w:r>
        <w:t xml:space="preserve">Tableau 7 : Question 1. Pour les enfants et les adolescents souffrant de dysphorie de genre, quelle est l'efficacité clinique du traitement </w:t>
      </w:r>
      <w:r>
        <w:t xml:space="preserve">par analogues de la GnRH par rapport à une ou une combinaison de soutien psychologique, de transition sociale vers le </w:t>
      </w:r>
      <w:r>
        <w:t xml:space="preserve">genre </w:t>
      </w:r>
      <w:r>
        <w:t xml:space="preserve">désiré </w:t>
      </w:r>
      <w:r>
        <w:t xml:space="preserve">ou d'aucune intervention ? - l'</w:t>
      </w:r>
      <w:r>
        <w:t xml:space="preserve">arrêt du traitement</w:t>
      </w: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300"/>
        </w:trPr>
        <w:tc>
          <w:tcPr>
            <w:tcW w:w="6095" w:type="dxa"/>
            <w:gridSpan w:val="5"/>
            <w:vMerge w:val="restart"/>
            <w:shd w:val="clear" w:color="auto" w:fill="D9D9D9"/>
          </w:tcPr>
          <w:p w:rsidR="00432386" w:rsidRDefault="00432386">
            <w:pPr>
              <w:pStyle w:val="TableParagraph"/>
              <w:spacing w:before="7"/>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9"/>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2"/>
              <w:rPr>
                <w:b/>
                <w:sz w:val="17"/>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2"/>
              <w:rPr>
                <w:b/>
                <w:sz w:val="17"/>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4"/>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465"/>
        </w:trPr>
        <w:tc>
          <w:tcPr>
            <w:tcW w:w="13950" w:type="dxa"/>
            <w:gridSpan w:val="10"/>
            <w:shd w:val="clear" w:color="auto" w:fill="8DB3E1"/>
          </w:tcPr>
          <w:p>
            <w:pPr>
              <w:pStyle w:val="TableParagraph"/>
              <w:spacing w:line="229" w:lineRule="exact"/>
              <w:ind w:start="107"/>
              <w:rPr>
                <w:b/>
                <w:i/>
                <w:sz w:val="20"/>
              </w:rPr>
            </w:pPr>
            <w:r>
              <w:rPr>
                <w:b/>
                <w:i/>
                <w:sz w:val="20"/>
              </w:rPr>
              <w:t xml:space="preserve">Arrêt du </w:t>
            </w:r>
            <w:r>
              <w:rPr>
                <w:b/>
                <w:i/>
                <w:sz w:val="20"/>
              </w:rPr>
              <w:t xml:space="preserve">traitement</w:t>
            </w:r>
          </w:p>
        </w:tc>
      </w:tr>
      <w:tr w:rsidR="00432386">
        <w:trPr>
          <w:trHeight w:val="462"/>
        </w:trPr>
        <w:tc>
          <w:tcPr>
            <w:tcW w:w="13950" w:type="dxa"/>
            <w:gridSpan w:val="10"/>
            <w:shd w:val="clear" w:color="auto" w:fill="C5D9F0"/>
          </w:tcPr>
          <w:p>
            <w:pPr>
              <w:pStyle w:val="TableParagraph"/>
              <w:spacing w:line="229" w:lineRule="exact"/>
              <w:ind w:start="107"/>
              <w:rPr>
                <w:b/>
                <w:i/>
                <w:sz w:val="20"/>
              </w:rPr>
            </w:pPr>
            <w:r>
              <w:rPr>
                <w:b/>
                <w:i/>
                <w:sz w:val="20"/>
              </w:rPr>
              <w:t xml:space="preserve">Nombre </w:t>
            </w:r>
            <w:r>
              <w:rPr>
                <w:b/>
                <w:i/>
                <w:sz w:val="20"/>
              </w:rPr>
              <w:t xml:space="preserve">(proportion) d'</w:t>
            </w:r>
            <w:r>
              <w:rPr>
                <w:b/>
                <w:i/>
                <w:sz w:val="20"/>
              </w:rPr>
              <w:t xml:space="preserve">arrêt des </w:t>
            </w:r>
            <w:r>
              <w:rPr>
                <w:b/>
                <w:i/>
                <w:sz w:val="20"/>
              </w:rPr>
              <w:t xml:space="preserve">analogues de la </w:t>
            </w:r>
            <w:r>
              <w:rPr>
                <w:b/>
                <w:i/>
                <w:sz w:val="20"/>
              </w:rPr>
              <w:t xml:space="preserve">GnRH</w:t>
            </w:r>
            <w:r>
              <w:rPr>
                <w:b/>
                <w:i/>
                <w:sz w:val="20"/>
              </w:rPr>
              <w:t xml:space="preserve">, </w:t>
            </w:r>
            <w:r>
              <w:rPr>
                <w:b/>
                <w:i/>
                <w:sz w:val="20"/>
              </w:rPr>
              <w:t xml:space="preserve">à </w:t>
            </w:r>
            <w:r>
              <w:rPr>
                <w:b/>
                <w:i/>
                <w:sz w:val="20"/>
              </w:rPr>
              <w:t xml:space="preserve">(jusqu'à</w:t>
            </w:r>
            <w:r>
              <w:rPr>
                <w:b/>
                <w:i/>
                <w:sz w:val="20"/>
              </w:rPr>
              <w:t xml:space="preserve">) </w:t>
            </w:r>
            <w:r>
              <w:rPr>
                <w:b/>
                <w:i/>
                <w:sz w:val="20"/>
              </w:rPr>
              <w:t xml:space="preserve">9 </w:t>
            </w:r>
            <w:r>
              <w:rPr>
                <w:b/>
                <w:i/>
                <w:sz w:val="20"/>
              </w:rPr>
              <w:t xml:space="preserve">ans de </w:t>
            </w:r>
            <w:r>
              <w:rPr>
                <w:b/>
                <w:i/>
                <w:sz w:val="20"/>
              </w:rPr>
              <w:t xml:space="preserve">suivi</w:t>
            </w:r>
          </w:p>
        </w:tc>
      </w:tr>
      <w:tr w:rsidR="00432386">
        <w:trPr>
          <w:trHeight w:val="830"/>
        </w:trPr>
        <w:tc>
          <w:tcPr>
            <w:tcW w:w="1133" w:type="dxa"/>
          </w:tcPr>
          <w:p>
            <w:pPr>
              <w:pStyle w:val="TableParagraph"/>
              <w:spacing w:before="1"/>
              <w:ind w:start="213" w:end="205" w:firstLine="2"/>
              <w:jc w:val="center"/>
              <w:rPr>
                <w:sz w:val="18"/>
              </w:rPr>
            </w:pPr>
            <w:r>
              <w:rPr>
                <w:sz w:val="18"/>
              </w:rPr>
              <w:t xml:space="preserve">1 </w:t>
            </w:r>
            <w:r>
              <w:rPr>
                <w:sz w:val="18"/>
              </w:rPr>
              <w:t xml:space="preserve">étude de </w:t>
            </w:r>
            <w:r>
              <w:rPr>
                <w:sz w:val="18"/>
              </w:rPr>
              <w:t xml:space="preserve">cohorte </w:t>
            </w:r>
            <w:r>
              <w:rPr>
                <w:sz w:val="18"/>
              </w:rPr>
              <w:t xml:space="preserve">Brik </w:t>
            </w:r>
            <w:r>
              <w:rPr>
                <w:sz w:val="18"/>
              </w:rPr>
              <w:t xml:space="preserve">et </w:t>
            </w:r>
            <w:r>
              <w:rPr>
                <w:sz w:val="18"/>
              </w:rPr>
              <w:t xml:space="preserve">al</w:t>
            </w:r>
          </w:p>
          <w:p>
            <w:pPr>
              <w:pStyle w:val="TableParagraph"/>
              <w:spacing w:line="188" w:lineRule="exact"/>
              <w:ind w:start="92" w:end="83"/>
              <w:jc w:val="center"/>
              <w:rPr>
                <w:sz w:val="18"/>
              </w:rPr>
            </w:pPr>
            <w:r>
              <w:rPr>
                <w:sz w:val="18"/>
              </w:rPr>
              <w:t xml:space="preserve">2018</w:t>
            </w:r>
          </w:p>
        </w:tc>
        <w:tc>
          <w:tcPr>
            <w:tcW w:w="1135" w:type="dxa"/>
          </w:tcPr>
          <w:p w:rsidR="00432386" w:rsidRDefault="00432386">
            <w:pPr>
              <w:pStyle w:val="TableParagraph"/>
              <w:rPr>
                <w:b/>
                <w:sz w:val="18"/>
              </w:rPr>
            </w:pPr>
          </w:p>
          <w:p>
            <w:pPr>
              <w:pStyle w:val="TableParagraph"/>
              <w:ind w:start="134" w:end="104" w:firstLine="127"/>
              <w:rPr>
                <w:sz w:val="18"/>
              </w:rPr>
            </w:pPr>
            <w:r>
              <w:rPr>
                <w:sz w:val="18"/>
              </w:rPr>
              <w:t xml:space="preserve">De sérieuses </w:t>
            </w:r>
            <w:r>
              <w:rPr>
                <w:sz w:val="18"/>
              </w:rPr>
              <w:t xml:space="preserve">limitations1</w:t>
            </w:r>
          </w:p>
        </w:tc>
        <w:tc>
          <w:tcPr>
            <w:tcW w:w="1274" w:type="dxa"/>
          </w:tcPr>
          <w:p w:rsidR="00432386" w:rsidRDefault="00432386">
            <w:pPr>
              <w:pStyle w:val="TableParagraph"/>
              <w:rPr>
                <w:b/>
                <w:sz w:val="18"/>
              </w:rPr>
            </w:pPr>
          </w:p>
          <w:p>
            <w:pPr>
              <w:pStyle w:val="TableParagraph"/>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18"/>
              </w:rPr>
            </w:pPr>
          </w:p>
          <w:p>
            <w:pPr>
              <w:pStyle w:val="TableParagraph"/>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18"/>
              </w:rPr>
            </w:pPr>
          </w:p>
          <w:p>
            <w:pPr>
              <w:pStyle w:val="TableParagraph"/>
              <w:ind w:start="166" w:end="135" w:firstLine="259"/>
              <w:rPr>
                <w:sz w:val="18"/>
              </w:rPr>
            </w:pPr>
            <w:r>
              <w:rPr>
                <w:sz w:val="18"/>
              </w:rPr>
              <w:t xml:space="preserve">Non </w:t>
            </w:r>
            <w:r>
              <w:rPr>
                <w:sz w:val="18"/>
              </w:rPr>
              <w:t xml:space="preserve">calculable</w:t>
            </w:r>
          </w:p>
        </w:tc>
        <w:tc>
          <w:tcPr>
            <w:tcW w:w="1132" w:type="dxa"/>
          </w:tcPr>
          <w:p w:rsidR="00432386" w:rsidRDefault="00432386">
            <w:pPr>
              <w:pStyle w:val="TableParagraph"/>
              <w:rPr>
                <w:b/>
                <w:sz w:val="18"/>
              </w:rPr>
            </w:pPr>
          </w:p>
          <w:p>
            <w:pPr>
              <w:pStyle w:val="TableParagraph"/>
              <w:ind w:start="301" w:end="270" w:firstLine="40"/>
              <w:rPr>
                <w:sz w:val="18"/>
              </w:rPr>
            </w:pPr>
            <w:r>
              <w:rPr>
                <w:sz w:val="18"/>
              </w:rPr>
              <w:t xml:space="preserve">9/143 </w:t>
            </w:r>
            <w:r>
              <w:rPr>
                <w:sz w:val="18"/>
              </w:rPr>
              <w:t xml:space="preserve">(6.2%)</w:t>
            </w:r>
          </w:p>
        </w:tc>
        <w:tc>
          <w:tcPr>
            <w:tcW w:w="1274" w:type="dxa"/>
          </w:tcPr>
          <w:p>
            <w:pPr>
              <w:pStyle w:val="TableParagraph"/>
              <w:spacing w:before="3"/>
              <w:ind w:start="153" w:end="136"/>
              <w:jc w:val="center"/>
              <w:rPr>
                <w:sz w:val="18"/>
              </w:rPr>
            </w:pPr>
            <w:r>
              <w:rPr>
                <w:sz w:val="18"/>
              </w:rPr>
              <w:t xml:space="preserve">Aucun</w:t>
            </w:r>
          </w:p>
        </w:tc>
        <w:tc>
          <w:tcPr>
            <w:tcW w:w="2836" w:type="dxa"/>
          </w:tcPr>
          <w:p w:rsidR="00432386" w:rsidRDefault="00432386">
            <w:pPr>
              <w:pStyle w:val="TableParagraph"/>
              <w:rPr>
                <w:b/>
                <w:sz w:val="18"/>
              </w:rPr>
            </w:pPr>
          </w:p>
          <w:p>
            <w:pPr>
              <w:pStyle w:val="TableParagraph"/>
              <w:ind w:start="406" w:end="311" w:hanging="63"/>
              <w:rPr>
                <w:sz w:val="18"/>
              </w:rPr>
            </w:pPr>
            <w:r>
              <w:rPr>
                <w:sz w:val="18"/>
              </w:rPr>
              <w:t xml:space="preserve">9/143 adolescents ont arrêté les </w:t>
            </w:r>
            <w:r>
              <w:rPr>
                <w:sz w:val="18"/>
              </w:rPr>
              <w:t xml:space="preserve">analogues de la </w:t>
            </w:r>
            <w:r>
              <w:rPr>
                <w:sz w:val="18"/>
              </w:rPr>
              <w:t xml:space="preserve">GnRH </w:t>
            </w:r>
            <w:r>
              <w:rPr>
                <w:sz w:val="18"/>
              </w:rPr>
              <w:t xml:space="preserve">(6,2%)</w:t>
            </w:r>
            <w:r>
              <w:rPr>
                <w:sz w:val="18"/>
                <w:vertAlign w:val="superscript"/>
              </w:rPr>
              <w:t xml:space="preserve">2</w:t>
            </w:r>
          </w:p>
        </w:tc>
        <w:tc>
          <w:tcPr>
            <w:tcW w:w="1421" w:type="dxa"/>
          </w:tcPr>
          <w:p w:rsidR="00432386" w:rsidRDefault="00432386">
            <w:pPr>
              <w:pStyle w:val="TableParagraph"/>
              <w:rPr>
                <w:b/>
                <w:sz w:val="27"/>
              </w:rPr>
            </w:pPr>
          </w:p>
          <w:p>
            <w:pPr>
              <w:pStyle w:val="TableParagraph"/>
              <w:ind w:start="332"/>
              <w:rPr>
                <w:sz w:val="18"/>
              </w:rPr>
            </w:pPr>
            <w:r>
              <w:rPr>
                <w:sz w:val="18"/>
              </w:rPr>
              <w:t xml:space="preserve">Important</w:t>
            </w:r>
          </w:p>
        </w:tc>
        <w:tc>
          <w:tcPr>
            <w:tcW w:w="1192" w:type="dxa"/>
          </w:tcPr>
          <w:p w:rsidR="00432386" w:rsidRDefault="00432386">
            <w:pPr>
              <w:pStyle w:val="TableParagraph"/>
              <w:rPr>
                <w:b/>
                <w:sz w:val="18"/>
              </w:rPr>
            </w:pPr>
          </w:p>
          <w:p>
            <w:pPr>
              <w:pStyle w:val="TableParagraph"/>
              <w:ind w:start="104" w:end="88"/>
              <w:jc w:val="center"/>
              <w:rPr>
                <w:sz w:val="18"/>
              </w:rPr>
            </w:pPr>
            <w:r>
              <w:rPr>
                <w:sz w:val="18"/>
              </w:rPr>
              <w:t xml:space="preserve">TRES </w:t>
            </w:r>
            <w:r>
              <w:rPr>
                <w:sz w:val="18"/>
              </w:rPr>
              <w:t xml:space="preserve">FAIBLE</w:t>
            </w:r>
          </w:p>
        </w:tc>
      </w:tr>
      <w:tr w:rsidR="00432386">
        <w:trPr>
          <w:trHeight w:val="462"/>
        </w:trPr>
        <w:tc>
          <w:tcPr>
            <w:tcW w:w="13950" w:type="dxa"/>
            <w:gridSpan w:val="10"/>
            <w:shd w:val="clear" w:color="auto" w:fill="C5D9F0"/>
          </w:tcPr>
          <w:p>
            <w:pPr>
              <w:pStyle w:val="TableParagraph"/>
              <w:spacing w:line="229" w:lineRule="exact"/>
              <w:ind w:start="107"/>
              <w:rPr>
                <w:b/>
                <w:i/>
                <w:sz w:val="20"/>
              </w:rPr>
            </w:pPr>
            <w:r>
              <w:rPr>
                <w:b/>
                <w:i/>
                <w:sz w:val="20"/>
              </w:rPr>
              <w:t xml:space="preserve">Nombre </w:t>
            </w:r>
            <w:r>
              <w:rPr>
                <w:b/>
                <w:i/>
                <w:sz w:val="20"/>
              </w:rPr>
              <w:t xml:space="preserve">(proportion) d'arrêts des </w:t>
            </w:r>
            <w:r>
              <w:rPr>
                <w:b/>
                <w:i/>
                <w:sz w:val="20"/>
              </w:rPr>
              <w:t xml:space="preserve">analogues de la </w:t>
            </w:r>
            <w:r>
              <w:rPr>
                <w:b/>
                <w:i/>
                <w:sz w:val="20"/>
              </w:rPr>
              <w:t xml:space="preserve">GnRH</w:t>
            </w:r>
            <w:r>
              <w:rPr>
                <w:b/>
                <w:i/>
                <w:sz w:val="20"/>
              </w:rPr>
              <w:t xml:space="preserve">, </w:t>
            </w:r>
            <w:r>
              <w:rPr>
                <w:b/>
                <w:i/>
                <w:sz w:val="20"/>
              </w:rPr>
              <w:t xml:space="preserve">lors du </w:t>
            </w:r>
            <w:r>
              <w:rPr>
                <w:b/>
                <w:i/>
                <w:sz w:val="20"/>
              </w:rPr>
              <w:t xml:space="preserve">suivi de </w:t>
            </w:r>
            <w:r>
              <w:rPr>
                <w:b/>
                <w:i/>
                <w:sz w:val="20"/>
              </w:rPr>
              <w:t xml:space="preserve">13 </w:t>
            </w:r>
            <w:r>
              <w:rPr>
                <w:b/>
                <w:i/>
                <w:sz w:val="20"/>
              </w:rPr>
              <w:t xml:space="preserve">ans </w:t>
            </w:r>
            <w:r>
              <w:rPr>
                <w:b/>
                <w:i/>
                <w:sz w:val="20"/>
              </w:rPr>
              <w:t xml:space="preserve">(ou plus</w:t>
            </w:r>
            <w:r>
              <w:rPr>
                <w:b/>
                <w:i/>
                <w:sz w:val="20"/>
              </w:rPr>
              <w:t xml:space="preserve">)</w:t>
            </w:r>
          </w:p>
        </w:tc>
      </w:tr>
      <w:tr w:rsidR="00432386">
        <w:trPr>
          <w:trHeight w:val="1036"/>
        </w:trPr>
        <w:tc>
          <w:tcPr>
            <w:tcW w:w="1133" w:type="dxa"/>
          </w:tcPr>
          <w:p>
            <w:pPr>
              <w:pStyle w:val="TableParagraph"/>
              <w:ind w:start="92" w:end="82"/>
              <w:jc w:val="center"/>
              <w:rPr>
                <w:sz w:val="18"/>
              </w:rPr>
            </w:pPr>
            <w:r>
              <w:rPr>
                <w:sz w:val="18"/>
              </w:rPr>
              <w:t xml:space="preserve">1 </w:t>
            </w:r>
            <w:r>
              <w:rPr>
                <w:sz w:val="18"/>
              </w:rPr>
              <w:t xml:space="preserve">étude de </w:t>
            </w:r>
            <w:r>
              <w:rPr>
                <w:sz w:val="18"/>
              </w:rPr>
              <w:t xml:space="preserve">cohorte </w:t>
            </w:r>
            <w:r>
              <w:rPr>
                <w:sz w:val="18"/>
              </w:rPr>
              <w:t xml:space="preserve">Khatchado</w:t>
            </w:r>
          </w:p>
          <w:p>
            <w:pPr>
              <w:pStyle w:val="TableParagraph"/>
              <w:spacing w:line="206" w:lineRule="exact"/>
              <w:ind w:start="92" w:end="82"/>
              <w:jc w:val="center"/>
              <w:rPr>
                <w:sz w:val="18"/>
              </w:rPr>
            </w:pPr>
            <w:r>
              <w:rPr>
                <w:sz w:val="18"/>
              </w:rPr>
              <w:t xml:space="preserve">urian et al </w:t>
            </w:r>
            <w:r>
              <w:rPr>
                <w:sz w:val="18"/>
              </w:rPr>
              <w:t xml:space="preserve">2014</w:t>
            </w:r>
          </w:p>
        </w:tc>
        <w:tc>
          <w:tcPr>
            <w:tcW w:w="1135" w:type="dxa"/>
          </w:tcPr>
          <w:p w:rsidR="00432386" w:rsidRDefault="00432386">
            <w:pPr>
              <w:pStyle w:val="TableParagraph"/>
              <w:spacing w:before="3"/>
              <w:rPr>
                <w:b/>
                <w:sz w:val="27"/>
              </w:rPr>
            </w:pPr>
          </w:p>
          <w:p>
            <w:pPr>
              <w:pStyle w:val="TableParagraph"/>
              <w:spacing w:before="1" w:line="235" w:lineRule="auto"/>
              <w:ind w:start="134" w:end="104" w:firstLine="127"/>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7"/>
              </w:rPr>
            </w:pPr>
          </w:p>
          <w:p>
            <w:pPr>
              <w:pStyle w:val="TableParagraph"/>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18"/>
              </w:rPr>
            </w:pPr>
          </w:p>
          <w:p>
            <w:pPr>
              <w:pStyle w:val="TableParagraph"/>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18"/>
              </w:rPr>
            </w:pPr>
          </w:p>
          <w:p>
            <w:pPr>
              <w:pStyle w:val="TableParagraph"/>
              <w:ind w:start="166" w:end="135" w:firstLine="259"/>
              <w:rPr>
                <w:sz w:val="18"/>
              </w:rPr>
            </w:pPr>
            <w:r>
              <w:rPr>
                <w:sz w:val="18"/>
              </w:rPr>
              <w:t xml:space="preserve">Non </w:t>
            </w:r>
            <w:r>
              <w:rPr>
                <w:sz w:val="18"/>
              </w:rPr>
              <w:t xml:space="preserve">calculable</w:t>
            </w:r>
          </w:p>
        </w:tc>
        <w:tc>
          <w:tcPr>
            <w:tcW w:w="1132" w:type="dxa"/>
          </w:tcPr>
          <w:p>
            <w:pPr>
              <w:pStyle w:val="TableParagraph"/>
              <w:ind w:start="328" w:end="293" w:firstLine="12"/>
              <w:rPr>
                <w:sz w:val="18"/>
              </w:rPr>
            </w:pPr>
            <w:r>
              <w:rPr>
                <w:sz w:val="18"/>
              </w:rPr>
              <w:t xml:space="preserve">11/27 </w:t>
            </w:r>
            <w:r>
              <w:rPr>
                <w:sz w:val="18"/>
              </w:rPr>
              <w:t xml:space="preserve">(42%)</w:t>
            </w:r>
          </w:p>
        </w:tc>
        <w:tc>
          <w:tcPr>
            <w:tcW w:w="1274" w:type="dxa"/>
          </w:tcPr>
          <w:p>
            <w:pPr>
              <w:pStyle w:val="TableParagraph"/>
              <w:spacing w:before="1"/>
              <w:ind w:start="153" w:end="136"/>
              <w:jc w:val="center"/>
              <w:rPr>
                <w:sz w:val="18"/>
              </w:rPr>
            </w:pPr>
            <w:r>
              <w:rPr>
                <w:sz w:val="18"/>
              </w:rPr>
              <w:t xml:space="preserve">Aucun</w:t>
            </w:r>
          </w:p>
        </w:tc>
        <w:tc>
          <w:tcPr>
            <w:tcW w:w="2836" w:type="dxa"/>
          </w:tcPr>
          <w:p w:rsidR="00432386" w:rsidRDefault="00432386">
            <w:pPr>
              <w:pStyle w:val="TableParagraph"/>
              <w:spacing w:before="3"/>
              <w:rPr>
                <w:b/>
                <w:sz w:val="27"/>
              </w:rPr>
            </w:pPr>
          </w:p>
          <w:p>
            <w:pPr>
              <w:pStyle w:val="TableParagraph"/>
              <w:spacing w:before="1" w:line="235" w:lineRule="auto"/>
              <w:ind w:start="1145" w:end="102" w:hanging="1013"/>
              <w:rPr>
                <w:sz w:val="12"/>
              </w:rPr>
            </w:pPr>
            <w:r>
              <w:rPr>
                <w:sz w:val="18"/>
              </w:rPr>
              <w:t xml:space="preserve">11/26 ont arrêté les analogues de la GnRH </w:t>
            </w:r>
            <w:r>
              <w:rPr>
                <w:sz w:val="18"/>
              </w:rPr>
              <w:t xml:space="preserve">(42%)</w:t>
            </w:r>
            <w:r>
              <w:rPr>
                <w:position w:val="6"/>
                <w:sz w:val="12"/>
              </w:rPr>
              <w:t xml:space="preserve">4</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332"/>
              <w:rPr>
                <w:sz w:val="18"/>
              </w:rPr>
            </w:pPr>
            <w:r>
              <w:rPr>
                <w:sz w:val="18"/>
              </w:rPr>
              <w:t xml:space="preserve">Important</w:t>
            </w:r>
          </w:p>
        </w:tc>
        <w:tc>
          <w:tcPr>
            <w:tcW w:w="1192" w:type="dxa"/>
          </w:tcPr>
          <w:p w:rsidR="00432386" w:rsidRDefault="00432386">
            <w:pPr>
              <w:pStyle w:val="TableParagraph"/>
              <w:rPr>
                <w:b/>
                <w:sz w:val="18"/>
              </w:rPr>
            </w:pPr>
          </w:p>
          <w:p>
            <w:pPr>
              <w:pStyle w:val="TableParagraph"/>
              <w:ind w:start="104" w:end="88"/>
              <w:jc w:val="center"/>
              <w:rPr>
                <w:sz w:val="18"/>
              </w:rPr>
            </w:pPr>
            <w:r>
              <w:rPr>
                <w:sz w:val="18"/>
              </w:rPr>
              <w:t xml:space="preserve">TRES </w:t>
            </w:r>
            <w:r>
              <w:rPr>
                <w:sz w:val="18"/>
              </w:rPr>
              <w:t xml:space="preserve">FAIBLE</w:t>
            </w:r>
          </w:p>
        </w:tc>
      </w:tr>
      <w:tr w:rsidR="00432386">
        <w:trPr>
          <w:trHeight w:val="462"/>
        </w:trPr>
        <w:tc>
          <w:tcPr>
            <w:tcW w:w="13950" w:type="dxa"/>
            <w:gridSpan w:val="10"/>
            <w:tcBorders>
              <w:bottom w:val="single" w:color="000000" w:sz="6" w:space="0"/>
            </w:tcBorders>
            <w:shd w:val="clear" w:color="auto" w:fill="C5D9F0"/>
          </w:tcPr>
          <w:p>
            <w:pPr>
              <w:pStyle w:val="TableParagraph"/>
              <w:spacing w:line="229" w:lineRule="exact"/>
              <w:ind w:start="107"/>
              <w:rPr>
                <w:b/>
                <w:i/>
                <w:sz w:val="20"/>
              </w:rPr>
            </w:pPr>
            <w:r>
              <w:rPr>
                <w:b/>
                <w:i/>
                <w:sz w:val="20"/>
              </w:rPr>
              <w:t xml:space="preserve">Nombre </w:t>
            </w:r>
            <w:r>
              <w:rPr>
                <w:b/>
                <w:i/>
                <w:sz w:val="20"/>
              </w:rPr>
              <w:t xml:space="preserve">(proportion) de personnes ayant arrêté les </w:t>
            </w:r>
            <w:r>
              <w:rPr>
                <w:b/>
                <w:i/>
                <w:sz w:val="20"/>
              </w:rPr>
              <w:t xml:space="preserve">analogues de la </w:t>
            </w:r>
            <w:r>
              <w:rPr>
                <w:b/>
                <w:i/>
                <w:sz w:val="20"/>
              </w:rPr>
              <w:t xml:space="preserve">GnRH </w:t>
            </w:r>
            <w:r>
              <w:rPr>
                <w:b/>
                <w:i/>
                <w:sz w:val="20"/>
              </w:rPr>
              <w:t xml:space="preserve">mais </w:t>
            </w:r>
            <w:r>
              <w:rPr>
                <w:b/>
                <w:i/>
                <w:sz w:val="20"/>
              </w:rPr>
              <w:t xml:space="preserve">qui ont </w:t>
            </w:r>
            <w:r>
              <w:rPr>
                <w:b/>
                <w:i/>
                <w:sz w:val="20"/>
              </w:rPr>
              <w:t xml:space="preserve">souhaité </w:t>
            </w:r>
            <w:r>
              <w:rPr>
                <w:b/>
                <w:i/>
                <w:sz w:val="20"/>
              </w:rPr>
              <w:t xml:space="preserve">poursuivre le </w:t>
            </w:r>
            <w:r>
              <w:rPr>
                <w:b/>
                <w:i/>
                <w:sz w:val="20"/>
              </w:rPr>
              <w:t xml:space="preserve">traitement </w:t>
            </w:r>
            <w:r>
              <w:rPr>
                <w:b/>
                <w:i/>
                <w:sz w:val="20"/>
              </w:rPr>
              <w:t xml:space="preserve">endocrinien</w:t>
            </w:r>
            <w:r>
              <w:rPr>
                <w:b/>
                <w:i/>
                <w:sz w:val="20"/>
              </w:rPr>
              <w:t xml:space="preserve">, </w:t>
            </w:r>
            <w:r>
              <w:rPr>
                <w:b/>
                <w:i/>
                <w:sz w:val="20"/>
              </w:rPr>
              <w:t xml:space="preserve">lors du </w:t>
            </w:r>
            <w:r>
              <w:rPr>
                <w:b/>
                <w:i/>
                <w:sz w:val="20"/>
              </w:rPr>
              <w:t xml:space="preserve">suivi de </w:t>
            </w:r>
            <w:r>
              <w:rPr>
                <w:b/>
                <w:i/>
                <w:sz w:val="20"/>
              </w:rPr>
              <w:t xml:space="preserve">9 </w:t>
            </w:r>
            <w:r>
              <w:rPr>
                <w:b/>
                <w:i/>
                <w:sz w:val="20"/>
              </w:rPr>
              <w:t xml:space="preserve">ans </w:t>
            </w:r>
            <w:r>
              <w:rPr>
                <w:b/>
                <w:i/>
                <w:sz w:val="20"/>
              </w:rPr>
              <w:t xml:space="preserve">(ou plus</w:t>
            </w:r>
            <w:r>
              <w:rPr>
                <w:b/>
                <w:i/>
                <w:sz w:val="20"/>
              </w:rPr>
              <w:t xml:space="preserve">).</w:t>
            </w:r>
          </w:p>
        </w:tc>
      </w:tr>
    </w:tbl>
    <w:p w:rsidR="00432386" w:rsidRDefault="00432386">
      <w:pPr>
        <w:spacing w:line="229" w:lineRule="exact"/>
        <w:rPr>
          <w:sz w:val="20"/>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827"/>
        </w:trPr>
        <w:tc>
          <w:tcPr>
            <w:tcW w:w="1133" w:type="dxa"/>
          </w:tcPr>
          <w:p>
            <w:pPr>
              <w:pStyle w:val="TableParagraph"/>
              <w:ind w:start="213" w:end="205" w:firstLine="2"/>
              <w:jc w:val="center"/>
              <w:rPr>
                <w:sz w:val="18"/>
              </w:rPr>
            </w:pPr>
            <w:r>
              <w:rPr>
                <w:sz w:val="18"/>
              </w:rPr>
              <w:t xml:space="preserve">1 </w:t>
            </w:r>
            <w:r>
              <w:rPr>
                <w:sz w:val="18"/>
              </w:rPr>
              <w:t xml:space="preserve">étude de </w:t>
            </w:r>
            <w:r>
              <w:rPr>
                <w:sz w:val="18"/>
              </w:rPr>
              <w:t xml:space="preserve">cohorte </w:t>
            </w:r>
            <w:r>
              <w:rPr>
                <w:sz w:val="18"/>
              </w:rPr>
              <w:t xml:space="preserve">Brik </w:t>
            </w:r>
            <w:r>
              <w:rPr>
                <w:sz w:val="18"/>
              </w:rPr>
              <w:t xml:space="preserve">et </w:t>
            </w:r>
            <w:r>
              <w:rPr>
                <w:sz w:val="18"/>
              </w:rPr>
              <w:t xml:space="preserve">al</w:t>
            </w:r>
          </w:p>
          <w:p>
            <w:pPr>
              <w:pStyle w:val="TableParagraph"/>
              <w:spacing w:line="187" w:lineRule="exact"/>
              <w:ind w:start="92" w:end="83"/>
              <w:jc w:val="center"/>
              <w:rPr>
                <w:sz w:val="18"/>
              </w:rPr>
            </w:pPr>
            <w:r>
              <w:rPr>
                <w:sz w:val="18"/>
              </w:rPr>
              <w:t xml:space="preserve">2018</w:t>
            </w:r>
          </w:p>
        </w:tc>
        <w:tc>
          <w:tcPr>
            <w:tcW w:w="1135" w:type="dxa"/>
          </w:tcPr>
          <w:p w:rsidR="00432386" w:rsidRDefault="00432386">
            <w:pPr>
              <w:pStyle w:val="TableParagraph"/>
              <w:spacing w:before="1"/>
              <w:rPr>
                <w:b/>
                <w:sz w:val="18"/>
              </w:rPr>
            </w:pPr>
          </w:p>
          <w:p>
            <w:pPr>
              <w:pStyle w:val="TableParagraph"/>
              <w:spacing w:line="235" w:lineRule="auto"/>
              <w:ind w:start="134" w:end="104" w:firstLine="127"/>
              <w:rPr>
                <w:sz w:val="12"/>
              </w:rPr>
            </w:pPr>
            <w:r>
              <w:rPr>
                <w:sz w:val="18"/>
              </w:rPr>
              <w:t xml:space="preserve">De sérieuses </w:t>
            </w:r>
            <w:r>
              <w:rPr>
                <w:sz w:val="18"/>
              </w:rPr>
              <w:t xml:space="preserve">limitations1</w:t>
            </w:r>
          </w:p>
        </w:tc>
        <w:tc>
          <w:tcPr>
            <w:tcW w:w="1274" w:type="dxa"/>
          </w:tcPr>
          <w:p w:rsidR="00432386" w:rsidRDefault="00432386">
            <w:pPr>
              <w:pStyle w:val="TableParagraph"/>
              <w:spacing w:before="9"/>
              <w:rPr>
                <w:b/>
                <w:sz w:val="17"/>
              </w:rPr>
            </w:pPr>
          </w:p>
          <w:p>
            <w:pPr>
              <w:pStyle w:val="TableParagraph"/>
              <w:spacing w:before="1"/>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spacing w:before="9"/>
              <w:rPr>
                <w:b/>
                <w:sz w:val="17"/>
              </w:rPr>
            </w:pPr>
          </w:p>
          <w:p>
            <w:pPr>
              <w:pStyle w:val="TableParagraph"/>
              <w:spacing w:before="1"/>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spacing w:before="9"/>
              <w:rPr>
                <w:b/>
                <w:sz w:val="17"/>
              </w:rPr>
            </w:pPr>
          </w:p>
          <w:p>
            <w:pPr>
              <w:pStyle w:val="TableParagraph"/>
              <w:spacing w:before="1"/>
              <w:ind w:start="166" w:end="135" w:firstLine="259"/>
              <w:rPr>
                <w:sz w:val="18"/>
              </w:rPr>
            </w:pPr>
            <w:r>
              <w:rPr>
                <w:sz w:val="18"/>
              </w:rPr>
              <w:t xml:space="preserve">Non </w:t>
            </w:r>
            <w:r>
              <w:rPr>
                <w:sz w:val="18"/>
              </w:rPr>
              <w:t xml:space="preserve">calculable</w:t>
            </w:r>
          </w:p>
        </w:tc>
        <w:tc>
          <w:tcPr>
            <w:tcW w:w="1132" w:type="dxa"/>
          </w:tcPr>
          <w:p>
            <w:pPr>
              <w:pStyle w:val="TableParagraph"/>
              <w:ind w:start="301" w:end="270" w:firstLine="40"/>
              <w:rPr>
                <w:sz w:val="18"/>
              </w:rPr>
            </w:pPr>
            <w:r>
              <w:rPr>
                <w:sz w:val="18"/>
              </w:rPr>
              <w:t xml:space="preserve">4/143 </w:t>
            </w:r>
            <w:r>
              <w:rPr>
                <w:sz w:val="18"/>
              </w:rPr>
              <w:t xml:space="preserve">(2.8%)</w:t>
            </w:r>
          </w:p>
        </w:tc>
        <w:tc>
          <w:tcPr>
            <w:tcW w:w="1274" w:type="dxa"/>
          </w:tcPr>
          <w:p>
            <w:pPr>
              <w:pStyle w:val="TableParagraph"/>
              <w:spacing w:before="1"/>
              <w:ind w:start="153" w:end="136"/>
              <w:jc w:val="center"/>
              <w:rPr>
                <w:sz w:val="18"/>
              </w:rPr>
            </w:pPr>
            <w:r>
              <w:rPr>
                <w:sz w:val="18"/>
              </w:rPr>
              <w:t xml:space="preserve">Aucun</w:t>
            </w:r>
          </w:p>
        </w:tc>
        <w:tc>
          <w:tcPr>
            <w:tcW w:w="2836" w:type="dxa"/>
          </w:tcPr>
          <w:p>
            <w:pPr>
              <w:pStyle w:val="TableParagraph"/>
              <w:spacing w:before="102"/>
              <w:ind w:start="173" w:end="158" w:firstLine="2"/>
              <w:jc w:val="center"/>
              <w:rPr>
                <w:sz w:val="18"/>
              </w:rPr>
            </w:pPr>
            <w:r>
              <w:rPr>
                <w:sz w:val="18"/>
              </w:rPr>
              <w:t xml:space="preserve">4/143 adolescents ont arrêté les </w:t>
            </w:r>
            <w:r>
              <w:rPr>
                <w:sz w:val="18"/>
              </w:rPr>
              <w:t xml:space="preserve">analogues de la GnRH mais ont souhaité </w:t>
            </w:r>
            <w:r>
              <w:rPr>
                <w:sz w:val="18"/>
              </w:rPr>
              <w:t xml:space="preserve">poursuivre le </w:t>
            </w:r>
            <w:r>
              <w:rPr>
                <w:sz w:val="18"/>
              </w:rPr>
              <w:t xml:space="preserve">traitement </w:t>
            </w:r>
            <w:r>
              <w:rPr>
                <w:sz w:val="18"/>
              </w:rPr>
              <w:t xml:space="preserve">(2,8 %).</w:t>
            </w:r>
          </w:p>
        </w:tc>
        <w:tc>
          <w:tcPr>
            <w:tcW w:w="1421" w:type="dxa"/>
          </w:tcPr>
          <w:p w:rsidR="00432386" w:rsidRDefault="00432386">
            <w:pPr>
              <w:pStyle w:val="TableParagraph"/>
              <w:spacing w:before="9"/>
              <w:rPr>
                <w:b/>
                <w:sz w:val="26"/>
              </w:rPr>
            </w:pPr>
          </w:p>
          <w:p>
            <w:pPr>
              <w:pStyle w:val="TableParagraph"/>
              <w:ind w:start="332"/>
              <w:rPr>
                <w:sz w:val="18"/>
              </w:rPr>
            </w:pPr>
            <w:r>
              <w:rPr>
                <w:sz w:val="18"/>
              </w:rPr>
              <w:t xml:space="preserve">Important</w:t>
            </w:r>
          </w:p>
        </w:tc>
        <w:tc>
          <w:tcPr>
            <w:tcW w:w="1192" w:type="dxa"/>
          </w:tcPr>
          <w:p w:rsidR="00432386" w:rsidRDefault="00432386">
            <w:pPr>
              <w:pStyle w:val="TableParagraph"/>
              <w:spacing w:before="9"/>
              <w:rPr>
                <w:b/>
                <w:sz w:val="17"/>
              </w:rPr>
            </w:pPr>
          </w:p>
          <w:p>
            <w:pPr>
              <w:pStyle w:val="TableParagraph"/>
              <w:spacing w:before="1"/>
              <w:ind w:start="104" w:end="88"/>
              <w:jc w:val="center"/>
              <w:rPr>
                <w:sz w:val="18"/>
              </w:rPr>
            </w:pPr>
            <w:r>
              <w:rPr>
                <w:sz w:val="18"/>
              </w:rPr>
              <w:t xml:space="preserve">TRES </w:t>
            </w:r>
            <w:r>
              <w:rPr>
                <w:sz w:val="18"/>
              </w:rPr>
              <w:t xml:space="preserve">FAIBLE</w:t>
            </w:r>
          </w:p>
        </w:tc>
      </w:tr>
      <w:tr w:rsidR="00432386">
        <w:trPr>
          <w:trHeight w:val="465"/>
        </w:trPr>
        <w:tc>
          <w:tcPr>
            <w:tcW w:w="13950" w:type="dxa"/>
            <w:gridSpan w:val="10"/>
            <w:shd w:val="clear" w:color="auto" w:fill="C5D9F0"/>
          </w:tcPr>
          <w:p>
            <w:pPr>
              <w:pStyle w:val="TableParagraph"/>
              <w:ind w:start="107"/>
              <w:rPr>
                <w:b/>
                <w:i/>
                <w:sz w:val="20"/>
              </w:rPr>
            </w:pPr>
            <w:r>
              <w:rPr>
                <w:b/>
                <w:i/>
                <w:sz w:val="20"/>
              </w:rPr>
              <w:t xml:space="preserve">Nombre </w:t>
            </w:r>
            <w:r>
              <w:rPr>
                <w:b/>
                <w:i/>
                <w:sz w:val="20"/>
              </w:rPr>
              <w:t xml:space="preserve">(proportion) de personnes arrêtant les </w:t>
            </w:r>
            <w:r>
              <w:rPr>
                <w:b/>
                <w:i/>
                <w:sz w:val="20"/>
              </w:rPr>
              <w:t xml:space="preserve">analogues de la </w:t>
            </w:r>
            <w:r>
              <w:rPr>
                <w:b/>
                <w:i/>
                <w:sz w:val="20"/>
              </w:rPr>
              <w:t xml:space="preserve">GnRH </w:t>
            </w:r>
            <w:r>
              <w:rPr>
                <w:b/>
                <w:i/>
                <w:sz w:val="20"/>
              </w:rPr>
              <w:t xml:space="preserve">qui </w:t>
            </w:r>
            <w:r>
              <w:rPr>
                <w:b/>
                <w:i/>
                <w:sz w:val="20"/>
              </w:rPr>
              <w:t xml:space="preserve">ne </w:t>
            </w:r>
            <w:r>
              <w:rPr>
                <w:b/>
                <w:i/>
                <w:sz w:val="20"/>
              </w:rPr>
              <w:t xml:space="preserve">souhaitaient </w:t>
            </w:r>
            <w:r>
              <w:rPr>
                <w:b/>
                <w:i/>
                <w:sz w:val="20"/>
              </w:rPr>
              <w:t xml:space="preserve">plus un </w:t>
            </w:r>
            <w:r>
              <w:rPr>
                <w:b/>
                <w:i/>
                <w:sz w:val="20"/>
              </w:rPr>
              <w:t xml:space="preserve">traitement d'</w:t>
            </w:r>
            <w:r>
              <w:rPr>
                <w:b/>
                <w:i/>
                <w:sz w:val="20"/>
              </w:rPr>
              <w:t xml:space="preserve">affirmation du genre</w:t>
            </w:r>
            <w:r>
              <w:rPr>
                <w:b/>
                <w:i/>
                <w:sz w:val="20"/>
              </w:rPr>
              <w:t xml:space="preserve">, </w:t>
            </w:r>
            <w:r>
              <w:rPr>
                <w:b/>
                <w:i/>
                <w:sz w:val="20"/>
              </w:rPr>
              <w:t xml:space="preserve">lors du </w:t>
            </w:r>
            <w:r>
              <w:rPr>
                <w:b/>
                <w:i/>
                <w:sz w:val="20"/>
              </w:rPr>
              <w:t xml:space="preserve">suivi de </w:t>
            </w:r>
            <w:r>
              <w:rPr>
                <w:b/>
                <w:i/>
                <w:sz w:val="20"/>
              </w:rPr>
              <w:t xml:space="preserve">9 </w:t>
            </w:r>
            <w:r>
              <w:rPr>
                <w:b/>
                <w:i/>
                <w:sz w:val="20"/>
              </w:rPr>
              <w:t xml:space="preserve">ans </w:t>
            </w:r>
            <w:r>
              <w:rPr>
                <w:b/>
                <w:i/>
                <w:sz w:val="20"/>
              </w:rPr>
              <w:t xml:space="preserve">(ou plus</w:t>
            </w:r>
            <w:r>
              <w:rPr>
                <w:b/>
                <w:i/>
                <w:sz w:val="20"/>
              </w:rPr>
              <w:t xml:space="preserve">).</w:t>
            </w:r>
          </w:p>
        </w:tc>
      </w:tr>
      <w:tr w:rsidR="00432386">
        <w:trPr>
          <w:trHeight w:val="827"/>
        </w:trPr>
        <w:tc>
          <w:tcPr>
            <w:tcW w:w="1133" w:type="dxa"/>
          </w:tcPr>
          <w:p>
            <w:pPr>
              <w:pStyle w:val="TableParagraph"/>
              <w:ind w:start="213" w:end="205" w:firstLine="2"/>
              <w:jc w:val="center"/>
              <w:rPr>
                <w:sz w:val="18"/>
              </w:rPr>
            </w:pPr>
            <w:r>
              <w:rPr>
                <w:sz w:val="18"/>
              </w:rPr>
              <w:t xml:space="preserve">1 </w:t>
            </w:r>
            <w:r>
              <w:rPr>
                <w:sz w:val="18"/>
              </w:rPr>
              <w:t xml:space="preserve">étude de </w:t>
            </w:r>
            <w:r>
              <w:rPr>
                <w:sz w:val="18"/>
              </w:rPr>
              <w:t xml:space="preserve">cohorte </w:t>
            </w:r>
            <w:r>
              <w:rPr>
                <w:sz w:val="18"/>
              </w:rPr>
              <w:t xml:space="preserve">Brik </w:t>
            </w:r>
            <w:r>
              <w:rPr>
                <w:sz w:val="18"/>
              </w:rPr>
              <w:t xml:space="preserve">et </w:t>
            </w:r>
            <w:r>
              <w:rPr>
                <w:sz w:val="18"/>
              </w:rPr>
              <w:t xml:space="preserve">al</w:t>
            </w:r>
          </w:p>
          <w:p>
            <w:pPr>
              <w:pStyle w:val="TableParagraph"/>
              <w:spacing w:line="187" w:lineRule="exact"/>
              <w:ind w:start="92" w:end="83"/>
              <w:jc w:val="center"/>
              <w:rPr>
                <w:sz w:val="18"/>
              </w:rPr>
            </w:pPr>
            <w:r>
              <w:rPr>
                <w:sz w:val="18"/>
              </w:rPr>
              <w:t xml:space="preserve">2018</w:t>
            </w:r>
          </w:p>
        </w:tc>
        <w:tc>
          <w:tcPr>
            <w:tcW w:w="1135" w:type="dxa"/>
          </w:tcPr>
          <w:p w:rsidR="00432386" w:rsidRDefault="00432386">
            <w:pPr>
              <w:pStyle w:val="TableParagraph"/>
              <w:spacing w:before="1"/>
              <w:rPr>
                <w:b/>
                <w:sz w:val="18"/>
              </w:rPr>
            </w:pPr>
          </w:p>
          <w:p>
            <w:pPr>
              <w:pStyle w:val="TableParagraph"/>
              <w:spacing w:line="235" w:lineRule="auto"/>
              <w:ind w:start="134" w:end="104" w:firstLine="127"/>
              <w:rPr>
                <w:sz w:val="12"/>
              </w:rPr>
            </w:pPr>
            <w:r>
              <w:rPr>
                <w:sz w:val="18"/>
              </w:rPr>
              <w:t xml:space="preserve">De sérieuses </w:t>
            </w:r>
            <w:r>
              <w:rPr>
                <w:sz w:val="18"/>
              </w:rPr>
              <w:t xml:space="preserve">limitations1</w:t>
            </w:r>
          </w:p>
        </w:tc>
        <w:tc>
          <w:tcPr>
            <w:tcW w:w="1274" w:type="dxa"/>
          </w:tcPr>
          <w:p w:rsidR="00432386" w:rsidRDefault="00432386">
            <w:pPr>
              <w:pStyle w:val="TableParagraph"/>
              <w:spacing w:before="9"/>
              <w:rPr>
                <w:b/>
                <w:sz w:val="17"/>
              </w:rPr>
            </w:pPr>
          </w:p>
          <w:p>
            <w:pPr>
              <w:pStyle w:val="TableParagraph"/>
              <w:spacing w:before="1"/>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spacing w:before="9"/>
              <w:rPr>
                <w:b/>
                <w:sz w:val="17"/>
              </w:rPr>
            </w:pPr>
          </w:p>
          <w:p>
            <w:pPr>
              <w:pStyle w:val="TableParagraph"/>
              <w:spacing w:before="1"/>
              <w:ind w:start="91" w:end="82"/>
              <w:jc w:val="center"/>
              <w:rPr>
                <w:sz w:val="18"/>
              </w:rPr>
            </w:pPr>
            <w:r>
              <w:rPr>
                <w:sz w:val="18"/>
              </w:rPr>
              <w:t xml:space="preserve">Non </w:t>
            </w:r>
            <w:r>
              <w:rPr>
                <w:sz w:val="18"/>
              </w:rPr>
              <w:t xml:space="preserve">applicable</w:t>
            </w:r>
          </w:p>
        </w:tc>
        <w:tc>
          <w:tcPr>
            <w:tcW w:w="1132" w:type="dxa"/>
          </w:tcPr>
          <w:p w:rsidR="00432386" w:rsidRDefault="00432386">
            <w:pPr>
              <w:pStyle w:val="TableParagraph"/>
              <w:spacing w:before="9"/>
              <w:rPr>
                <w:b/>
                <w:sz w:val="17"/>
              </w:rPr>
            </w:pPr>
          </w:p>
          <w:p>
            <w:pPr>
              <w:pStyle w:val="TableParagraph"/>
              <w:spacing w:before="1"/>
              <w:ind w:start="166" w:end="135" w:firstLine="259"/>
              <w:rPr>
                <w:sz w:val="18"/>
              </w:rPr>
            </w:pPr>
            <w:r>
              <w:rPr>
                <w:sz w:val="18"/>
              </w:rPr>
              <w:t xml:space="preserve">Non </w:t>
            </w:r>
            <w:r>
              <w:rPr>
                <w:sz w:val="18"/>
              </w:rPr>
              <w:t xml:space="preserve">calculable</w:t>
            </w:r>
          </w:p>
        </w:tc>
        <w:tc>
          <w:tcPr>
            <w:tcW w:w="1132" w:type="dxa"/>
          </w:tcPr>
          <w:p>
            <w:pPr>
              <w:pStyle w:val="TableParagraph"/>
              <w:ind w:start="301" w:end="270" w:firstLine="40"/>
              <w:rPr>
                <w:sz w:val="18"/>
              </w:rPr>
            </w:pPr>
            <w:r>
              <w:rPr>
                <w:sz w:val="18"/>
              </w:rPr>
              <w:t xml:space="preserve">5/143 </w:t>
            </w:r>
            <w:r>
              <w:rPr>
                <w:sz w:val="18"/>
              </w:rPr>
              <w:t xml:space="preserve">(3.5%)</w:t>
            </w:r>
          </w:p>
        </w:tc>
        <w:tc>
          <w:tcPr>
            <w:tcW w:w="1274" w:type="dxa"/>
          </w:tcPr>
          <w:p>
            <w:pPr>
              <w:pStyle w:val="TableParagraph"/>
              <w:spacing w:before="1"/>
              <w:ind w:start="153" w:end="136"/>
              <w:jc w:val="center"/>
              <w:rPr>
                <w:sz w:val="18"/>
              </w:rPr>
            </w:pPr>
            <w:r>
              <w:rPr>
                <w:sz w:val="18"/>
              </w:rPr>
              <w:t xml:space="preserve">Aucun</w:t>
            </w:r>
          </w:p>
        </w:tc>
        <w:tc>
          <w:tcPr>
            <w:tcW w:w="2836" w:type="dxa"/>
          </w:tcPr>
          <w:p>
            <w:pPr>
              <w:pStyle w:val="TableParagraph"/>
              <w:ind w:start="154" w:end="138" w:firstLine="2"/>
              <w:jc w:val="center"/>
              <w:rPr>
                <w:sz w:val="18"/>
              </w:rPr>
            </w:pPr>
            <w:r>
              <w:rPr>
                <w:sz w:val="18"/>
              </w:rPr>
              <w:t xml:space="preserve">5/143 adolescents ont cessé de prendre </w:t>
            </w:r>
            <w:r>
              <w:rPr>
                <w:sz w:val="18"/>
              </w:rPr>
              <w:t xml:space="preserve">des analogues de la GnRH et ne </w:t>
            </w:r>
            <w:r>
              <w:rPr>
                <w:sz w:val="18"/>
              </w:rPr>
              <w:t xml:space="preserve">souhaitaient </w:t>
            </w:r>
            <w:r>
              <w:rPr>
                <w:sz w:val="18"/>
              </w:rPr>
              <w:t xml:space="preserve">plus </w:t>
            </w:r>
            <w:r>
              <w:rPr>
                <w:sz w:val="18"/>
              </w:rPr>
              <w:t xml:space="preserve">poursuivre le traitement </w:t>
            </w:r>
            <w:r>
              <w:rPr>
                <w:sz w:val="18"/>
              </w:rPr>
              <w:t xml:space="preserve">de la maladie</w:t>
            </w:r>
            <w:r>
              <w:rPr>
                <w:sz w:val="18"/>
              </w:rPr>
              <w:t xml:space="preserve">.</w:t>
            </w:r>
          </w:p>
          <w:p>
            <w:pPr>
              <w:pStyle w:val="TableParagraph"/>
              <w:spacing w:line="187" w:lineRule="exact"/>
              <w:ind w:start="151" w:end="135"/>
              <w:jc w:val="center"/>
              <w:rPr>
                <w:sz w:val="18"/>
              </w:rPr>
            </w:pPr>
            <w:r>
              <w:rPr>
                <w:sz w:val="18"/>
              </w:rPr>
              <w:t xml:space="preserve">traitement </w:t>
            </w:r>
            <w:r>
              <w:rPr>
                <w:sz w:val="18"/>
              </w:rPr>
              <w:t xml:space="preserve">affirmatif (</w:t>
            </w:r>
            <w:r>
              <w:rPr>
                <w:sz w:val="18"/>
              </w:rPr>
              <w:t xml:space="preserve">3,5 %)</w:t>
            </w:r>
          </w:p>
        </w:tc>
        <w:tc>
          <w:tcPr>
            <w:tcW w:w="1421" w:type="dxa"/>
          </w:tcPr>
          <w:p w:rsidR="00432386" w:rsidRDefault="00432386">
            <w:pPr>
              <w:pStyle w:val="TableParagraph"/>
              <w:spacing w:before="9"/>
              <w:rPr>
                <w:b/>
                <w:sz w:val="26"/>
              </w:rPr>
            </w:pPr>
          </w:p>
          <w:p>
            <w:pPr>
              <w:pStyle w:val="TableParagraph"/>
              <w:ind w:start="332"/>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04" w:end="88"/>
              <w:jc w:val="center"/>
              <w:rPr>
                <w:sz w:val="18"/>
              </w:rPr>
            </w:pPr>
            <w:r>
              <w:rPr>
                <w:sz w:val="18"/>
              </w:rPr>
              <w:t xml:space="preserve">TRES </w:t>
            </w:r>
            <w:r>
              <w:rPr>
                <w:sz w:val="18"/>
              </w:rPr>
              <w:t xml:space="preserve">FAIBLE</w:t>
            </w:r>
          </w:p>
        </w:tc>
      </w:tr>
    </w:tbl>
    <w:p>
      <w:pPr>
        <w:spacing w:before="2"/>
        <w:ind w:start="120"/>
        <w:rPr>
          <w:sz w:val="20"/>
        </w:rPr>
      </w:pPr>
      <w:r>
        <w:rPr>
          <w:b/>
          <w:sz w:val="20"/>
        </w:rPr>
        <w:t xml:space="preserve">Abréviations : </w:t>
      </w:r>
      <w:r>
        <w:rPr>
          <w:sz w:val="20"/>
        </w:rPr>
        <w:t xml:space="preserve">GnRH, </w:t>
      </w:r>
      <w:r>
        <w:rPr>
          <w:sz w:val="20"/>
        </w:rPr>
        <w:t xml:space="preserve">hormone de </w:t>
      </w:r>
      <w:r>
        <w:rPr>
          <w:sz w:val="20"/>
        </w:rPr>
        <w:t xml:space="preserve">libération de la </w:t>
      </w:r>
      <w:r>
        <w:rPr>
          <w:sz w:val="20"/>
        </w:rPr>
        <w:t xml:space="preserve">gonadotrophine</w:t>
      </w:r>
      <w:r>
        <w:rPr>
          <w:sz w:val="20"/>
        </w:rPr>
        <w:t xml:space="preserve">.</w:t>
      </w:r>
    </w:p>
    <w:p w:rsidR="00432386" w:rsidRDefault="00432386">
      <w:pPr>
        <w:pStyle w:val="Corpsdetexte"/>
        <w:spacing w:before="1"/>
        <w:ind w:start="0"/>
        <w:rPr>
          <w:sz w:val="20"/>
        </w:rPr>
      </w:pPr>
    </w:p>
    <w:p>
      <w:pPr>
        <w:pStyle w:val="Paragraphedeliste"/>
        <w:numPr>
          <w:ilvl w:val="0"/>
          <w:numId w:val="5"/>
        </w:numPr>
        <w:tabs>
          <w:tab w:val="left" w:pos="272"/>
        </w:tabs>
        <w:spacing w:before="0"/>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Brik </w:t>
      </w:r>
      <w:r>
        <w:rPr>
          <w:i/>
          <w:sz w:val="18"/>
        </w:rPr>
        <w:t xml:space="preserve">et </w:t>
      </w:r>
      <w:r>
        <w:rPr>
          <w:i/>
          <w:sz w:val="18"/>
        </w:rPr>
        <w:t xml:space="preserve">al. </w:t>
      </w:r>
      <w:r>
        <w:rPr>
          <w:i/>
          <w:sz w:val="18"/>
        </w:rPr>
        <w:t xml:space="preserve">(2018) </w:t>
      </w:r>
      <w:r>
        <w:rPr>
          <w:i/>
          <w:sz w:val="18"/>
        </w:rPr>
        <w:t xml:space="preserve">a été 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qualité </w:t>
      </w:r>
      <w:r>
        <w:rPr>
          <w:i/>
          <w:sz w:val="18"/>
        </w:rPr>
        <w:t xml:space="preserve">médiocre </w:t>
      </w:r>
      <w:r>
        <w:rPr>
          <w:i/>
          <w:sz w:val="18"/>
        </w:rPr>
        <w:t xml:space="preserve">dans l'ensemble ;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pPr>
        <w:pStyle w:val="Paragraphedeliste"/>
        <w:numPr>
          <w:ilvl w:val="0"/>
          <w:numId w:val="5"/>
        </w:numPr>
        <w:tabs>
          <w:tab w:val="left" w:pos="272"/>
        </w:tabs>
        <w:spacing w:before="30"/>
        <w:ind w:start="120" w:end="825" w:firstLine="0"/>
        <w:rPr>
          <w:i/>
          <w:sz w:val="18"/>
        </w:rPr>
      </w:pPr>
      <w:r>
        <w:rPr>
          <w:i/>
          <w:sz w:val="18"/>
        </w:rPr>
        <w:t xml:space="preserve">Durée médiane de 0,8 an (intervalle de 0,1 à 3,0). Cinq adolescents ont arrêté le traitement parce qu'ils ne souhaitaient plus recevoir de traitement pour l'affirmation du genre pour diverses </w:t>
      </w:r>
      <w:r>
        <w:rPr>
          <w:i/>
          <w:sz w:val="18"/>
        </w:rPr>
        <w:t xml:space="preserve">raisons. </w:t>
      </w:r>
      <w:r>
        <w:rPr>
          <w:i/>
          <w:sz w:val="18"/>
        </w:rPr>
        <w:t xml:space="preserve">Chez </w:t>
      </w:r>
      <w:r>
        <w:rPr>
          <w:i/>
          <w:sz w:val="18"/>
        </w:rPr>
        <w:t xml:space="preserve">4 </w:t>
      </w:r>
      <w:r>
        <w:rPr>
          <w:i/>
          <w:sz w:val="18"/>
        </w:rPr>
        <w:t xml:space="preserve">adolescents </w:t>
      </w:r>
      <w:r>
        <w:rPr>
          <w:i/>
          <w:sz w:val="18"/>
        </w:rPr>
        <w:t xml:space="preserve">(tous </w:t>
      </w:r>
      <w:r>
        <w:rPr>
          <w:i/>
          <w:sz w:val="18"/>
        </w:rPr>
        <w:t xml:space="preserve">transmaliens), </w:t>
      </w:r>
      <w:r>
        <w:rPr>
          <w:i/>
          <w:sz w:val="18"/>
        </w:rPr>
        <w:t xml:space="preserve">bien qu'</w:t>
      </w:r>
      <w:r>
        <w:rPr>
          <w:i/>
          <w:sz w:val="18"/>
        </w:rPr>
        <w:t xml:space="preserve">ils </w:t>
      </w:r>
      <w:r>
        <w:rPr>
          <w:i/>
          <w:sz w:val="18"/>
        </w:rPr>
        <w:t xml:space="preserve">aient </w:t>
      </w:r>
      <w:r>
        <w:rPr>
          <w:i/>
          <w:sz w:val="18"/>
        </w:rPr>
        <w:t xml:space="preserve">souhaité </w:t>
      </w:r>
      <w:r>
        <w:rPr>
          <w:i/>
          <w:sz w:val="18"/>
        </w:rPr>
        <w:t xml:space="preserve">poursuivre les </w:t>
      </w:r>
      <w:r>
        <w:rPr>
          <w:i/>
          <w:sz w:val="18"/>
        </w:rPr>
        <w:t xml:space="preserve">traitements </w:t>
      </w:r>
      <w:r>
        <w:rPr>
          <w:i/>
          <w:sz w:val="18"/>
        </w:rPr>
        <w:t xml:space="preserve">pour la </w:t>
      </w:r>
      <w:r>
        <w:rPr>
          <w:i/>
          <w:sz w:val="18"/>
        </w:rPr>
        <w:t xml:space="preserve">dysphorie de </w:t>
      </w:r>
      <w:r>
        <w:rPr>
          <w:i/>
          <w:sz w:val="18"/>
        </w:rPr>
        <w:t xml:space="preserve">genre</w:t>
      </w:r>
      <w:r>
        <w:rPr>
          <w:i/>
          <w:sz w:val="18"/>
        </w:rPr>
        <w:t xml:space="preserve">, </w:t>
      </w:r>
      <w:r>
        <w:rPr>
          <w:i/>
          <w:sz w:val="18"/>
        </w:rPr>
        <w:t xml:space="preserve">les </w:t>
      </w:r>
      <w:r>
        <w:rPr>
          <w:i/>
          <w:sz w:val="18"/>
        </w:rPr>
        <w:t xml:space="preserve">analogues de la </w:t>
      </w:r>
      <w:r>
        <w:rPr>
          <w:i/>
          <w:sz w:val="18"/>
        </w:rPr>
        <w:t xml:space="preserve">GnRH </w:t>
      </w:r>
      <w:r>
        <w:rPr>
          <w:i/>
          <w:sz w:val="18"/>
        </w:rPr>
        <w:t xml:space="preserve">ont été </w:t>
      </w:r>
      <w:r>
        <w:rPr>
          <w:i/>
          <w:sz w:val="18"/>
        </w:rPr>
        <w:t xml:space="preserve">arrêtés </w:t>
      </w:r>
      <w:r>
        <w:rPr>
          <w:i/>
          <w:sz w:val="18"/>
        </w:rPr>
        <w:t xml:space="preserve">principalement </w:t>
      </w:r>
      <w:r>
        <w:rPr>
          <w:i/>
          <w:sz w:val="18"/>
        </w:rPr>
        <w:t xml:space="preserve">en raison </w:t>
      </w:r>
      <w:r>
        <w:rPr>
          <w:i/>
          <w:sz w:val="18"/>
        </w:rPr>
        <w:t xml:space="preserve">d'</w:t>
      </w:r>
      <w:r>
        <w:rPr>
          <w:i/>
          <w:sz w:val="18"/>
        </w:rPr>
        <w:t xml:space="preserve">effets </w:t>
      </w:r>
      <w:r>
        <w:rPr>
          <w:i/>
          <w:sz w:val="18"/>
        </w:rPr>
        <w:t xml:space="preserve">indésirables </w:t>
      </w:r>
      <w:r>
        <w:rPr>
          <w:i/>
          <w:sz w:val="18"/>
        </w:rPr>
        <w:t xml:space="preserve">(tels que l'</w:t>
      </w:r>
      <w:r>
        <w:rPr>
          <w:i/>
          <w:sz w:val="18"/>
        </w:rPr>
        <w:t xml:space="preserve">humeur </w:t>
      </w:r>
      <w:r>
        <w:rPr>
          <w:i/>
          <w:sz w:val="18"/>
        </w:rPr>
        <w:t xml:space="preserve">et la </w:t>
      </w:r>
      <w:r>
        <w:rPr>
          <w:i/>
          <w:sz w:val="18"/>
        </w:rPr>
        <w:t xml:space="preserve">labilité émotionnelle).</w:t>
      </w:r>
    </w:p>
    <w:p>
      <w:pPr>
        <w:pStyle w:val="Paragraphedeliste"/>
        <w:numPr>
          <w:ilvl w:val="0"/>
          <w:numId w:val="5"/>
        </w:numPr>
        <w:tabs>
          <w:tab w:val="left" w:pos="272"/>
        </w:tabs>
        <w:spacing w:before="1" w:line="276" w:lineRule="auto"/>
        <w:ind w:start="120" w:end="573" w:firstLine="0"/>
        <w:rPr>
          <w:i/>
          <w:sz w:val="18"/>
        </w:rPr>
      </w:pPr>
      <w:r>
        <w:rPr>
          <w:i/>
          <w:sz w:val="18"/>
        </w:rPr>
        <w:t xml:space="preserve">Rétrogradé de 1 niveau - l'étude de cohorte de Khatchadourian et al. (2014) a été évaluée comme présentant un risque élevé de biais (qualité générale médiocre ; absence d'aveugle, absence de groupe de contrôle et </w:t>
      </w:r>
      <w:r>
        <w:rPr>
          <w:i/>
          <w:sz w:val="18"/>
        </w:rPr>
        <w:t xml:space="preserve">nombre</w:t>
      </w:r>
      <w:r>
        <w:rPr>
          <w:i/>
          <w:sz w:val="18"/>
        </w:rPr>
        <w:t xml:space="preserve"> élevé </w:t>
      </w:r>
      <w:r>
        <w:rPr>
          <w:i/>
          <w:sz w:val="18"/>
        </w:rPr>
        <w:t xml:space="preserve">de </w:t>
      </w:r>
      <w:r>
        <w:rPr>
          <w:i/>
          <w:sz w:val="18"/>
        </w:rPr>
        <w:t xml:space="preserve">participants </w:t>
      </w:r>
      <w:r>
        <w:rPr>
          <w:i/>
          <w:sz w:val="18"/>
        </w:rPr>
        <w:t xml:space="preserve">perdus </w:t>
      </w:r>
      <w:r>
        <w:rPr>
          <w:i/>
          <w:sz w:val="18"/>
        </w:rPr>
        <w:t xml:space="preserve">lors du suivi).</w:t>
      </w:r>
    </w:p>
    <w:p>
      <w:pPr>
        <w:pStyle w:val="Paragraphedeliste"/>
        <w:numPr>
          <w:ilvl w:val="0"/>
          <w:numId w:val="5"/>
        </w:numPr>
        <w:tabs>
          <w:tab w:val="left" w:pos="272"/>
        </w:tabs>
        <w:spacing w:before="0"/>
        <w:ind w:start="120" w:end="793" w:firstLine="0"/>
        <w:rPr>
          <w:i/>
          <w:sz w:val="18"/>
        </w:rPr>
      </w:pPr>
      <w:r>
        <w:rPr>
          <w:i/>
          <w:sz w:val="18"/>
        </w:rPr>
        <w:t xml:space="preserve">En raison </w:t>
      </w:r>
      <w:r>
        <w:rPr>
          <w:i/>
          <w:sz w:val="18"/>
        </w:rPr>
        <w:t xml:space="preserve">de la </w:t>
      </w:r>
      <w:r>
        <w:rPr>
          <w:i/>
          <w:sz w:val="18"/>
        </w:rPr>
        <w:t xml:space="preserve">transition </w:t>
      </w:r>
      <w:r>
        <w:rPr>
          <w:i/>
          <w:sz w:val="18"/>
        </w:rPr>
        <w:t xml:space="preserve">vers des </w:t>
      </w:r>
      <w:r>
        <w:rPr>
          <w:i/>
          <w:sz w:val="18"/>
        </w:rPr>
        <w:t xml:space="preserve">hormones d'</w:t>
      </w:r>
      <w:r>
        <w:rPr>
          <w:i/>
          <w:sz w:val="18"/>
        </w:rPr>
        <w:t xml:space="preserve">affirmation du genre </w:t>
      </w:r>
      <w:r>
        <w:rPr>
          <w:i/>
          <w:sz w:val="18"/>
        </w:rPr>
        <w:t xml:space="preserve">ou une </w:t>
      </w:r>
      <w:r>
        <w:rPr>
          <w:i/>
          <w:sz w:val="18"/>
        </w:rPr>
        <w:t xml:space="preserve">chirurgie d'</w:t>
      </w:r>
      <w:r>
        <w:rPr>
          <w:i/>
          <w:sz w:val="18"/>
        </w:rPr>
        <w:t xml:space="preserve">affirmation du genre</w:t>
      </w:r>
      <w:r>
        <w:rPr>
          <w:i/>
          <w:sz w:val="18"/>
        </w:rPr>
        <w:t xml:space="preserve">, des </w:t>
      </w:r>
      <w:r>
        <w:rPr>
          <w:i/>
          <w:sz w:val="18"/>
        </w:rPr>
        <w:t xml:space="preserve">effets </w:t>
      </w:r>
      <w:r>
        <w:rPr>
          <w:i/>
          <w:sz w:val="18"/>
        </w:rPr>
        <w:t xml:space="preserve">indésirables </w:t>
      </w:r>
      <w:r>
        <w:rPr>
          <w:i/>
          <w:sz w:val="18"/>
        </w:rPr>
        <w:t xml:space="preserve">(tels que </w:t>
      </w:r>
      <w:r>
        <w:rPr>
          <w:i/>
          <w:sz w:val="18"/>
        </w:rPr>
        <w:t xml:space="preserve">l'</w:t>
      </w:r>
      <w:r>
        <w:rPr>
          <w:i/>
          <w:sz w:val="18"/>
        </w:rPr>
        <w:t xml:space="preserve">humeur </w:t>
      </w:r>
      <w:r>
        <w:rPr>
          <w:i/>
          <w:sz w:val="18"/>
        </w:rPr>
        <w:t xml:space="preserve">et la </w:t>
      </w:r>
      <w:r>
        <w:rPr>
          <w:i/>
          <w:sz w:val="18"/>
        </w:rPr>
        <w:t xml:space="preserve">labilité </w:t>
      </w:r>
      <w:r>
        <w:rPr>
          <w:i/>
          <w:sz w:val="18"/>
        </w:rPr>
        <w:t xml:space="preserve">émotionnelle</w:t>
      </w:r>
      <w:r>
        <w:rPr>
          <w:i/>
          <w:sz w:val="18"/>
        </w:rPr>
        <w:t xml:space="preserve">) </w:t>
      </w:r>
      <w:r>
        <w:rPr>
          <w:i/>
          <w:sz w:val="18"/>
        </w:rPr>
        <w:t xml:space="preserve">ou le fait de </w:t>
      </w:r>
      <w:r>
        <w:rPr>
          <w:i/>
          <w:sz w:val="18"/>
        </w:rPr>
        <w:t xml:space="preserve">ne </w:t>
      </w:r>
      <w:r>
        <w:rPr>
          <w:i/>
          <w:sz w:val="18"/>
        </w:rPr>
        <w:t xml:space="preserve">plus </w:t>
      </w:r>
      <w:r>
        <w:rPr>
          <w:i/>
          <w:sz w:val="18"/>
        </w:rPr>
        <w:t xml:space="preserve">vouloir </w:t>
      </w:r>
      <w:r>
        <w:rPr>
          <w:i/>
          <w:sz w:val="18"/>
        </w:rPr>
        <w:t xml:space="preserve">poursuivre la </w:t>
      </w:r>
      <w:r>
        <w:rPr>
          <w:i/>
          <w:sz w:val="18"/>
        </w:rPr>
        <w:t xml:space="preserve">transition.</w:t>
      </w:r>
    </w:p>
    <w:p w:rsidR="00432386" w:rsidRDefault="00432386">
      <w:pPr>
        <w:pStyle w:val="Corpsdetexte"/>
        <w:spacing w:before="0"/>
        <w:ind w:start="0"/>
        <w:rPr>
          <w:i/>
          <w:sz w:val="20"/>
        </w:rPr>
      </w:pPr>
    </w:p>
    <w:p w:rsidR="00432386" w:rsidRDefault="00432386">
      <w:pPr>
        <w:pStyle w:val="Corpsdetexte"/>
        <w:spacing w:before="0"/>
        <w:ind w:start="0"/>
        <w:rPr>
          <w:i/>
          <w:sz w:val="28"/>
        </w:rPr>
      </w:pPr>
    </w:p>
    <w:p>
      <w:pPr>
        <w:pStyle w:val="Titre1"/>
        <w:ind w:start="120" w:end="163"/>
      </w:pPr>
      <w:r>
        <w:t xml:space="preserve">Tableau 8. Question 2. Chez les enfants et les adolescents souffrant de dysphorie de genre, quelle est la </w:t>
      </w:r>
      <w:r>
        <w:t xml:space="preserve">sécurité à </w:t>
      </w:r>
      <w:r>
        <w:t xml:space="preserve">court et </w:t>
      </w:r>
      <w:r>
        <w:t xml:space="preserve">à long terme des </w:t>
      </w:r>
      <w:r>
        <w:t xml:space="preserve">analogues de la </w:t>
      </w:r>
      <w:r>
        <w:t xml:space="preserve">GnRH par </w:t>
      </w:r>
      <w:r>
        <w:t xml:space="preserve">rapport </w:t>
      </w:r>
      <w:r>
        <w:t xml:space="preserve">à </w:t>
      </w:r>
      <w:r>
        <w:t xml:space="preserve">une </w:t>
      </w:r>
      <w:r>
        <w:t xml:space="preserve">ou </w:t>
      </w:r>
      <w:r>
        <w:t xml:space="preserve">une </w:t>
      </w:r>
      <w:r>
        <w:t xml:space="preserve">combinaison </w:t>
      </w:r>
      <w:r>
        <w:t xml:space="preserve">de </w:t>
      </w:r>
      <w:r>
        <w:t xml:space="preserve">soutien </w:t>
      </w:r>
      <w:r>
        <w:t xml:space="preserve">psychologique</w:t>
      </w:r>
      <w:r>
        <w:t xml:space="preserve">, de </w:t>
      </w:r>
      <w:r>
        <w:t xml:space="preserve">transition </w:t>
      </w:r>
      <w:r>
        <w:t xml:space="preserve">sociale </w:t>
      </w:r>
      <w:r>
        <w:t xml:space="preserve">vers </w:t>
      </w:r>
      <w:r>
        <w:t xml:space="preserve">le </w:t>
      </w:r>
      <w:r>
        <w:t xml:space="preserve">genre </w:t>
      </w:r>
      <w:r>
        <w:t xml:space="preserve">désiré </w:t>
      </w:r>
      <w:r>
        <w:t xml:space="preserve">ou d'</w:t>
      </w:r>
      <w:r>
        <w:t xml:space="preserve">aucune intervention ? - </w:t>
      </w:r>
      <w:r>
        <w:t xml:space="preserve">densité osseuse</w:t>
      </w: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
              <w:rPr>
                <w:b/>
                <w:sz w:val="17"/>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
              <w:rPr>
                <w:b/>
                <w:sz w:val="17"/>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4"/>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175"/>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84"/>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30"/>
        </w:trPr>
        <w:tc>
          <w:tcPr>
            <w:tcW w:w="13950" w:type="dxa"/>
            <w:gridSpan w:val="10"/>
            <w:shd w:val="clear" w:color="auto" w:fill="8DB3E1"/>
          </w:tcPr>
          <w:p>
            <w:pPr>
              <w:pStyle w:val="TableParagraph"/>
              <w:spacing w:line="210"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de </w:t>
            </w:r>
            <w:r>
              <w:rPr>
                <w:b/>
                <w:i/>
                <w:sz w:val="20"/>
              </w:rPr>
              <w:t xml:space="preserve">la </w:t>
            </w:r>
            <w:r>
              <w:rPr>
                <w:b/>
                <w:i/>
                <w:sz w:val="20"/>
              </w:rPr>
              <w:t xml:space="preserve">DMOI </w:t>
            </w:r>
            <w:r>
              <w:rPr>
                <w:b/>
                <w:i/>
                <w:sz w:val="20"/>
              </w:rPr>
              <w:t xml:space="preserve">lombaire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de </w:t>
            </w:r>
            <w:r>
              <w:rPr>
                <w:b/>
                <w:i/>
                <w:sz w:val="20"/>
              </w:rPr>
              <w:t xml:space="preserve">la 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un </w:t>
            </w:r>
            <w:r>
              <w:rPr>
                <w:b/>
                <w:i/>
                <w:sz w:val="20"/>
              </w:rPr>
              <w:t xml:space="preserve">an </w:t>
            </w:r>
            <w:r>
              <w:rPr>
                <w:b/>
                <w:i/>
                <w:sz w:val="20"/>
              </w:rPr>
              <w:t xml:space="preserve">chez les </w:t>
            </w:r>
            <w:r>
              <w:rPr>
                <w:b/>
                <w:i/>
                <w:sz w:val="20"/>
              </w:rPr>
              <w:t xml:space="preserve">femmes transfemmes.</w:t>
            </w:r>
          </w:p>
        </w:tc>
      </w:tr>
    </w:tbl>
    <w:p w:rsidR="00432386" w:rsidRDefault="00432386">
      <w:pPr>
        <w:spacing w:line="229" w:lineRule="exact"/>
        <w:rPr>
          <w:sz w:val="20"/>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1862"/>
        </w:trPr>
        <w:tc>
          <w:tcPr>
            <w:tcW w:w="1133" w:type="dxa"/>
          </w:tcPr>
          <w:p w:rsidR="00432386" w:rsidRDefault="00432386">
            <w:pPr>
              <w:pStyle w:val="TableParagraph"/>
              <w:spacing w:before="1"/>
              <w:rPr>
                <w:b/>
                <w:sz w:val="19"/>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2"/>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(SD), g/cm3 </w:t>
            </w:r>
            <w:r>
              <w:rPr>
                <w:sz w:val="18"/>
              </w:rPr>
              <w:t xml:space="preserve">Ligne de base : </w:t>
            </w:r>
            <w:r>
              <w:rPr>
                <w:sz w:val="18"/>
              </w:rPr>
              <w:t xml:space="preserve">0,235 </w:t>
            </w:r>
            <w:r>
              <w:rPr>
                <w:sz w:val="18"/>
              </w:rPr>
              <w:t xml:space="preserve">(0,030)</w:t>
            </w:r>
          </w:p>
          <w:p>
            <w:pPr>
              <w:pStyle w:val="TableParagraph"/>
              <w:ind w:start="288" w:end="272"/>
              <w:jc w:val="center"/>
              <w:rPr>
                <w:sz w:val="18"/>
              </w:rPr>
            </w:pPr>
            <w:r>
              <w:rPr>
                <w:sz w:val="18"/>
              </w:rPr>
              <w:t xml:space="preserve">1 an : 0.233 (0.029) </w:t>
            </w:r>
            <w:r>
              <w:rPr>
                <w:sz w:val="18"/>
              </w:rPr>
              <w:t xml:space="preserve">p=0.459</w:t>
            </w:r>
          </w:p>
          <w:p w:rsidR="00432386" w:rsidRDefault="00432386">
            <w:pPr>
              <w:pStyle w:val="TableParagraph"/>
              <w:spacing w:before="6"/>
              <w:rPr>
                <w:b/>
                <w:sz w:val="17"/>
              </w:rPr>
            </w:pPr>
          </w:p>
          <w:p>
            <w:pPr>
              <w:pStyle w:val="TableParagraph"/>
              <w:spacing w:before="1"/>
              <w:ind w:start="488" w:end="463" w:firstLine="636"/>
              <w:rPr>
                <w:sz w:val="18"/>
              </w:rPr>
            </w:pPr>
            <w:r>
              <w:rPr>
                <w:sz w:val="18"/>
              </w:rPr>
              <w:t xml:space="preserve">z-score au </w:t>
            </w:r>
            <w:r>
              <w:rPr>
                <w:sz w:val="18"/>
              </w:rPr>
              <w:t xml:space="preserve">départ : </w:t>
            </w:r>
            <w:r>
              <w:rPr>
                <w:sz w:val="18"/>
              </w:rPr>
              <w:t xml:space="preserve">0.859 </w:t>
            </w:r>
            <w:r>
              <w:rPr>
                <w:sz w:val="18"/>
              </w:rPr>
              <w:t xml:space="preserve">(0.154)</w:t>
            </w:r>
          </w:p>
          <w:p>
            <w:pPr>
              <w:pStyle w:val="TableParagraph"/>
              <w:spacing w:before="1" w:line="207" w:lineRule="exact"/>
              <w:ind w:start="151" w:end="138"/>
              <w:jc w:val="center"/>
              <w:rPr>
                <w:sz w:val="18"/>
              </w:rPr>
            </w:pPr>
            <w:r>
              <w:rPr>
                <w:sz w:val="18"/>
              </w:rPr>
              <w:t xml:space="preserve">1 </w:t>
            </w:r>
            <w:r>
              <w:rPr>
                <w:sz w:val="18"/>
              </w:rPr>
              <w:t xml:space="preserve">an : </w:t>
            </w:r>
            <w:r>
              <w:rPr>
                <w:sz w:val="18"/>
              </w:rPr>
              <w:t xml:space="preserve">−0.228 </w:t>
            </w:r>
            <w:r>
              <w:rPr>
                <w:sz w:val="18"/>
              </w:rPr>
              <w:t xml:space="preserve">(1.027)</w:t>
            </w:r>
          </w:p>
          <w:p>
            <w:pPr>
              <w:pStyle w:val="TableParagraph"/>
              <w:spacing w:line="187"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de </w:t>
            </w:r>
            <w:r>
              <w:rPr>
                <w:b/>
                <w:i/>
                <w:sz w:val="20"/>
              </w:rPr>
              <w:t xml:space="preserve">la 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1 </w:t>
            </w:r>
            <w:r>
              <w:rPr>
                <w:b/>
                <w:i/>
                <w:sz w:val="20"/>
              </w:rPr>
              <w:t xml:space="preserve">an </w:t>
            </w:r>
            <w:r>
              <w:rPr>
                <w:b/>
                <w:i/>
                <w:sz w:val="20"/>
              </w:rPr>
              <w:t xml:space="preserve">chez </w:t>
            </w:r>
            <w:r>
              <w:rPr>
                <w:b/>
                <w:i/>
                <w:sz w:val="20"/>
              </w:rPr>
              <w:t xml:space="preserve">les transmales.</w:t>
            </w:r>
          </w:p>
        </w:tc>
      </w:tr>
      <w:tr w:rsidR="00432386">
        <w:trPr>
          <w:trHeight w:val="1862"/>
        </w:trPr>
        <w:tc>
          <w:tcPr>
            <w:tcW w:w="1133" w:type="dxa"/>
          </w:tcPr>
          <w:p w:rsidR="00432386" w:rsidRDefault="00432386">
            <w:pPr>
              <w:pStyle w:val="TableParagraph"/>
              <w:spacing w:before="1"/>
              <w:rPr>
                <w:b/>
                <w:sz w:val="19"/>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N=39</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(SD), g/cm3 </w:t>
            </w:r>
            <w:r>
              <w:rPr>
                <w:sz w:val="18"/>
              </w:rPr>
              <w:t xml:space="preserve">Ligne de base : </w:t>
            </w:r>
            <w:r>
              <w:rPr>
                <w:sz w:val="18"/>
              </w:rPr>
              <w:t xml:space="preserve">0,196 </w:t>
            </w:r>
            <w:r>
              <w:rPr>
                <w:sz w:val="18"/>
              </w:rPr>
              <w:t xml:space="preserve">(0,035)</w:t>
            </w:r>
          </w:p>
          <w:p>
            <w:pPr>
              <w:pStyle w:val="TableParagraph"/>
              <w:ind w:start="288" w:end="272"/>
              <w:jc w:val="center"/>
              <w:rPr>
                <w:sz w:val="18"/>
              </w:rPr>
            </w:pPr>
            <w:r>
              <w:rPr>
                <w:sz w:val="18"/>
              </w:rPr>
              <w:t xml:space="preserve">1 an : 0.201 (0.033) </w:t>
            </w:r>
            <w:r>
              <w:rPr>
                <w:sz w:val="18"/>
              </w:rPr>
              <w:t xml:space="preserve">p=0.074</w:t>
            </w:r>
          </w:p>
          <w:p w:rsidR="00432386" w:rsidRDefault="00432386">
            <w:pPr>
              <w:pStyle w:val="TableParagraph"/>
              <w:spacing w:before="6"/>
              <w:rPr>
                <w:b/>
                <w:sz w:val="17"/>
              </w:rPr>
            </w:pPr>
          </w:p>
          <w:p>
            <w:pPr>
              <w:pStyle w:val="TableParagraph"/>
              <w:spacing w:line="207" w:lineRule="exact"/>
              <w:ind w:start="151" w:end="137"/>
              <w:jc w:val="center"/>
              <w:rPr>
                <w:sz w:val="18"/>
              </w:rPr>
            </w:pPr>
            <w:r>
              <w:rPr>
                <w:sz w:val="18"/>
              </w:rPr>
              <w:t xml:space="preserve">z-score</w:t>
            </w:r>
          </w:p>
          <w:p>
            <w:pPr>
              <w:pStyle w:val="TableParagraph"/>
              <w:spacing w:line="207" w:lineRule="exact"/>
              <w:ind w:start="151" w:end="136"/>
              <w:jc w:val="center"/>
              <w:rPr>
                <w:sz w:val="18"/>
              </w:rPr>
            </w:pPr>
            <w:r>
              <w:rPr>
                <w:sz w:val="18"/>
              </w:rPr>
              <w:t xml:space="preserve">Ligne de base : </w:t>
            </w:r>
            <w:r>
              <w:rPr>
                <w:sz w:val="18"/>
              </w:rPr>
              <w:t xml:space="preserve">−0.186 </w:t>
            </w:r>
            <w:r>
              <w:rPr>
                <w:sz w:val="18"/>
              </w:rPr>
              <w:t xml:space="preserve">(1.230)</w:t>
            </w:r>
          </w:p>
          <w:p>
            <w:pPr>
              <w:pStyle w:val="TableParagraph"/>
              <w:spacing w:before="2" w:line="207" w:lineRule="exact"/>
              <w:ind w:start="151" w:end="138"/>
              <w:jc w:val="center"/>
              <w:rPr>
                <w:sz w:val="18"/>
              </w:rPr>
            </w:pPr>
            <w:r>
              <w:rPr>
                <w:sz w:val="18"/>
              </w:rPr>
              <w:t xml:space="preserve">1 </w:t>
            </w:r>
            <w:r>
              <w:rPr>
                <w:sz w:val="18"/>
              </w:rPr>
              <w:t xml:space="preserve">an : </w:t>
            </w:r>
            <w:r>
              <w:rPr>
                <w:sz w:val="18"/>
              </w:rPr>
              <w:t xml:space="preserve">−0.541 </w:t>
            </w:r>
            <w:r>
              <w:rPr>
                <w:sz w:val="18"/>
              </w:rPr>
              <w:t xml:space="preserve">(1.396)</w:t>
            </w:r>
          </w:p>
          <w:p>
            <w:pPr>
              <w:pStyle w:val="TableParagraph"/>
              <w:spacing w:line="187" w:lineRule="exact"/>
              <w:ind w:start="151" w:end="135"/>
              <w:jc w:val="center"/>
              <w:rPr>
                <w:sz w:val="18"/>
              </w:rPr>
            </w:pPr>
            <w:r>
              <w:rPr>
                <w:sz w:val="18"/>
              </w:rPr>
              <w:t xml:space="preserve">p=0.006</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de </w:t>
            </w:r>
            <w:r>
              <w:rPr>
                <w:b/>
                <w:i/>
                <w:sz w:val="20"/>
              </w:rPr>
              <w:t xml:space="preserve">la 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2 </w:t>
            </w:r>
            <w:r>
              <w:rPr>
                <w:b/>
                <w:i/>
                <w:sz w:val="20"/>
              </w:rPr>
              <w:t xml:space="preserve">ans </w:t>
            </w:r>
            <w:r>
              <w:rPr>
                <w:b/>
                <w:i/>
                <w:sz w:val="20"/>
              </w:rPr>
              <w:t xml:space="preserve">chez les </w:t>
            </w:r>
            <w:r>
              <w:rPr>
                <w:b/>
                <w:i/>
                <w:sz w:val="20"/>
              </w:rPr>
              <w:t xml:space="preserve">femmes transfemmes.</w:t>
            </w:r>
          </w:p>
        </w:tc>
      </w:tr>
      <w:tr w:rsidR="00432386">
        <w:trPr>
          <w:trHeight w:val="1862"/>
        </w:trPr>
        <w:tc>
          <w:tcPr>
            <w:tcW w:w="1133" w:type="dxa"/>
          </w:tcPr>
          <w:p w:rsidR="00432386" w:rsidRDefault="00432386">
            <w:pPr>
              <w:pStyle w:val="TableParagraph"/>
              <w:spacing w:before="1"/>
              <w:rPr>
                <w:b/>
                <w:sz w:val="19"/>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N=10</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(SD), g/cm3 </w:t>
            </w:r>
            <w:r>
              <w:rPr>
                <w:sz w:val="18"/>
              </w:rPr>
              <w:t xml:space="preserve">Ligne de base : </w:t>
            </w:r>
            <w:r>
              <w:rPr>
                <w:sz w:val="18"/>
              </w:rPr>
              <w:t xml:space="preserve">0,240 </w:t>
            </w:r>
            <w:r>
              <w:rPr>
                <w:sz w:val="18"/>
              </w:rPr>
              <w:t xml:space="preserve">(0,027)</w:t>
            </w:r>
          </w:p>
          <w:p>
            <w:pPr>
              <w:pStyle w:val="TableParagraph"/>
              <w:ind w:start="288" w:end="273"/>
              <w:jc w:val="center"/>
              <w:rPr>
                <w:sz w:val="18"/>
              </w:rPr>
            </w:pPr>
            <w:r>
              <w:rPr>
                <w:sz w:val="18"/>
              </w:rPr>
              <w:t xml:space="preserve">2 ans : 0.240 (0.030) </w:t>
            </w:r>
            <w:r>
              <w:rPr>
                <w:sz w:val="18"/>
              </w:rPr>
              <w:t xml:space="preserve">p=0.865</w:t>
            </w:r>
          </w:p>
          <w:p w:rsidR="00432386" w:rsidRDefault="00432386">
            <w:pPr>
              <w:pStyle w:val="TableParagraph"/>
              <w:spacing w:before="6"/>
              <w:rPr>
                <w:b/>
                <w:sz w:val="17"/>
              </w:rPr>
            </w:pPr>
          </w:p>
          <w:p>
            <w:pPr>
              <w:pStyle w:val="TableParagraph"/>
              <w:spacing w:before="1"/>
              <w:ind w:start="488" w:end="463" w:firstLine="636"/>
              <w:rPr>
                <w:sz w:val="18"/>
              </w:rPr>
            </w:pPr>
            <w:r>
              <w:rPr>
                <w:sz w:val="18"/>
              </w:rPr>
              <w:t xml:space="preserve">z-score au </w:t>
            </w:r>
            <w:r>
              <w:rPr>
                <w:sz w:val="18"/>
              </w:rPr>
              <w:t xml:space="preserve">départ : </w:t>
            </w:r>
            <w:r>
              <w:rPr>
                <w:sz w:val="18"/>
              </w:rPr>
              <w:t xml:space="preserve">0.486 </w:t>
            </w:r>
            <w:r>
              <w:rPr>
                <w:sz w:val="18"/>
              </w:rPr>
              <w:t xml:space="preserve">(0.809)</w:t>
            </w:r>
          </w:p>
          <w:p>
            <w:pPr>
              <w:pStyle w:val="TableParagraph"/>
              <w:spacing w:line="206" w:lineRule="exact"/>
              <w:ind w:start="151" w:end="138"/>
              <w:jc w:val="center"/>
              <w:rPr>
                <w:sz w:val="18"/>
              </w:rPr>
            </w:pPr>
            <w:r>
              <w:rPr>
                <w:sz w:val="18"/>
              </w:rPr>
              <w:t xml:space="preserve">2 </w:t>
            </w:r>
            <w:r>
              <w:rPr>
                <w:sz w:val="18"/>
              </w:rPr>
              <w:t xml:space="preserve">ans : </w:t>
            </w:r>
            <w:r>
              <w:rPr>
                <w:sz w:val="18"/>
              </w:rPr>
              <w:t xml:space="preserve">−0.279 </w:t>
            </w:r>
            <w:r>
              <w:rPr>
                <w:sz w:val="18"/>
              </w:rPr>
              <w:t xml:space="preserve">(0.930)</w:t>
            </w:r>
          </w:p>
          <w:p>
            <w:pPr>
              <w:pStyle w:val="TableParagraph"/>
              <w:spacing w:before="1" w:line="187"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de </w:t>
            </w:r>
            <w:r>
              <w:rPr>
                <w:b/>
                <w:i/>
                <w:sz w:val="20"/>
              </w:rPr>
              <w:t xml:space="preserve">la 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2 </w:t>
            </w:r>
            <w:r>
              <w:rPr>
                <w:b/>
                <w:i/>
                <w:sz w:val="20"/>
              </w:rPr>
              <w:t xml:space="preserve">ans </w:t>
            </w:r>
            <w:r>
              <w:rPr>
                <w:b/>
                <w:i/>
                <w:sz w:val="20"/>
              </w:rPr>
              <w:t xml:space="preserve">chez </w:t>
            </w:r>
            <w:r>
              <w:rPr>
                <w:b/>
                <w:i/>
                <w:sz w:val="20"/>
              </w:rPr>
              <w:t xml:space="preserve">les transmales</w:t>
            </w:r>
          </w:p>
        </w:tc>
      </w:tr>
      <w:tr w:rsidR="00432386">
        <w:trPr>
          <w:trHeight w:val="1036"/>
        </w:trPr>
        <w:tc>
          <w:tcPr>
            <w:tcW w:w="1133" w:type="dxa"/>
          </w:tcPr>
          <w:p>
            <w:pPr>
              <w:pStyle w:val="TableParagraph"/>
              <w:spacing w:before="176"/>
              <w:ind w:start="107"/>
              <w:rPr>
                <w:sz w:val="18"/>
              </w:rPr>
            </w:pPr>
            <w:r>
              <w:rPr>
                <w:sz w:val="18"/>
              </w:rPr>
              <w:t xml:space="preserve">1</w:t>
            </w:r>
          </w:p>
          <w:p>
            <w:pPr>
              <w:pStyle w:val="TableParagraph"/>
              <w:spacing w:before="2"/>
              <w:ind w:start="107" w:end="165"/>
              <w:rPr>
                <w:sz w:val="18"/>
              </w:rPr>
            </w:pPr>
            <w:r>
              <w:rPr>
                <w:sz w:val="18"/>
              </w:rPr>
              <w:t xml:space="preserve">étude </w:t>
            </w:r>
            <w:r>
              <w:rPr>
                <w:sz w:val="18"/>
              </w:rPr>
              <w:t xml:space="preserve">d'</w:t>
            </w:r>
            <w:r>
              <w:rPr>
                <w:sz w:val="18"/>
              </w:rPr>
              <w:t xml:space="preserve">observation</w:t>
            </w:r>
          </w:p>
        </w:tc>
        <w:tc>
          <w:tcPr>
            <w:tcW w:w="1135" w:type="dxa"/>
          </w:tcPr>
          <w:p w:rsidR="00432386" w:rsidRDefault="00432386">
            <w:pPr>
              <w:pStyle w:val="TableParagraph"/>
              <w:spacing w:before="3"/>
              <w:rPr>
                <w:b/>
                <w:sz w:val="27"/>
              </w:rPr>
            </w:pPr>
          </w:p>
          <w:p>
            <w:pPr>
              <w:pStyle w:val="TableParagraph"/>
              <w:spacing w:before="1"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7"/>
              </w:rPr>
            </w:pPr>
          </w:p>
          <w:p>
            <w:pPr>
              <w:pStyle w:val="TableParagraph"/>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7"/>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16"/>
              </w:rPr>
            </w:pPr>
          </w:p>
          <w:p>
            <w:pPr>
              <w:pStyle w:val="TableParagraph"/>
              <w:ind w:start="88" w:end="75"/>
              <w:jc w:val="center"/>
              <w:rPr>
                <w:sz w:val="18"/>
              </w:rPr>
            </w:pPr>
            <w:r>
              <w:rPr>
                <w:sz w:val="18"/>
              </w:rPr>
              <w:t xml:space="preserve">N=21</w:t>
            </w:r>
          </w:p>
        </w:tc>
        <w:tc>
          <w:tcPr>
            <w:tcW w:w="1274" w:type="dxa"/>
          </w:tcPr>
          <w:p w:rsidR="00432386" w:rsidRDefault="00432386">
            <w:pPr>
              <w:pStyle w:val="TableParagraph"/>
              <w:rPr>
                <w:b/>
                <w:sz w:val="20"/>
              </w:rPr>
            </w:pPr>
          </w:p>
          <w:p w:rsidR="00432386" w:rsidRDefault="00432386">
            <w:pPr>
              <w:pStyle w:val="TableParagraph"/>
              <w:rPr>
                <w:b/>
                <w:sz w:val="16"/>
              </w:rPr>
            </w:pPr>
          </w:p>
          <w:p>
            <w:pPr>
              <w:pStyle w:val="TableParagraph"/>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(SD), g/cm3 </w:t>
            </w:r>
            <w:r>
              <w:rPr>
                <w:sz w:val="18"/>
              </w:rPr>
              <w:t xml:space="preserve">Ligne de base : </w:t>
            </w:r>
            <w:r>
              <w:rPr>
                <w:sz w:val="18"/>
              </w:rPr>
              <w:t xml:space="preserve">0,195 </w:t>
            </w:r>
            <w:r>
              <w:rPr>
                <w:sz w:val="18"/>
              </w:rPr>
              <w:t xml:space="preserve">(0,058)</w:t>
            </w:r>
          </w:p>
          <w:p>
            <w:pPr>
              <w:pStyle w:val="TableParagraph"/>
              <w:ind w:start="288" w:end="273"/>
              <w:jc w:val="center"/>
              <w:rPr>
                <w:sz w:val="18"/>
              </w:rPr>
            </w:pPr>
            <w:r>
              <w:rPr>
                <w:sz w:val="18"/>
              </w:rPr>
              <w:t xml:space="preserve">2 ans : 0.198 (0.055) </w:t>
            </w:r>
            <w:r>
              <w:rPr>
                <w:sz w:val="18"/>
              </w:rPr>
              <w:t xml:space="preserve">p=0.433</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16"/>
              </w:rPr>
            </w:pPr>
          </w:p>
          <w:p>
            <w:pPr>
              <w:pStyle w:val="TableParagraph"/>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817"/>
        </w:trPr>
        <w:tc>
          <w:tcPr>
            <w:tcW w:w="1133" w:type="dxa"/>
          </w:tcPr>
          <w:p>
            <w:pPr>
              <w:pStyle w:val="TableParagraph"/>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2836" w:type="dxa"/>
          </w:tcPr>
          <w:p>
            <w:pPr>
              <w:pStyle w:val="TableParagraph"/>
              <w:spacing w:line="196" w:lineRule="exact"/>
              <w:ind w:start="151" w:end="137"/>
              <w:jc w:val="center"/>
              <w:rPr>
                <w:sz w:val="18"/>
              </w:rPr>
            </w:pPr>
            <w:r>
              <w:rPr>
                <w:sz w:val="18"/>
              </w:rPr>
              <w:t xml:space="preserve">z-score</w:t>
            </w:r>
          </w:p>
          <w:p>
            <w:pPr>
              <w:pStyle w:val="TableParagraph"/>
              <w:spacing w:line="206" w:lineRule="exact"/>
              <w:ind w:start="151" w:end="136"/>
              <w:jc w:val="center"/>
              <w:rPr>
                <w:sz w:val="18"/>
              </w:rPr>
            </w:pPr>
            <w:r>
              <w:rPr>
                <w:sz w:val="18"/>
              </w:rPr>
              <w:t xml:space="preserve">Ligne de base : </w:t>
            </w:r>
            <w:r>
              <w:rPr>
                <w:sz w:val="18"/>
              </w:rPr>
              <w:t xml:space="preserve">−0.361 </w:t>
            </w:r>
            <w:r>
              <w:rPr>
                <w:sz w:val="18"/>
              </w:rPr>
              <w:t xml:space="preserve">(1.439)</w:t>
            </w:r>
          </w:p>
          <w:p>
            <w:pPr>
              <w:pStyle w:val="TableParagraph"/>
              <w:spacing w:line="207" w:lineRule="exact"/>
              <w:ind w:start="151" w:end="138"/>
              <w:jc w:val="center"/>
              <w:rPr>
                <w:sz w:val="18"/>
              </w:rPr>
            </w:pPr>
            <w:r>
              <w:rPr>
                <w:sz w:val="18"/>
              </w:rPr>
              <w:t xml:space="preserve">2 </w:t>
            </w:r>
            <w:r>
              <w:rPr>
                <w:sz w:val="18"/>
              </w:rPr>
              <w:t xml:space="preserve">ans : </w:t>
            </w:r>
            <w:r>
              <w:rPr>
                <w:sz w:val="18"/>
              </w:rPr>
              <w:t xml:space="preserve">−0.913 </w:t>
            </w:r>
            <w:r>
              <w:rPr>
                <w:sz w:val="18"/>
              </w:rPr>
              <w:t xml:space="preserve">(1.318)</w:t>
            </w:r>
          </w:p>
          <w:p>
            <w:pPr>
              <w:pStyle w:val="TableParagraph"/>
              <w:spacing w:before="2" w:line="187" w:lineRule="exact"/>
              <w:ind w:start="151" w:end="135"/>
              <w:jc w:val="center"/>
              <w:rPr>
                <w:sz w:val="18"/>
              </w:rPr>
            </w:pPr>
            <w:r>
              <w:rPr>
                <w:sz w:val="18"/>
              </w:rPr>
              <w:t xml:space="preserve">p=0.001</w:t>
            </w:r>
          </w:p>
        </w:tc>
        <w:tc>
          <w:tcPr>
            <w:tcW w:w="1421" w:type="dxa"/>
          </w:tcPr>
          <w:p w:rsidR="00432386" w:rsidRDefault="00432386">
            <w:pPr>
              <w:pStyle w:val="TableParagraph"/>
              <w:rPr>
                <w:rFonts w:ascii="Times New Roman"/>
                <w:sz w:val="18"/>
              </w:rPr>
            </w:pPr>
          </w:p>
        </w:tc>
        <w:tc>
          <w:tcPr>
            <w:tcW w:w="1192" w:type="dxa"/>
          </w:tcPr>
          <w:p w:rsidR="00432386" w:rsidRDefault="00432386">
            <w:pPr>
              <w:pStyle w:val="TableParagraph"/>
              <w:rPr>
                <w:rFonts w:ascii="Times New Roman"/>
                <w:sz w:val="18"/>
              </w:rPr>
            </w:pPr>
          </w:p>
        </w:tc>
      </w:tr>
      <w:tr w:rsidR="00432386">
        <w:trPr>
          <w:trHeight w:val="461"/>
        </w:trPr>
        <w:tc>
          <w:tcPr>
            <w:tcW w:w="13950" w:type="dxa"/>
            <w:gridSpan w:val="10"/>
            <w:shd w:val="clear" w:color="auto" w:fill="C5D9F0"/>
          </w:tcPr>
          <w:p>
            <w:pPr>
              <w:pStyle w:val="TableParagraph"/>
              <w:spacing w:line="230"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 prise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14,9±1,9) </w:t>
            </w:r>
            <w:r>
              <w:rPr>
                <w:b/>
                <w:i/>
                <w:sz w:val="20"/>
              </w:rPr>
              <w:t xml:space="preserve">et le </w:t>
            </w:r>
            <w:r>
              <w:rPr>
                <w:b/>
                <w:i/>
                <w:sz w:val="20"/>
              </w:rPr>
              <w:t xml:space="preserve">début de la prise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16,6±1,4) </w:t>
            </w:r>
            <w:r>
              <w:rPr>
                <w:b/>
                <w:i/>
                <w:sz w:val="20"/>
              </w:rPr>
              <w:t xml:space="preserve">chez les </w:t>
            </w:r>
            <w:r>
              <w:rPr>
                <w:b/>
                <w:i/>
                <w:sz w:val="20"/>
              </w:rPr>
              <w:t xml:space="preserve">transfemmes.</w:t>
            </w:r>
          </w:p>
        </w:tc>
      </w:tr>
      <w:tr w:rsidR="00432386">
        <w:trPr>
          <w:trHeight w:val="2275"/>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9"/>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line="717" w:lineRule="auto"/>
              <w:ind w:start="349" w:end="317"/>
              <w:rPr>
                <w:sz w:val="18"/>
              </w:rPr>
            </w:pPr>
            <w:r>
              <w:rPr>
                <w:sz w:val="18"/>
              </w:rPr>
              <w:t xml:space="preserve">N=11 </w:t>
            </w:r>
            <w:r>
              <w:rPr>
                <w:sz w:val="18"/>
              </w:rPr>
              <w:t xml:space="preserve">N=12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9"/>
              </w:rPr>
            </w:pPr>
          </w:p>
          <w:p>
            <w:pPr>
              <w:pStyle w:val="TableParagraph"/>
              <w:spacing w:before="1"/>
              <w:ind w:start="153" w:end="136"/>
              <w:jc w:val="center"/>
              <w:rPr>
                <w:sz w:val="18"/>
              </w:rPr>
            </w:pPr>
            <w:r>
              <w:rPr>
                <w:sz w:val="18"/>
              </w:rPr>
              <w:t xml:space="preserve">Aucun</w:t>
            </w:r>
          </w:p>
        </w:tc>
        <w:tc>
          <w:tcPr>
            <w:tcW w:w="2836" w:type="dxa"/>
          </w:tcPr>
          <w:p>
            <w:pPr>
              <w:pStyle w:val="TableParagraph"/>
              <w:ind w:start="288" w:end="273" w:firstLine="417"/>
              <w:rPr>
                <w:sz w:val="18"/>
              </w:rPr>
            </w:pPr>
            <w:r>
              <w:rPr>
                <w:sz w:val="18"/>
              </w:rPr>
              <w:t xml:space="preserve">Moyenne (SD), g/cm3 </w:t>
            </w:r>
            <w:r>
              <w:rPr>
                <w:sz w:val="18"/>
              </w:rPr>
              <w:t xml:space="preserve">Analogue de la GnRH : 0,22 (0,03)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0,22 (0,02) </w:t>
            </w:r>
            <w:r>
              <w:rPr>
                <w:sz w:val="18"/>
              </w:rPr>
              <w:t xml:space="preserve">NS</w:t>
            </w:r>
          </w:p>
          <w:p w:rsidR="00432386" w:rsidRDefault="00432386">
            <w:pPr>
              <w:pStyle w:val="TableParagraph"/>
              <w:spacing w:before="5"/>
              <w:rPr>
                <w:b/>
                <w:sz w:val="17"/>
              </w:rPr>
            </w:pPr>
          </w:p>
          <w:p>
            <w:pPr>
              <w:pStyle w:val="TableParagraph"/>
              <w:spacing w:line="207" w:lineRule="exact"/>
              <w:ind w:start="151" w:end="137"/>
              <w:jc w:val="center"/>
              <w:rPr>
                <w:sz w:val="18"/>
              </w:rPr>
            </w:pPr>
            <w:r>
              <w:rPr>
                <w:sz w:val="18"/>
              </w:rPr>
              <w:t xml:space="preserve">z-score</w:t>
            </w:r>
          </w:p>
          <w:p>
            <w:pPr>
              <w:pStyle w:val="TableParagraph"/>
              <w:spacing w:line="207" w:lineRule="exact"/>
              <w:ind w:start="151" w:end="138"/>
              <w:jc w:val="center"/>
              <w:rPr>
                <w:sz w:val="18"/>
              </w:rPr>
            </w:pPr>
            <w:r>
              <w:rPr>
                <w:sz w:val="18"/>
              </w:rPr>
              <w:t xml:space="preserve">Analogue de la </w:t>
            </w:r>
            <w:r>
              <w:rPr>
                <w:sz w:val="18"/>
              </w:rPr>
              <w:t xml:space="preserve">GnRH </w:t>
            </w:r>
            <w:r>
              <w:rPr>
                <w:sz w:val="18"/>
              </w:rPr>
              <w:t xml:space="preserve">: </w:t>
            </w:r>
            <w:r>
              <w:rPr>
                <w:sz w:val="18"/>
              </w:rPr>
              <w:t xml:space="preserve">−0.44 </w:t>
            </w:r>
            <w:r>
              <w:rPr>
                <w:sz w:val="18"/>
              </w:rPr>
              <w:t xml:space="preserve">(1.10)</w:t>
            </w:r>
          </w:p>
          <w:p>
            <w:pPr>
              <w:pStyle w:val="TableParagraph"/>
              <w:spacing w:before="2"/>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7" w:lineRule="exact"/>
              <w:ind w:start="151" w:end="135"/>
              <w:jc w:val="center"/>
              <w:rPr>
                <w:sz w:val="18"/>
              </w:rPr>
            </w:pPr>
            <w:r>
              <w:rPr>
                <w:sz w:val="18"/>
              </w:rPr>
              <w:t xml:space="preserve">−0.90 </w:t>
            </w:r>
            <w:r>
              <w:rPr>
                <w:sz w:val="18"/>
              </w:rPr>
              <w:t xml:space="preserve">(0.80)</w:t>
            </w:r>
          </w:p>
          <w:p>
            <w:pPr>
              <w:pStyle w:val="TableParagraph"/>
              <w:spacing w:line="187" w:lineRule="exact"/>
              <w:ind w:start="151" w:end="137"/>
              <w:jc w:val="center"/>
              <w:rPr>
                <w:sz w:val="18"/>
              </w:rPr>
            </w:pPr>
            <w:r>
              <w:rPr>
                <w:sz w:val="18"/>
              </w:rPr>
              <w:t xml:space="preserve">p-value : </w:t>
            </w: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9"/>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9"/>
              </w:rPr>
            </w:pPr>
          </w:p>
          <w:p>
            <w:pPr>
              <w:pStyle w:val="TableParagraph"/>
              <w:spacing w:before="1"/>
              <w:ind w:start="104" w:end="88"/>
              <w:jc w:val="center"/>
              <w:rPr>
                <w:sz w:val="18"/>
              </w:rPr>
            </w:pPr>
            <w:r>
              <w:rPr>
                <w:sz w:val="18"/>
              </w:rPr>
              <w:t xml:space="preserve">TRES </w:t>
            </w:r>
            <w:r>
              <w:rPr>
                <w:sz w:val="18"/>
              </w:rPr>
              <w:t xml:space="preserve">FAIBLE</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15,0±2,0)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16,4±2,3) </w:t>
            </w:r>
            <w:r>
              <w:rPr>
                <w:b/>
                <w:i/>
                <w:sz w:val="20"/>
              </w:rPr>
              <w:t xml:space="preserve">chez </w:t>
            </w:r>
            <w:r>
              <w:rPr>
                <w:b/>
                <w:i/>
                <w:sz w:val="20"/>
              </w:rPr>
              <w:t xml:space="preserve">les transmales.</w:t>
            </w: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88" w:end="75"/>
              <w:jc w:val="center"/>
              <w:rPr>
                <w:sz w:val="18"/>
              </w:rPr>
            </w:pPr>
            <w:r>
              <w:rPr>
                <w:sz w:val="18"/>
              </w:rPr>
              <w:t xml:space="preserve">N=18</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53" w:end="136"/>
              <w:jc w:val="center"/>
              <w:rPr>
                <w:sz w:val="18"/>
              </w:rPr>
            </w:pPr>
            <w:r>
              <w:rPr>
                <w:sz w:val="18"/>
              </w:rPr>
              <w:t xml:space="preserve">Aucun</w:t>
            </w:r>
          </w:p>
        </w:tc>
        <w:tc>
          <w:tcPr>
            <w:tcW w:w="2836" w:type="dxa"/>
          </w:tcPr>
          <w:p>
            <w:pPr>
              <w:pStyle w:val="TableParagraph"/>
              <w:ind w:start="288" w:end="273" w:firstLine="417"/>
              <w:rPr>
                <w:sz w:val="18"/>
              </w:rPr>
            </w:pPr>
            <w:r>
              <w:rPr>
                <w:sz w:val="18"/>
              </w:rPr>
              <w:t xml:space="preserve">Moyenne (SD), g/cm3 </w:t>
            </w:r>
            <w:r>
              <w:rPr>
                <w:sz w:val="18"/>
              </w:rPr>
              <w:t xml:space="preserve">Analogue de la GnRH : 0,25 (0,03)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0,24 (0,02) </w:t>
            </w:r>
            <w:r>
              <w:rPr>
                <w:sz w:val="18"/>
              </w:rPr>
              <w:t xml:space="preserve">NS</w:t>
            </w:r>
          </w:p>
          <w:p w:rsidR="00432386" w:rsidRDefault="00432386">
            <w:pPr>
              <w:pStyle w:val="TableParagraph"/>
              <w:spacing w:before="8"/>
              <w:rPr>
                <w:b/>
                <w:sz w:val="17"/>
              </w:rPr>
            </w:pPr>
          </w:p>
          <w:p>
            <w:pPr>
              <w:pStyle w:val="TableParagraph"/>
              <w:ind w:start="151" w:end="137"/>
              <w:jc w:val="center"/>
              <w:rPr>
                <w:sz w:val="18"/>
              </w:rPr>
            </w:pPr>
            <w:r>
              <w:rPr>
                <w:sz w:val="18"/>
              </w:rPr>
              <w:t xml:space="preserve">z-score</w:t>
            </w:r>
          </w:p>
          <w:p>
            <w:pPr>
              <w:pStyle w:val="TableParagraph"/>
              <w:ind w:start="288" w:end="273"/>
              <w:jc w:val="center"/>
              <w:rPr>
                <w:sz w:val="18"/>
              </w:rPr>
            </w:pPr>
            <w:r>
              <w:rPr>
                <w:sz w:val="18"/>
              </w:rPr>
              <w:t xml:space="preserve">Analogue de la GnRH : 0,28 (0,90) </w:t>
            </w:r>
            <w:r>
              <w:rPr>
                <w:sz w:val="18"/>
              </w:rPr>
              <w:t xml:space="preserve">Hormones d'</w:t>
            </w:r>
            <w:r>
              <w:rPr>
                <w:sz w:val="18"/>
              </w:rPr>
              <w:t xml:space="preserve">affirmation du genre </w:t>
            </w:r>
            <w:r>
              <w:rPr>
                <w:sz w:val="18"/>
              </w:rPr>
              <w:t xml:space="preserve">:</w:t>
            </w:r>
          </w:p>
          <w:p>
            <w:pPr>
              <w:pStyle w:val="TableParagraph"/>
              <w:spacing w:before="1" w:line="207" w:lineRule="exact"/>
              <w:ind w:start="151" w:end="135"/>
              <w:jc w:val="center"/>
              <w:rPr>
                <w:sz w:val="18"/>
              </w:rPr>
            </w:pPr>
            <w:r>
              <w:rPr>
                <w:sz w:val="18"/>
              </w:rPr>
              <w:t xml:space="preserve">−0.50 </w:t>
            </w:r>
            <w:r>
              <w:rPr>
                <w:sz w:val="18"/>
              </w:rPr>
              <w:t xml:space="preserve">(0.81)</w:t>
            </w:r>
          </w:p>
          <w:p>
            <w:pPr>
              <w:pStyle w:val="TableParagraph"/>
              <w:spacing w:line="187" w:lineRule="exact"/>
              <w:ind w:start="151" w:end="135"/>
              <w:jc w:val="center"/>
              <w:rPr>
                <w:sz w:val="18"/>
              </w:rPr>
            </w:pPr>
            <w:r>
              <w:rPr>
                <w:sz w:val="18"/>
              </w:rPr>
              <w:t xml:space="preserve">p-value : </w:t>
            </w:r>
            <w:r>
              <w:rPr>
                <w:sz w:val="18"/>
              </w:rPr>
              <w:t xml:space="preserve">0,004</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transfemmes </w:t>
            </w:r>
            <w:r>
              <w:rPr>
                <w:b/>
                <w:i/>
                <w:sz w:val="20"/>
              </w:rPr>
              <w:t xml:space="preserve">(</w:t>
            </w:r>
            <w:r>
              <w:rPr>
                <w:b/>
                <w:i/>
                <w:sz w:val="20"/>
              </w:rPr>
              <w:t xml:space="preserve">âge </w:t>
            </w:r>
            <w:r>
              <w:rPr>
                <w:b/>
                <w:i/>
                <w:sz w:val="20"/>
              </w:rPr>
              <w:t xml:space="preserve">osseux </w:t>
            </w:r>
            <w:r>
              <w:rPr>
                <w:b/>
                <w:i/>
                <w:sz w:val="20"/>
              </w:rPr>
              <w:t xml:space="preserve">de </w:t>
            </w:r>
            <w:r>
              <w:rPr>
                <w:b/>
                <w:i/>
                <w:sz w:val="20"/>
              </w:rPr>
              <w:t xml:space="preserve">&lt;15 </w:t>
            </w:r>
            <w:r>
              <w:rPr>
                <w:b/>
                <w:i/>
                <w:sz w:val="20"/>
              </w:rPr>
              <w:t xml:space="preserve">ans)</w:t>
            </w:r>
          </w:p>
        </w:tc>
      </w:tr>
      <w:tr w:rsidR="00432386">
        <w:trPr>
          <w:trHeight w:val="1154"/>
        </w:trPr>
        <w:tc>
          <w:tcPr>
            <w:tcW w:w="1133" w:type="dxa"/>
          </w:tcPr>
          <w:p>
            <w:pPr>
              <w:pStyle w:val="TableParagraph"/>
              <w:spacing w:line="206"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8"/>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pPr>
              <w:pStyle w:val="TableParagraph"/>
              <w:spacing w:before="142"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pPr>
              <w:pStyle w:val="TableParagraph"/>
              <w:spacing w:before="138"/>
              <w:ind w:start="156" w:end="139" w:firstLine="48"/>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1"/>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pPr>
              <w:pStyle w:val="TableParagraph"/>
              <w:spacing w:before="138"/>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1"/>
              </w:rPr>
            </w:pPr>
          </w:p>
          <w:p>
            <w:pPr>
              <w:pStyle w:val="TableParagraph"/>
              <w:ind w:start="88" w:end="75"/>
              <w:jc w:val="center"/>
              <w:rPr>
                <w:sz w:val="18"/>
              </w:rPr>
            </w:pPr>
            <w:r>
              <w:rPr>
                <w:sz w:val="18"/>
              </w:rPr>
              <w:t xml:space="preserve">N=15</w:t>
            </w:r>
          </w:p>
        </w:tc>
        <w:tc>
          <w:tcPr>
            <w:tcW w:w="1274" w:type="dxa"/>
          </w:tcPr>
          <w:p w:rsidR="00432386" w:rsidRDefault="00432386">
            <w:pPr>
              <w:pStyle w:val="TableParagraph"/>
              <w:rPr>
                <w:b/>
                <w:sz w:val="20"/>
              </w:rPr>
            </w:pPr>
          </w:p>
          <w:p w:rsidR="00432386" w:rsidRDefault="00432386">
            <w:pPr>
              <w:pStyle w:val="TableParagraph"/>
              <w:rPr>
                <w:b/>
                <w:sz w:val="21"/>
              </w:rPr>
            </w:pPr>
          </w:p>
          <w:p>
            <w:pPr>
              <w:pStyle w:val="TableParagraph"/>
              <w:ind w:start="153" w:end="136"/>
              <w:jc w:val="center"/>
              <w:rPr>
                <w:sz w:val="18"/>
              </w:rPr>
            </w:pPr>
            <w:r>
              <w:rPr>
                <w:sz w:val="18"/>
              </w:rPr>
              <w:t xml:space="preserve">Aucun</w:t>
            </w:r>
          </w:p>
        </w:tc>
        <w:tc>
          <w:tcPr>
            <w:tcW w:w="2836" w:type="dxa"/>
          </w:tcPr>
          <w:p>
            <w:pPr>
              <w:pStyle w:val="TableParagraph"/>
              <w:spacing w:before="55"/>
              <w:ind w:start="216" w:end="199" w:firstLine="314"/>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0,21 </w:t>
            </w:r>
            <w:r>
              <w:rPr>
                <w:sz w:val="18"/>
              </w:rPr>
              <w:t xml:space="preserve">(0,17 </w:t>
            </w:r>
            <w:r>
              <w:rPr>
                <w:sz w:val="18"/>
              </w:rPr>
              <w:t xml:space="preserve">à</w:t>
            </w:r>
          </w:p>
          <w:p>
            <w:pPr>
              <w:pStyle w:val="TableParagraph"/>
              <w:spacing w:line="205" w:lineRule="exact"/>
              <w:ind w:start="151" w:end="134"/>
              <w:jc w:val="center"/>
              <w:rPr>
                <w:sz w:val="18"/>
              </w:rPr>
            </w:pPr>
            <w:r>
              <w:rPr>
                <w:sz w:val="18"/>
              </w:rPr>
              <w:t xml:space="preserve">0.25)</w:t>
            </w:r>
          </w:p>
          <w:p>
            <w:pPr>
              <w:pStyle w:val="TableParagraph"/>
              <w:ind w:start="151" w:end="135"/>
              <w:jc w:val="center"/>
              <w:rPr>
                <w:sz w:val="18"/>
              </w:rPr>
            </w:pPr>
            <w:r>
              <w:rPr>
                <w:sz w:val="18"/>
              </w:rPr>
              <w:t xml:space="preserve">Hormones d'affirmation du genre : </w:t>
            </w:r>
            <w:r>
              <w:rPr>
                <w:sz w:val="18"/>
              </w:rPr>
              <w:t xml:space="preserve">0,20 </w:t>
            </w:r>
            <w:r>
              <w:rPr>
                <w:sz w:val="18"/>
              </w:rPr>
              <w:t xml:space="preserve">(0,18 </w:t>
            </w:r>
            <w:r>
              <w:rPr>
                <w:sz w:val="18"/>
              </w:rPr>
              <w:t xml:space="preserve">à 0,24)</w:t>
            </w:r>
          </w:p>
        </w:tc>
        <w:tc>
          <w:tcPr>
            <w:tcW w:w="1421" w:type="dxa"/>
          </w:tcPr>
          <w:p w:rsidR="00432386" w:rsidRDefault="00432386">
            <w:pPr>
              <w:pStyle w:val="TableParagraph"/>
              <w:rPr>
                <w:b/>
                <w:sz w:val="20"/>
              </w:rPr>
            </w:pPr>
          </w:p>
          <w:p w:rsidR="00432386" w:rsidRDefault="00432386">
            <w:pPr>
              <w:pStyle w:val="TableParagraph"/>
              <w:rPr>
                <w:b/>
                <w:sz w:val="21"/>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1"/>
              </w:rPr>
            </w:pPr>
          </w:p>
          <w:p>
            <w:pPr>
              <w:pStyle w:val="TableParagraph"/>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1646"/>
        </w:trPr>
        <w:tc>
          <w:tcPr>
            <w:tcW w:w="1133" w:type="dxa"/>
          </w:tcPr>
          <w:p w:rsidR="00432386" w:rsidRDefault="00432386">
            <w:pPr>
              <w:pStyle w:val="TableParagraph"/>
              <w:rPr>
                <w:rFonts w:ascii="Times New Roman"/>
                <w:sz w:val="18"/>
              </w:rPr>
            </w:pPr>
          </w:p>
        </w:tc>
        <w:tc>
          <w:tcPr>
            <w:tcW w:w="1135"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2836" w:type="dxa"/>
          </w:tcPr>
          <w:p>
            <w:pPr>
              <w:pStyle w:val="TableParagraph"/>
              <w:spacing w:line="196" w:lineRule="exact"/>
              <w:ind w:start="151" w:end="139"/>
              <w:jc w:val="center"/>
              <w:rPr>
                <w:sz w:val="18"/>
              </w:rPr>
            </w:pPr>
            <w:r>
              <w:rPr>
                <w:sz w:val="18"/>
              </w:rPr>
              <w:t xml:space="preserve">NS</w:t>
            </w:r>
          </w:p>
          <w:p w:rsidR="00432386" w:rsidRDefault="00432386">
            <w:pPr>
              <w:pStyle w:val="TableParagraph"/>
              <w:spacing w:before="10"/>
              <w:rPr>
                <w:b/>
                <w:sz w:val="17"/>
              </w:rPr>
            </w:pPr>
          </w:p>
          <w:p>
            <w:pPr>
              <w:pStyle w:val="TableParagraph"/>
              <w:ind w:start="151" w:end="137"/>
              <w:jc w:val="center"/>
              <w:rPr>
                <w:sz w:val="18"/>
              </w:rPr>
            </w:pPr>
            <w:r>
              <w:rPr>
                <w:sz w:val="18"/>
              </w:rPr>
              <w:t xml:space="preserve">z-score</w:t>
            </w:r>
          </w:p>
          <w:p>
            <w:pPr>
              <w:pStyle w:val="TableParagraph"/>
              <w:spacing w:before="2" w:line="207"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-0,20 </w:t>
            </w:r>
            <w:r>
              <w:rPr>
                <w:sz w:val="18"/>
              </w:rPr>
              <w:t xml:space="preserve">(-1,82 </w:t>
            </w:r>
            <w:r>
              <w:rPr>
                <w:sz w:val="18"/>
              </w:rPr>
              <w:t xml:space="preserve">à</w:t>
            </w:r>
          </w:p>
          <w:p>
            <w:pPr>
              <w:pStyle w:val="TableParagraph"/>
              <w:spacing w:line="207" w:lineRule="exact"/>
              <w:ind w:start="151" w:end="134"/>
              <w:jc w:val="center"/>
              <w:rPr>
                <w:sz w:val="18"/>
              </w:rPr>
            </w:pPr>
            <w:r>
              <w:rPr>
                <w:sz w:val="18"/>
              </w:rPr>
              <w:t xml:space="preserve">1.18)</w:t>
            </w:r>
          </w:p>
          <w:p>
            <w:pPr>
              <w:pStyle w:val="TableParagraph"/>
              <w:spacing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7" w:lineRule="exact"/>
              <w:ind w:start="151" w:end="135"/>
              <w:jc w:val="center"/>
              <w:rPr>
                <w:sz w:val="18"/>
              </w:rPr>
            </w:pPr>
            <w:r>
              <w:rPr>
                <w:sz w:val="18"/>
              </w:rPr>
              <w:t xml:space="preserve">-1,52 </w:t>
            </w:r>
            <w:r>
              <w:rPr>
                <w:sz w:val="18"/>
              </w:rPr>
              <w:t xml:space="preserve">(-2,36 à </w:t>
            </w:r>
            <w:r>
              <w:rPr>
                <w:sz w:val="18"/>
              </w:rPr>
              <w:t xml:space="preserve">0,42)</w:t>
            </w:r>
          </w:p>
          <w:p>
            <w:pPr>
              <w:pStyle w:val="TableParagraph"/>
              <w:spacing w:before="2" w:line="187" w:lineRule="exact"/>
              <w:ind w:start="151" w:end="135"/>
              <w:jc w:val="center"/>
              <w:rPr>
                <w:sz w:val="18"/>
              </w:rPr>
            </w:pPr>
            <w:r>
              <w:rPr>
                <w:sz w:val="18"/>
              </w:rPr>
              <w:t xml:space="preserve">Valeur p : </w:t>
            </w:r>
            <w:r>
              <w:rPr>
                <w:sz w:val="18"/>
              </w:rPr>
              <w:t xml:space="preserve">&lt;0,01</w:t>
            </w:r>
          </w:p>
        </w:tc>
        <w:tc>
          <w:tcPr>
            <w:tcW w:w="1421" w:type="dxa"/>
          </w:tcPr>
          <w:p w:rsidR="00432386" w:rsidRDefault="00432386">
            <w:pPr>
              <w:pStyle w:val="TableParagraph"/>
              <w:rPr>
                <w:rFonts w:ascii="Times New Roman"/>
                <w:sz w:val="18"/>
              </w:rPr>
            </w:pPr>
          </w:p>
        </w:tc>
        <w:tc>
          <w:tcPr>
            <w:tcW w:w="1192" w:type="dxa"/>
          </w:tcPr>
          <w:p w:rsidR="00432386" w:rsidRDefault="00432386">
            <w:pPr>
              <w:pStyle w:val="TableParagraph"/>
              <w:rPr>
                <w:rFonts w:ascii="Times New Roman"/>
                <w:sz w:val="18"/>
              </w:rPr>
            </w:pP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transfemmes </w:t>
            </w:r>
            <w:r>
              <w:rPr>
                <w:b/>
                <w:i/>
                <w:sz w:val="20"/>
              </w:rPr>
              <w:t xml:space="preserve">(</w:t>
            </w:r>
            <w:r>
              <w:rPr>
                <w:b/>
                <w:i/>
                <w:sz w:val="20"/>
              </w:rPr>
              <w:t xml:space="preserve">âge </w:t>
            </w:r>
            <w:r>
              <w:rPr>
                <w:b/>
                <w:i/>
                <w:sz w:val="20"/>
              </w:rPr>
              <w:t xml:space="preserve">osseux </w:t>
            </w:r>
            <w:r>
              <w:rPr>
                <w:b/>
                <w:i/>
                <w:sz w:val="20"/>
              </w:rPr>
              <w:t xml:space="preserve">de</w:t>
            </w:r>
            <w:r>
              <w:rPr>
                <w:b/>
                <w:i/>
                <w:spacing w:val="-4"/>
                <w:sz w:val="20"/>
              </w:rPr>
              <w:t xml:space="preserve"> ≥15</w:t>
            </w:r>
            <w:r>
              <w:rPr>
                <w:b/>
                <w:i/>
                <w:sz w:val="20"/>
              </w:rPr>
              <w:t xml:space="preserve">).</w:t>
            </w:r>
          </w:p>
        </w:tc>
      </w:tr>
      <w:tr w:rsidR="00432386">
        <w:trPr>
          <w:trHeight w:val="2692"/>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ind w:start="107"/>
              <w:rPr>
                <w:sz w:val="18"/>
              </w:rPr>
            </w:pPr>
            <w:r>
              <w:rPr>
                <w:sz w:val="18"/>
              </w:rPr>
              <w:t xml:space="preserve">1</w:t>
            </w:r>
          </w:p>
          <w:p>
            <w:pPr>
              <w:pStyle w:val="TableParagraph"/>
              <w:spacing w:before="2"/>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19"/>
              </w:rPr>
            </w:pPr>
          </w:p>
          <w:p>
            <w:pPr>
              <w:pStyle w:val="TableParagraph"/>
              <w:spacing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19"/>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19"/>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ind w:start="88" w:end="75"/>
              <w:jc w:val="center"/>
              <w:rPr>
                <w:sz w:val="18"/>
              </w:rPr>
            </w:pPr>
            <w:r>
              <w:rPr>
                <w:sz w:val="18"/>
              </w:rPr>
              <w:t xml:space="preserve">N=5</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ind w:start="153" w:end="136"/>
              <w:jc w:val="center"/>
              <w:rPr>
                <w:sz w:val="18"/>
              </w:rPr>
            </w:pPr>
            <w:r>
              <w:rPr>
                <w:sz w:val="18"/>
              </w:rPr>
              <w:t xml:space="preserve">Aucun</w:t>
            </w:r>
          </w:p>
        </w:tc>
        <w:tc>
          <w:tcPr>
            <w:tcW w:w="2836" w:type="dxa"/>
          </w:tcPr>
          <w:p>
            <w:pPr>
              <w:pStyle w:val="TableParagraph"/>
              <w:spacing w:line="242" w:lineRule="auto"/>
              <w:ind w:start="216" w:end="199" w:firstLine="314"/>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0,22 </w:t>
            </w:r>
            <w:r>
              <w:rPr>
                <w:sz w:val="18"/>
              </w:rPr>
              <w:t xml:space="preserve">(0,18 </w:t>
            </w:r>
            <w:r>
              <w:rPr>
                <w:sz w:val="18"/>
              </w:rPr>
              <w:t xml:space="preserve">à</w:t>
            </w:r>
          </w:p>
          <w:p>
            <w:pPr>
              <w:pStyle w:val="TableParagraph"/>
              <w:spacing w:line="204" w:lineRule="exact"/>
              <w:ind w:start="151" w:end="134"/>
              <w:jc w:val="center"/>
              <w:rPr>
                <w:sz w:val="18"/>
              </w:rPr>
            </w:pPr>
            <w:r>
              <w:rPr>
                <w:sz w:val="18"/>
              </w:rPr>
              <w:t xml:space="preserve">0.25)</w:t>
            </w:r>
          </w:p>
          <w:p>
            <w:pPr>
              <w:pStyle w:val="TableParagraph"/>
              <w:ind w:start="151" w:end="135"/>
              <w:jc w:val="center"/>
              <w:rPr>
                <w:sz w:val="18"/>
              </w:rPr>
            </w:pPr>
            <w:r>
              <w:rPr>
                <w:sz w:val="18"/>
              </w:rPr>
              <w:t xml:space="preserve">Hormones d'affirmation du genre : </w:t>
            </w:r>
            <w:r>
              <w:rPr>
                <w:sz w:val="18"/>
              </w:rPr>
              <w:t xml:space="preserve">0,22 </w:t>
            </w:r>
            <w:r>
              <w:rPr>
                <w:sz w:val="18"/>
              </w:rPr>
              <w:t xml:space="preserve">(0,19 </w:t>
            </w:r>
            <w:r>
              <w:rPr>
                <w:sz w:val="18"/>
              </w:rPr>
              <w:t xml:space="preserve">à 0,24)</w:t>
            </w:r>
          </w:p>
          <w:p>
            <w:pPr>
              <w:pStyle w:val="TableParagraph"/>
              <w:ind w:start="151" w:end="139"/>
              <w:jc w:val="center"/>
              <w:rPr>
                <w:sz w:val="18"/>
              </w:rPr>
            </w:pPr>
            <w:r>
              <w:rPr>
                <w:sz w:val="18"/>
              </w:rPr>
              <w:t xml:space="preserve">NS</w:t>
            </w:r>
          </w:p>
          <w:p w:rsidR="00432386" w:rsidRDefault="00432386">
            <w:pPr>
              <w:pStyle w:val="TableParagraph"/>
              <w:spacing w:before="6"/>
              <w:rPr>
                <w:b/>
                <w:sz w:val="17"/>
              </w:rPr>
            </w:pPr>
          </w:p>
          <w:p>
            <w:pPr>
              <w:pStyle w:val="TableParagraph"/>
              <w:spacing w:before="1" w:line="207" w:lineRule="exact"/>
              <w:ind w:start="151" w:end="137"/>
              <w:jc w:val="center"/>
              <w:rPr>
                <w:sz w:val="18"/>
              </w:rPr>
            </w:pPr>
            <w:r>
              <w:rPr>
                <w:sz w:val="18"/>
              </w:rPr>
              <w:t xml:space="preserve">z-score</w:t>
            </w:r>
          </w:p>
          <w:p>
            <w:pPr>
              <w:pStyle w:val="TableParagraph"/>
              <w:spacing w:line="207"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-1,18 </w:t>
            </w:r>
            <w:r>
              <w:rPr>
                <w:sz w:val="18"/>
              </w:rPr>
              <w:t xml:space="preserve">(-1,78 </w:t>
            </w:r>
            <w:r>
              <w:rPr>
                <w:sz w:val="18"/>
              </w:rPr>
              <w:t xml:space="preserve">à</w:t>
            </w:r>
          </w:p>
          <w:p>
            <w:pPr>
              <w:pStyle w:val="TableParagraph"/>
              <w:spacing w:before="1" w:line="207" w:lineRule="exact"/>
              <w:ind w:start="151" w:end="134"/>
              <w:jc w:val="center"/>
              <w:rPr>
                <w:sz w:val="18"/>
              </w:rPr>
            </w:pPr>
            <w:r>
              <w:rPr>
                <w:sz w:val="18"/>
              </w:rPr>
              <w:t xml:space="preserve">1.09)</w:t>
            </w:r>
          </w:p>
          <w:p>
            <w:pPr>
              <w:pStyle w:val="TableParagraph"/>
              <w:spacing w:line="206"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-1,15 </w:t>
            </w:r>
            <w:r>
              <w:rPr>
                <w:sz w:val="18"/>
              </w:rPr>
              <w:t xml:space="preserve">(-2,21 à </w:t>
            </w:r>
            <w:r>
              <w:rPr>
                <w:sz w:val="18"/>
              </w:rPr>
              <w:t xml:space="preserve">0,08)</w:t>
            </w:r>
          </w:p>
          <w:p>
            <w:pPr>
              <w:pStyle w:val="TableParagraph"/>
              <w:spacing w:line="189" w:lineRule="exact"/>
              <w:ind w:start="151" w:end="135"/>
              <w:jc w:val="center"/>
              <w:rPr>
                <w:sz w:val="18"/>
              </w:rPr>
            </w:pPr>
            <w:r>
              <w:rPr>
                <w:sz w:val="18"/>
              </w:rPr>
              <w:t xml:space="preserve">Valeur p : </w:t>
            </w:r>
            <w:r>
              <w:rPr>
                <w:sz w:val="18"/>
              </w:rPr>
              <w:t xml:space="preserve">p≤0,1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transmaliens </w:t>
            </w:r>
            <w:r>
              <w:rPr>
                <w:b/>
                <w:i/>
                <w:sz w:val="20"/>
              </w:rPr>
              <w:t xml:space="preserve">(</w:t>
            </w:r>
            <w:r>
              <w:rPr>
                <w:b/>
                <w:i/>
                <w:sz w:val="20"/>
              </w:rPr>
              <w:t xml:space="preserve">âge </w:t>
            </w:r>
            <w:r>
              <w:rPr>
                <w:b/>
                <w:i/>
                <w:sz w:val="20"/>
              </w:rPr>
              <w:t xml:space="preserve">osseux </w:t>
            </w:r>
            <w:r>
              <w:rPr>
                <w:b/>
                <w:i/>
                <w:sz w:val="20"/>
              </w:rPr>
              <w:t xml:space="preserve">de </w:t>
            </w:r>
            <w:r>
              <w:rPr>
                <w:b/>
                <w:i/>
                <w:sz w:val="20"/>
              </w:rPr>
              <w:t xml:space="preserve">&lt;14 </w:t>
            </w:r>
            <w:r>
              <w:rPr>
                <w:b/>
                <w:i/>
                <w:sz w:val="20"/>
              </w:rPr>
              <w:t xml:space="preserve">ans)</w:t>
            </w:r>
          </w:p>
        </w:tc>
      </w:tr>
      <w:tr w:rsidR="00432386">
        <w:trPr>
          <w:trHeight w:val="2693"/>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spacing w:before="1"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19"/>
              </w:rPr>
            </w:pPr>
          </w:p>
          <w:p>
            <w:pPr>
              <w:pStyle w:val="TableParagraph"/>
              <w:spacing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88" w:end="75"/>
              <w:jc w:val="center"/>
              <w:rPr>
                <w:sz w:val="18"/>
              </w:rPr>
            </w:pPr>
            <w:r>
              <w:rPr>
                <w:sz w:val="18"/>
              </w:rPr>
              <w:t xml:space="preserve">N=11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53" w:end="136"/>
              <w:jc w:val="center"/>
              <w:rPr>
                <w:sz w:val="18"/>
              </w:rPr>
            </w:pPr>
            <w:r>
              <w:rPr>
                <w:sz w:val="18"/>
              </w:rPr>
              <w:t xml:space="preserve">Aucun</w:t>
            </w:r>
          </w:p>
        </w:tc>
        <w:tc>
          <w:tcPr>
            <w:tcW w:w="2836" w:type="dxa"/>
          </w:tcPr>
          <w:p>
            <w:pPr>
              <w:pStyle w:val="TableParagraph"/>
              <w:ind w:start="216" w:end="199" w:firstLine="314"/>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0,23 </w:t>
            </w:r>
            <w:r>
              <w:rPr>
                <w:sz w:val="18"/>
              </w:rPr>
              <w:t xml:space="preserve">(0,20 </w:t>
            </w:r>
            <w:r>
              <w:rPr>
                <w:sz w:val="18"/>
              </w:rPr>
              <w:t xml:space="preserve">à</w:t>
            </w:r>
          </w:p>
          <w:p>
            <w:pPr>
              <w:pStyle w:val="TableParagraph"/>
              <w:spacing w:line="207" w:lineRule="exact"/>
              <w:ind w:start="151" w:end="134"/>
              <w:jc w:val="center"/>
              <w:rPr>
                <w:sz w:val="18"/>
              </w:rPr>
            </w:pPr>
            <w:r>
              <w:rPr>
                <w:sz w:val="18"/>
              </w:rPr>
              <w:t xml:space="preserve">0.29)</w:t>
            </w:r>
          </w:p>
          <w:p>
            <w:pPr>
              <w:pStyle w:val="TableParagraph"/>
              <w:ind w:start="151" w:end="135"/>
              <w:jc w:val="center"/>
              <w:rPr>
                <w:sz w:val="18"/>
              </w:rPr>
            </w:pPr>
            <w:r>
              <w:rPr>
                <w:sz w:val="18"/>
              </w:rPr>
              <w:t xml:space="preserve">Hormones d'affirmation du genre : </w:t>
            </w:r>
            <w:r>
              <w:rPr>
                <w:sz w:val="18"/>
              </w:rPr>
              <w:t xml:space="preserve">0,23 </w:t>
            </w:r>
            <w:r>
              <w:rPr>
                <w:sz w:val="18"/>
              </w:rPr>
              <w:t xml:space="preserve">(0,19 </w:t>
            </w:r>
            <w:r>
              <w:rPr>
                <w:sz w:val="18"/>
              </w:rPr>
              <w:t xml:space="preserve">à 0,28)</w:t>
            </w:r>
          </w:p>
          <w:p>
            <w:pPr>
              <w:pStyle w:val="TableParagraph"/>
              <w:spacing w:line="206" w:lineRule="exact"/>
              <w:ind w:start="151" w:end="139"/>
              <w:jc w:val="center"/>
              <w:rPr>
                <w:sz w:val="18"/>
              </w:rPr>
            </w:pPr>
            <w:r>
              <w:rPr>
                <w:sz w:val="18"/>
              </w:rPr>
              <w:t xml:space="preserve">NS</w:t>
            </w:r>
          </w:p>
          <w:p w:rsidR="00432386" w:rsidRDefault="00432386">
            <w:pPr>
              <w:pStyle w:val="TableParagraph"/>
              <w:spacing w:before="9"/>
              <w:rPr>
                <w:b/>
                <w:sz w:val="17"/>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-0,05 </w:t>
            </w:r>
            <w:r>
              <w:rPr>
                <w:sz w:val="18"/>
              </w:rPr>
              <w:t xml:space="preserve">(-0,78 </w:t>
            </w:r>
            <w:r>
              <w:rPr>
                <w:sz w:val="18"/>
              </w:rPr>
              <w:t xml:space="preserve">à</w:t>
            </w:r>
          </w:p>
          <w:p>
            <w:pPr>
              <w:pStyle w:val="TableParagraph"/>
              <w:spacing w:line="207" w:lineRule="exact"/>
              <w:ind w:start="151" w:end="134"/>
              <w:jc w:val="center"/>
              <w:rPr>
                <w:sz w:val="18"/>
              </w:rPr>
            </w:pPr>
            <w:r>
              <w:rPr>
                <w:sz w:val="18"/>
              </w:rPr>
              <w:t xml:space="preserve">2.94)</w:t>
            </w:r>
          </w:p>
          <w:p>
            <w:pPr>
              <w:pStyle w:val="TableParagraph"/>
              <w:spacing w:before="2"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-0,84 </w:t>
            </w:r>
            <w:r>
              <w:rPr>
                <w:sz w:val="18"/>
              </w:rPr>
              <w:t xml:space="preserve">(-2,20 à </w:t>
            </w:r>
            <w:r>
              <w:rPr>
                <w:sz w:val="18"/>
              </w:rPr>
              <w:t xml:space="preserve">0,87)</w:t>
            </w:r>
          </w:p>
          <w:p>
            <w:pPr>
              <w:pStyle w:val="TableParagraph"/>
              <w:spacing w:line="190" w:lineRule="exact"/>
              <w:ind w:start="151" w:end="135"/>
              <w:jc w:val="center"/>
              <w:rPr>
                <w:sz w:val="18"/>
              </w:rPr>
            </w:pPr>
            <w:r>
              <w:rPr>
                <w:sz w:val="18"/>
              </w:rPr>
              <w:t xml:space="preserve">Valeur p :</w:t>
            </w:r>
            <w:r>
              <w:rPr>
                <w:spacing w:val="-1"/>
                <w:sz w:val="18"/>
              </w:rPr>
              <w:t xml:space="preserve"> ≤0</w:t>
            </w:r>
            <w:r>
              <w:rPr>
                <w:sz w:val="18"/>
              </w:rPr>
              <w:t xml:space="preserve">,01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transmales </w:t>
            </w:r>
            <w:r>
              <w:rPr>
                <w:b/>
                <w:i/>
                <w:sz w:val="20"/>
              </w:rPr>
              <w:t xml:space="preserve">(</w:t>
            </w:r>
            <w:r>
              <w:rPr>
                <w:b/>
                <w:i/>
                <w:sz w:val="20"/>
              </w:rPr>
              <w:t xml:space="preserve">âge </w:t>
            </w:r>
            <w:r>
              <w:rPr>
                <w:b/>
                <w:i/>
                <w:sz w:val="20"/>
              </w:rPr>
              <w:t xml:space="preserve">osseux </w:t>
            </w:r>
            <w:r>
              <w:rPr>
                <w:b/>
                <w:i/>
                <w:sz w:val="20"/>
              </w:rPr>
              <w:t xml:space="preserve">de</w:t>
            </w:r>
            <w:r>
              <w:rPr>
                <w:b/>
                <w:i/>
                <w:spacing w:val="-2"/>
                <w:sz w:val="20"/>
              </w:rPr>
              <w:t xml:space="preserve"> ≥14 ans</w:t>
            </w:r>
            <w:r>
              <w:rPr>
                <w:b/>
                <w:i/>
                <w:sz w:val="20"/>
              </w:rPr>
              <w:t xml:space="preserve">).</w:t>
            </w:r>
          </w:p>
        </w:tc>
      </w:tr>
      <w:tr w:rsidR="00432386">
        <w:trPr>
          <w:trHeight w:val="2692"/>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spacing w:before="1"/>
              <w:ind w:start="107"/>
              <w:rPr>
                <w:sz w:val="18"/>
              </w:rPr>
            </w:pPr>
            <w:r>
              <w:rPr>
                <w:sz w:val="18"/>
              </w:rPr>
              <w:t xml:space="preserve">1</w:t>
            </w:r>
          </w:p>
          <w:p>
            <w:pPr>
              <w:pStyle w:val="TableParagraph"/>
              <w:spacing w:before="1"/>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19"/>
              </w:rPr>
            </w:pPr>
          </w:p>
          <w:p>
            <w:pPr>
              <w:pStyle w:val="TableParagraph"/>
              <w:spacing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88" w:end="75"/>
              <w:jc w:val="center"/>
              <w:rPr>
                <w:sz w:val="18"/>
              </w:rPr>
            </w:pPr>
            <w:r>
              <w:rPr>
                <w:sz w:val="18"/>
              </w:rPr>
              <w:t xml:space="preserve">N=23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53" w:end="136"/>
              <w:jc w:val="center"/>
              <w:rPr>
                <w:sz w:val="18"/>
              </w:rPr>
            </w:pPr>
            <w:r>
              <w:rPr>
                <w:sz w:val="18"/>
              </w:rPr>
              <w:t xml:space="preserve">Aucun</w:t>
            </w:r>
          </w:p>
        </w:tc>
        <w:tc>
          <w:tcPr>
            <w:tcW w:w="2836" w:type="dxa"/>
          </w:tcPr>
          <w:p>
            <w:pPr>
              <w:pStyle w:val="TableParagraph"/>
              <w:ind w:start="216" w:end="199" w:firstLine="297"/>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0,26 </w:t>
            </w:r>
            <w:r>
              <w:rPr>
                <w:sz w:val="18"/>
              </w:rPr>
              <w:t xml:space="preserve">(0,21 </w:t>
            </w:r>
            <w:r>
              <w:rPr>
                <w:sz w:val="18"/>
              </w:rPr>
              <w:t xml:space="preserve">à</w:t>
            </w:r>
          </w:p>
          <w:p>
            <w:pPr>
              <w:pStyle w:val="TableParagraph"/>
              <w:spacing w:line="207" w:lineRule="exact"/>
              <w:ind w:start="151" w:end="134"/>
              <w:jc w:val="center"/>
              <w:rPr>
                <w:sz w:val="18"/>
              </w:rPr>
            </w:pPr>
            <w:r>
              <w:rPr>
                <w:sz w:val="18"/>
              </w:rPr>
              <w:t xml:space="preserve">0.29)</w:t>
            </w:r>
          </w:p>
          <w:p>
            <w:pPr>
              <w:pStyle w:val="TableParagraph"/>
              <w:ind w:start="151" w:end="135"/>
              <w:jc w:val="center"/>
              <w:rPr>
                <w:sz w:val="18"/>
              </w:rPr>
            </w:pPr>
            <w:r>
              <w:rPr>
                <w:sz w:val="18"/>
              </w:rPr>
              <w:t xml:space="preserve">Hormones d'affirmation du genre : </w:t>
            </w:r>
            <w:r>
              <w:rPr>
                <w:sz w:val="18"/>
              </w:rPr>
              <w:t xml:space="preserve">0,24 </w:t>
            </w:r>
            <w:r>
              <w:rPr>
                <w:sz w:val="18"/>
              </w:rPr>
              <w:t xml:space="preserve">(0,20 </w:t>
            </w:r>
            <w:r>
              <w:rPr>
                <w:sz w:val="18"/>
              </w:rPr>
              <w:t xml:space="preserve">à 0,28)</w:t>
            </w:r>
          </w:p>
          <w:p>
            <w:pPr>
              <w:pStyle w:val="TableParagraph"/>
              <w:spacing w:before="1"/>
              <w:ind w:start="151" w:end="135"/>
              <w:jc w:val="center"/>
              <w:rPr>
                <w:sz w:val="18"/>
              </w:rPr>
            </w:pPr>
            <w:r>
              <w:rPr>
                <w:sz w:val="18"/>
              </w:rPr>
              <w:t xml:space="preserve">p≤0.01</w:t>
            </w:r>
          </w:p>
          <w:p w:rsidR="00432386" w:rsidRDefault="00432386">
            <w:pPr>
              <w:pStyle w:val="TableParagraph"/>
              <w:spacing w:before="11"/>
              <w:rPr>
                <w:b/>
                <w:sz w:val="17"/>
              </w:rPr>
            </w:pPr>
          </w:p>
          <w:p>
            <w:pPr>
              <w:pStyle w:val="TableParagraph"/>
              <w:spacing w:line="207" w:lineRule="exact"/>
              <w:ind w:start="151" w:end="137"/>
              <w:jc w:val="center"/>
              <w:rPr>
                <w:sz w:val="18"/>
              </w:rPr>
            </w:pPr>
            <w:r>
              <w:rPr>
                <w:sz w:val="18"/>
              </w:rPr>
              <w:t xml:space="preserve">z-score</w:t>
            </w:r>
          </w:p>
          <w:p>
            <w:pPr>
              <w:pStyle w:val="TableParagraph"/>
              <w:spacing w:line="207" w:lineRule="exact"/>
              <w:ind w:start="151" w:end="139"/>
              <w:jc w:val="center"/>
              <w:rPr>
                <w:sz w:val="18"/>
              </w:rPr>
            </w:pPr>
            <w:r>
              <w:rPr>
                <w:sz w:val="18"/>
              </w:rPr>
              <w:t xml:space="preserve">Analogue de la </w:t>
            </w:r>
            <w:r>
              <w:rPr>
                <w:sz w:val="18"/>
              </w:rPr>
              <w:t xml:space="preserve">GnRH </w:t>
            </w:r>
            <w:r>
              <w:rPr>
                <w:sz w:val="18"/>
              </w:rPr>
              <w:t xml:space="preserve">: </w:t>
            </w:r>
            <w:r>
              <w:rPr>
                <w:sz w:val="18"/>
              </w:rPr>
              <w:t xml:space="preserve">0,27 </w:t>
            </w:r>
            <w:r>
              <w:rPr>
                <w:sz w:val="18"/>
              </w:rPr>
              <w:t xml:space="preserve">(-1,60 </w:t>
            </w:r>
            <w:r>
              <w:rPr>
                <w:sz w:val="18"/>
              </w:rPr>
              <w:t xml:space="preserve">à</w:t>
            </w:r>
          </w:p>
          <w:p>
            <w:pPr>
              <w:pStyle w:val="TableParagraph"/>
              <w:spacing w:before="2" w:line="207" w:lineRule="exact"/>
              <w:ind w:start="151" w:end="134"/>
              <w:jc w:val="center"/>
              <w:rPr>
                <w:sz w:val="18"/>
              </w:rPr>
            </w:pPr>
            <w:r>
              <w:rPr>
                <w:sz w:val="18"/>
              </w:rPr>
              <w:t xml:space="preserve">1.80)</w:t>
            </w:r>
          </w:p>
          <w:p>
            <w:pPr>
              <w:pStyle w:val="TableParagraph"/>
              <w:spacing w:line="206"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-0,29 </w:t>
            </w:r>
            <w:r>
              <w:rPr>
                <w:sz w:val="18"/>
              </w:rPr>
              <w:t xml:space="preserve">(-2,28 à </w:t>
            </w:r>
            <w:r>
              <w:rPr>
                <w:sz w:val="18"/>
              </w:rPr>
              <w:t xml:space="preserve">0,90)</w:t>
            </w:r>
          </w:p>
          <w:p>
            <w:pPr>
              <w:pStyle w:val="TableParagraph"/>
              <w:spacing w:line="189" w:lineRule="exact"/>
              <w:ind w:start="151" w:end="135"/>
              <w:jc w:val="center"/>
              <w:rPr>
                <w:sz w:val="18"/>
              </w:rPr>
            </w:pPr>
            <w:r>
              <w:rPr>
                <w:sz w:val="18"/>
              </w:rPr>
              <w:t xml:space="preserve">Valeur p : </w:t>
            </w:r>
            <w:r>
              <w:rPr>
                <w:sz w:val="18"/>
              </w:rPr>
              <w:t xml:space="preserve">p</w:t>
            </w:r>
            <w:r>
              <w:rPr>
                <w:spacing w:val="-1"/>
                <w:sz w:val="18"/>
              </w:rPr>
              <w:t xml:space="preserve"> ≤ </w:t>
            </w:r>
            <w:r>
              <w:rPr>
                <w:sz w:val="18"/>
              </w:rPr>
              <w:t xml:space="preserve">0,01)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8"/>
              </w:rPr>
            </w:pPr>
          </w:p>
          <w:p>
            <w:pPr>
              <w:pStyle w:val="TableParagraph"/>
              <w:spacing w:before="1"/>
              <w:ind w:start="104" w:end="88"/>
              <w:jc w:val="center"/>
              <w:rPr>
                <w:sz w:val="18"/>
              </w:rPr>
            </w:pPr>
            <w:r>
              <w:rPr>
                <w:sz w:val="18"/>
              </w:rPr>
              <w:t xml:space="preserve">TRES </w:t>
            </w:r>
            <w:r>
              <w:rPr>
                <w:sz w:val="18"/>
              </w:rPr>
              <w:t xml:space="preserve">FAIBLE</w:t>
            </w:r>
          </w:p>
        </w:tc>
      </w:tr>
      <w:tr w:rsidR="00432386">
        <w:trPr>
          <w:trHeight w:val="230"/>
        </w:trPr>
        <w:tc>
          <w:tcPr>
            <w:tcW w:w="13950" w:type="dxa"/>
            <w:gridSpan w:val="10"/>
            <w:shd w:val="clear" w:color="auto" w:fill="8DB3E1"/>
          </w:tcPr>
          <w:p>
            <w:pPr>
              <w:pStyle w:val="TableParagraph"/>
              <w:spacing w:line="210"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de </w:t>
            </w:r>
            <w:r>
              <w:rPr>
                <w:b/>
                <w:i/>
                <w:sz w:val="20"/>
              </w:rPr>
              <w:t xml:space="preserve">la </w:t>
            </w:r>
            <w:r>
              <w:rPr>
                <w:b/>
                <w:i/>
                <w:sz w:val="20"/>
              </w:rPr>
              <w:t xml:space="preserve">DMO </w:t>
            </w:r>
            <w:r>
              <w:rPr>
                <w:b/>
                <w:i/>
                <w:sz w:val="20"/>
              </w:rPr>
              <w:t xml:space="preserve">lombaire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 de la </w:t>
            </w:r>
            <w:r>
              <w:rPr>
                <w:b/>
                <w:i/>
                <w:sz w:val="20"/>
              </w:rPr>
              <w:t xml:space="preserve">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un </w:t>
            </w:r>
            <w:r>
              <w:rPr>
                <w:b/>
                <w:i/>
                <w:sz w:val="20"/>
              </w:rPr>
              <w:t xml:space="preserve">an </w:t>
            </w:r>
            <w:r>
              <w:rPr>
                <w:b/>
                <w:i/>
                <w:sz w:val="20"/>
              </w:rPr>
              <w:t xml:space="preserve">chez les </w:t>
            </w:r>
            <w:r>
              <w:rPr>
                <w:b/>
                <w:i/>
                <w:sz w:val="20"/>
              </w:rPr>
              <w:t xml:space="preserve">femmes transfemmes.</w:t>
            </w:r>
          </w:p>
        </w:tc>
      </w:tr>
      <w:tr w:rsidR="00432386">
        <w:trPr>
          <w:trHeight w:val="1862"/>
        </w:trPr>
        <w:tc>
          <w:tcPr>
            <w:tcW w:w="1133" w:type="dxa"/>
          </w:tcPr>
          <w:p w:rsidR="00432386" w:rsidRDefault="00432386">
            <w:pPr>
              <w:pStyle w:val="TableParagraph"/>
              <w:spacing w:before="9"/>
              <w:rPr>
                <w:b/>
                <w:sz w:val="21"/>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0,860 </w:t>
            </w:r>
            <w:r>
              <w:rPr>
                <w:sz w:val="18"/>
              </w:rPr>
              <w:t xml:space="preserve">(0,154)</w:t>
            </w:r>
          </w:p>
          <w:p>
            <w:pPr>
              <w:pStyle w:val="TableParagraph"/>
              <w:ind w:start="288" w:end="271"/>
              <w:jc w:val="center"/>
              <w:rPr>
                <w:sz w:val="18"/>
              </w:rPr>
            </w:pPr>
            <w:r>
              <w:rPr>
                <w:sz w:val="18"/>
              </w:rPr>
              <w:t xml:space="preserve">1 an : 0.859 (0.129) </w:t>
            </w:r>
            <w:r>
              <w:rPr>
                <w:sz w:val="18"/>
              </w:rPr>
              <w:t xml:space="preserve">p=0.962</w:t>
            </w:r>
          </w:p>
          <w:p w:rsidR="00432386" w:rsidRDefault="00432386">
            <w:pPr>
              <w:pStyle w:val="TableParagraph"/>
              <w:rPr>
                <w:b/>
                <w:sz w:val="18"/>
              </w:rPr>
            </w:pPr>
          </w:p>
          <w:p>
            <w:pPr>
              <w:pStyle w:val="TableParagraph"/>
              <w:spacing w:before="1" w:line="207" w:lineRule="exact"/>
              <w:ind w:start="151" w:end="137"/>
              <w:jc w:val="center"/>
              <w:rPr>
                <w:sz w:val="18"/>
              </w:rPr>
            </w:pPr>
            <w:r>
              <w:rPr>
                <w:sz w:val="18"/>
              </w:rPr>
              <w:t xml:space="preserve">z-score</w:t>
            </w:r>
          </w:p>
          <w:p>
            <w:pPr>
              <w:pStyle w:val="TableParagraph"/>
              <w:spacing w:line="206" w:lineRule="exact"/>
              <w:ind w:start="151" w:end="136"/>
              <w:jc w:val="center"/>
              <w:rPr>
                <w:sz w:val="18"/>
              </w:rPr>
            </w:pPr>
            <w:r>
              <w:rPr>
                <w:sz w:val="18"/>
              </w:rPr>
              <w:t xml:space="preserve">Ligne de base : </w:t>
            </w:r>
            <w:r>
              <w:rPr>
                <w:sz w:val="18"/>
              </w:rPr>
              <w:t xml:space="preserve">−0.016 </w:t>
            </w:r>
            <w:r>
              <w:rPr>
                <w:sz w:val="18"/>
              </w:rPr>
              <w:t xml:space="preserve">(1.106)</w:t>
            </w:r>
          </w:p>
          <w:p>
            <w:pPr>
              <w:pStyle w:val="TableParagraph"/>
              <w:spacing w:line="207" w:lineRule="exact"/>
              <w:ind w:start="151" w:end="138"/>
              <w:jc w:val="center"/>
              <w:rPr>
                <w:sz w:val="18"/>
              </w:rPr>
            </w:pPr>
            <w:r>
              <w:rPr>
                <w:sz w:val="18"/>
              </w:rPr>
              <w:t xml:space="preserve">1 </w:t>
            </w:r>
            <w:r>
              <w:rPr>
                <w:sz w:val="18"/>
              </w:rPr>
              <w:t xml:space="preserve">an : </w:t>
            </w:r>
            <w:r>
              <w:rPr>
                <w:sz w:val="18"/>
              </w:rPr>
              <w:t xml:space="preserve">−0.461 </w:t>
            </w:r>
            <w:r>
              <w:rPr>
                <w:sz w:val="18"/>
              </w:rPr>
              <w:t xml:space="preserve">(1.121)</w:t>
            </w:r>
          </w:p>
          <w:p>
            <w:pPr>
              <w:pStyle w:val="TableParagraph"/>
              <w:spacing w:line="187" w:lineRule="exact"/>
              <w:ind w:start="151" w:end="135"/>
              <w:jc w:val="center"/>
              <w:rPr>
                <w:sz w:val="18"/>
              </w:rPr>
            </w:pPr>
            <w:r>
              <w:rPr>
                <w:sz w:val="18"/>
              </w:rPr>
              <w:t xml:space="preserve">p=0.003</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 de la </w:t>
            </w:r>
            <w:r>
              <w:rPr>
                <w:b/>
                <w:i/>
                <w:sz w:val="20"/>
              </w:rPr>
              <w:t xml:space="preserve">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un </w:t>
            </w:r>
            <w:r>
              <w:rPr>
                <w:b/>
                <w:i/>
                <w:sz w:val="20"/>
              </w:rPr>
              <w:t xml:space="preserve">an </w:t>
            </w:r>
            <w:r>
              <w:rPr>
                <w:b/>
                <w:i/>
                <w:sz w:val="20"/>
              </w:rPr>
              <w:t xml:space="preserve">chez </w:t>
            </w:r>
            <w:r>
              <w:rPr>
                <w:b/>
                <w:i/>
                <w:sz w:val="20"/>
              </w:rPr>
              <w:t xml:space="preserve">les hommes.</w:t>
            </w:r>
          </w:p>
        </w:tc>
      </w:tr>
      <w:tr w:rsidR="00432386">
        <w:trPr>
          <w:trHeight w:val="1864"/>
        </w:trPr>
        <w:tc>
          <w:tcPr>
            <w:tcW w:w="1133" w:type="dxa"/>
          </w:tcPr>
          <w:p w:rsidR="00432386" w:rsidRDefault="00432386">
            <w:pPr>
              <w:pStyle w:val="TableParagraph"/>
              <w:spacing w:before="9"/>
              <w:rPr>
                <w:b/>
                <w:sz w:val="21"/>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N=39</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0,694 </w:t>
            </w:r>
            <w:r>
              <w:rPr>
                <w:sz w:val="18"/>
              </w:rPr>
              <w:t xml:space="preserve">(0,149)</w:t>
            </w:r>
          </w:p>
          <w:p>
            <w:pPr>
              <w:pStyle w:val="TableParagraph"/>
              <w:ind w:start="288" w:end="272"/>
              <w:jc w:val="center"/>
              <w:rPr>
                <w:sz w:val="18"/>
              </w:rPr>
            </w:pPr>
            <w:r>
              <w:rPr>
                <w:sz w:val="18"/>
              </w:rPr>
              <w:t xml:space="preserve">1 an : 0.718 (0.124) </w:t>
            </w:r>
            <w:r>
              <w:rPr>
                <w:sz w:val="18"/>
              </w:rPr>
              <w:t xml:space="preserve">p=0.006</w:t>
            </w:r>
          </w:p>
          <w:p w:rsidR="00432386" w:rsidRDefault="00432386">
            <w:pPr>
              <w:pStyle w:val="TableParagraph"/>
              <w:spacing w:before="9"/>
              <w:rPr>
                <w:b/>
                <w:sz w:val="17"/>
              </w:rPr>
            </w:pPr>
          </w:p>
          <w:p>
            <w:pPr>
              <w:pStyle w:val="TableParagraph"/>
              <w:spacing w:before="1"/>
              <w:ind w:start="151" w:end="137"/>
              <w:jc w:val="center"/>
              <w:rPr>
                <w:sz w:val="18"/>
              </w:rPr>
            </w:pPr>
            <w:r>
              <w:rPr>
                <w:sz w:val="18"/>
              </w:rPr>
              <w:t xml:space="preserve">z-score</w:t>
            </w:r>
          </w:p>
          <w:p>
            <w:pPr>
              <w:pStyle w:val="TableParagraph"/>
              <w:spacing w:before="1" w:line="207" w:lineRule="exact"/>
              <w:ind w:start="151" w:end="136"/>
              <w:jc w:val="center"/>
              <w:rPr>
                <w:sz w:val="18"/>
              </w:rPr>
            </w:pPr>
            <w:r>
              <w:rPr>
                <w:sz w:val="18"/>
              </w:rPr>
              <w:t xml:space="preserve">Ligne de base : </w:t>
            </w:r>
            <w:r>
              <w:rPr>
                <w:sz w:val="18"/>
              </w:rPr>
              <w:t xml:space="preserve">−0.395 </w:t>
            </w:r>
            <w:r>
              <w:rPr>
                <w:sz w:val="18"/>
              </w:rPr>
              <w:t xml:space="preserve">(1.428)</w:t>
            </w:r>
          </w:p>
          <w:p>
            <w:pPr>
              <w:pStyle w:val="TableParagraph"/>
              <w:spacing w:line="207" w:lineRule="exact"/>
              <w:ind w:start="151" w:end="138"/>
              <w:jc w:val="center"/>
              <w:rPr>
                <w:sz w:val="18"/>
              </w:rPr>
            </w:pPr>
            <w:r>
              <w:rPr>
                <w:sz w:val="18"/>
              </w:rPr>
              <w:t xml:space="preserve">1 </w:t>
            </w:r>
            <w:r>
              <w:rPr>
                <w:sz w:val="18"/>
              </w:rPr>
              <w:t xml:space="preserve">an : </w:t>
            </w:r>
            <w:r>
              <w:rPr>
                <w:sz w:val="18"/>
              </w:rPr>
              <w:t xml:space="preserve">−1.276 </w:t>
            </w:r>
            <w:r>
              <w:rPr>
                <w:sz w:val="18"/>
              </w:rPr>
              <w:t xml:space="preserve">(1.410)</w:t>
            </w:r>
          </w:p>
          <w:p>
            <w:pPr>
              <w:pStyle w:val="TableParagraph"/>
              <w:spacing w:line="189"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 de la </w:t>
            </w:r>
            <w:r>
              <w:rPr>
                <w:b/>
                <w:i/>
                <w:sz w:val="20"/>
              </w:rPr>
              <w:t xml:space="preserve">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2 </w:t>
            </w:r>
            <w:r>
              <w:rPr>
                <w:b/>
                <w:i/>
                <w:sz w:val="20"/>
              </w:rPr>
              <w:t xml:space="preserve">ans </w:t>
            </w:r>
            <w:r>
              <w:rPr>
                <w:b/>
                <w:i/>
                <w:sz w:val="20"/>
              </w:rPr>
              <w:t xml:space="preserve">chez les </w:t>
            </w:r>
            <w:r>
              <w:rPr>
                <w:b/>
                <w:i/>
                <w:sz w:val="20"/>
              </w:rPr>
              <w:t xml:space="preserve">femmes transfemmes.</w:t>
            </w:r>
          </w:p>
        </w:tc>
      </w:tr>
      <w:tr w:rsidR="00432386">
        <w:trPr>
          <w:trHeight w:val="1865"/>
        </w:trPr>
        <w:tc>
          <w:tcPr>
            <w:tcW w:w="1133" w:type="dxa"/>
          </w:tcPr>
          <w:p w:rsidR="00432386" w:rsidRDefault="00432386">
            <w:pPr>
              <w:pStyle w:val="TableParagraph"/>
              <w:spacing w:before="1"/>
              <w:rPr>
                <w:b/>
                <w:sz w:val="19"/>
              </w:rPr>
            </w:pPr>
          </w:p>
          <w:p>
            <w:pPr>
              <w:pStyle w:val="TableParagraph"/>
              <w:ind w:start="107"/>
              <w:rPr>
                <w:sz w:val="18"/>
              </w:rPr>
            </w:pPr>
            <w:r>
              <w:rPr>
                <w:sz w:val="18"/>
              </w:rPr>
              <w:t xml:space="preserve">1</w:t>
            </w:r>
          </w:p>
          <w:p>
            <w:pPr>
              <w:pStyle w:val="TableParagraph"/>
              <w:spacing w:before="2"/>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N=10</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0,867 </w:t>
            </w:r>
            <w:r>
              <w:rPr>
                <w:sz w:val="18"/>
              </w:rPr>
              <w:t xml:space="preserve">(0,141)</w:t>
            </w:r>
          </w:p>
          <w:p>
            <w:pPr>
              <w:pStyle w:val="TableParagraph"/>
              <w:ind w:start="288" w:end="273"/>
              <w:jc w:val="center"/>
              <w:rPr>
                <w:sz w:val="18"/>
              </w:rPr>
            </w:pPr>
            <w:r>
              <w:rPr>
                <w:sz w:val="18"/>
              </w:rPr>
              <w:t xml:space="preserve">2 ans : 0.878 (0.130) </w:t>
            </w:r>
            <w:r>
              <w:rPr>
                <w:sz w:val="18"/>
              </w:rPr>
              <w:t xml:space="preserve">p=0.395</w:t>
            </w:r>
          </w:p>
          <w:p w:rsidR="00432386" w:rsidRDefault="00432386">
            <w:pPr>
              <w:pStyle w:val="TableParagraph"/>
              <w:spacing w:before="1"/>
              <w:rPr>
                <w:b/>
                <w:sz w:val="18"/>
              </w:rPr>
            </w:pPr>
          </w:p>
          <w:p>
            <w:pPr>
              <w:pStyle w:val="TableParagraph"/>
              <w:ind w:start="488" w:end="463" w:firstLine="636"/>
              <w:rPr>
                <w:sz w:val="18"/>
              </w:rPr>
            </w:pPr>
            <w:r>
              <w:rPr>
                <w:sz w:val="18"/>
              </w:rPr>
              <w:t xml:space="preserve">Z-score au </w:t>
            </w:r>
            <w:r>
              <w:rPr>
                <w:sz w:val="18"/>
              </w:rPr>
              <w:t xml:space="preserve">départ : </w:t>
            </w:r>
            <w:r>
              <w:rPr>
                <w:sz w:val="18"/>
              </w:rPr>
              <w:t xml:space="preserve">0,130 </w:t>
            </w:r>
            <w:r>
              <w:rPr>
                <w:sz w:val="18"/>
              </w:rPr>
              <w:t xml:space="preserve">(0,972)</w:t>
            </w:r>
          </w:p>
          <w:p>
            <w:pPr>
              <w:pStyle w:val="TableParagraph"/>
              <w:spacing w:line="206" w:lineRule="exact"/>
              <w:ind w:start="151" w:end="138"/>
              <w:jc w:val="center"/>
              <w:rPr>
                <w:sz w:val="18"/>
              </w:rPr>
            </w:pPr>
            <w:r>
              <w:rPr>
                <w:sz w:val="18"/>
              </w:rPr>
              <w:t xml:space="preserve">2 </w:t>
            </w:r>
            <w:r>
              <w:rPr>
                <w:sz w:val="18"/>
              </w:rPr>
              <w:t xml:space="preserve">ans : </w:t>
            </w:r>
            <w:r>
              <w:rPr>
                <w:sz w:val="18"/>
              </w:rPr>
              <w:t xml:space="preserve">−0.890 </w:t>
            </w:r>
            <w:r>
              <w:rPr>
                <w:sz w:val="18"/>
              </w:rPr>
              <w:t xml:space="preserve">(1.075)</w:t>
            </w:r>
          </w:p>
          <w:p>
            <w:pPr>
              <w:pStyle w:val="TableParagraph"/>
              <w:spacing w:line="189"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 de la </w:t>
            </w:r>
            <w:r>
              <w:rPr>
                <w:b/>
                <w:i/>
                <w:sz w:val="20"/>
              </w:rPr>
              <w:t xml:space="preserve">colonne </w:t>
            </w:r>
            <w:r>
              <w:rPr>
                <w:b/>
                <w:i/>
                <w:sz w:val="20"/>
              </w:rPr>
              <w:t xml:space="preserve">lombaire </w:t>
            </w:r>
            <w:r>
              <w:rPr>
                <w:b/>
                <w:i/>
                <w:sz w:val="20"/>
              </w:rPr>
              <w:t xml:space="preserve">entre le </w:t>
            </w:r>
            <w:r>
              <w:rPr>
                <w:b/>
                <w:i/>
                <w:sz w:val="20"/>
              </w:rPr>
              <w:t xml:space="preserve">début de l'étude </w:t>
            </w:r>
            <w:r>
              <w:rPr>
                <w:b/>
                <w:i/>
                <w:sz w:val="20"/>
              </w:rPr>
              <w:t xml:space="preserve">et </w:t>
            </w:r>
            <w:r>
              <w:rPr>
                <w:b/>
                <w:i/>
                <w:sz w:val="20"/>
              </w:rPr>
              <w:t xml:space="preserve">2 </w:t>
            </w:r>
            <w:r>
              <w:rPr>
                <w:b/>
                <w:i/>
                <w:sz w:val="20"/>
              </w:rPr>
              <w:t xml:space="preserve">ans </w:t>
            </w:r>
            <w:r>
              <w:rPr>
                <w:b/>
                <w:i/>
                <w:sz w:val="20"/>
              </w:rPr>
              <w:t xml:space="preserve">chez </w:t>
            </w:r>
            <w:r>
              <w:rPr>
                <w:b/>
                <w:i/>
                <w:sz w:val="20"/>
              </w:rPr>
              <w:t xml:space="preserve">les transmales</w:t>
            </w:r>
          </w:p>
        </w:tc>
      </w:tr>
      <w:tr w:rsidR="00432386">
        <w:trPr>
          <w:trHeight w:val="1864"/>
        </w:trPr>
        <w:tc>
          <w:tcPr>
            <w:tcW w:w="1133" w:type="dxa"/>
          </w:tcPr>
          <w:p w:rsidR="00432386" w:rsidRDefault="00432386">
            <w:pPr>
              <w:pStyle w:val="TableParagraph"/>
              <w:spacing w:before="9"/>
              <w:rPr>
                <w:b/>
                <w:sz w:val="21"/>
              </w:rPr>
            </w:pPr>
          </w:p>
          <w:p>
            <w:pPr>
              <w:pStyle w:val="TableParagraph"/>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3"/>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N=21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0,695 </w:t>
            </w:r>
            <w:r>
              <w:rPr>
                <w:sz w:val="18"/>
              </w:rPr>
              <w:t xml:space="preserve">(0,220)</w:t>
            </w:r>
          </w:p>
          <w:p>
            <w:pPr>
              <w:pStyle w:val="TableParagraph"/>
              <w:ind w:start="288" w:end="273"/>
              <w:jc w:val="center"/>
              <w:rPr>
                <w:sz w:val="18"/>
              </w:rPr>
            </w:pPr>
            <w:r>
              <w:rPr>
                <w:sz w:val="18"/>
              </w:rPr>
              <w:t xml:space="preserve">2 ans : 0.731 (0.209) </w:t>
            </w:r>
            <w:r>
              <w:rPr>
                <w:sz w:val="18"/>
              </w:rPr>
              <w:t xml:space="preserve">p=0.058</w:t>
            </w:r>
          </w:p>
          <w:p w:rsidR="00432386" w:rsidRDefault="00432386">
            <w:pPr>
              <w:pStyle w:val="TableParagraph"/>
              <w:spacing w:before="1"/>
              <w:rPr>
                <w:b/>
                <w:sz w:val="18"/>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151" w:end="136"/>
              <w:jc w:val="center"/>
              <w:rPr>
                <w:sz w:val="18"/>
              </w:rPr>
            </w:pPr>
            <w:r>
              <w:rPr>
                <w:sz w:val="18"/>
              </w:rPr>
              <w:t xml:space="preserve">Ligne de base : </w:t>
            </w:r>
            <w:r>
              <w:rPr>
                <w:sz w:val="18"/>
              </w:rPr>
              <w:t xml:space="preserve">−0.715 </w:t>
            </w:r>
            <w:r>
              <w:rPr>
                <w:sz w:val="18"/>
              </w:rPr>
              <w:t xml:space="preserve">(1.406)</w:t>
            </w:r>
          </w:p>
          <w:p>
            <w:pPr>
              <w:pStyle w:val="TableParagraph"/>
              <w:spacing w:line="206" w:lineRule="exact"/>
              <w:ind w:start="151" w:end="138"/>
              <w:jc w:val="center"/>
              <w:rPr>
                <w:sz w:val="18"/>
              </w:rPr>
            </w:pPr>
            <w:r>
              <w:rPr>
                <w:sz w:val="18"/>
              </w:rPr>
              <w:t xml:space="preserve">2 </w:t>
            </w:r>
            <w:r>
              <w:rPr>
                <w:sz w:val="18"/>
              </w:rPr>
              <w:t xml:space="preserve">ans : </w:t>
            </w:r>
            <w:r>
              <w:rPr>
                <w:sz w:val="18"/>
              </w:rPr>
              <w:t xml:space="preserve">−2.000 </w:t>
            </w:r>
            <w:r>
              <w:rPr>
                <w:sz w:val="18"/>
              </w:rPr>
              <w:t xml:space="preserve">(1.384)</w:t>
            </w:r>
          </w:p>
          <w:p>
            <w:pPr>
              <w:pStyle w:val="TableParagraph"/>
              <w:spacing w:line="189"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58"/>
        </w:trPr>
        <w:tc>
          <w:tcPr>
            <w:tcW w:w="13950" w:type="dxa"/>
            <w:gridSpan w:val="10"/>
            <w:shd w:val="clear" w:color="auto" w:fill="C5D9F0"/>
          </w:tcPr>
          <w:p>
            <w:pPr>
              <w:pStyle w:val="TableParagraph"/>
              <w:spacing w:line="228"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lombaire </w:t>
            </w:r>
            <w:r>
              <w:rPr>
                <w:b/>
                <w:i/>
                <w:sz w:val="20"/>
              </w:rPr>
              <w:t xml:space="preserve">entre le </w:t>
            </w:r>
            <w:r>
              <w:rPr>
                <w:b/>
                <w:i/>
                <w:sz w:val="20"/>
              </w:rPr>
              <w:t xml:space="preserve">début de la prise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14,9±1,9) </w:t>
            </w:r>
            <w:r>
              <w:rPr>
                <w:b/>
                <w:i/>
                <w:sz w:val="20"/>
              </w:rPr>
              <w:t xml:space="preserve">et le </w:t>
            </w:r>
            <w:r>
              <w:rPr>
                <w:b/>
                <w:i/>
                <w:sz w:val="20"/>
              </w:rPr>
              <w:t xml:space="preserve">début de la prise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16,6±1,4) </w:t>
            </w:r>
            <w:r>
              <w:rPr>
                <w:b/>
                <w:i/>
                <w:sz w:val="20"/>
              </w:rPr>
              <w:t xml:space="preserve">chez les </w:t>
            </w:r>
            <w:r>
              <w:rPr>
                <w:b/>
                <w:i/>
                <w:sz w:val="20"/>
              </w:rPr>
              <w:t xml:space="preserve">transfemmes.</w:t>
            </w: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9"/>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5"/>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spacing w:line="720" w:lineRule="auto"/>
              <w:ind w:start="349" w:end="317"/>
              <w:rPr>
                <w:sz w:val="18"/>
              </w:rPr>
            </w:pPr>
            <w:r>
              <w:rPr>
                <w:sz w:val="18"/>
              </w:rPr>
              <w:t xml:space="preserve">N=12 </w:t>
            </w:r>
            <w:r>
              <w:rPr>
                <w:sz w:val="18"/>
              </w:rPr>
              <w:t xml:space="preserve">N=11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53" w:end="136"/>
              <w:jc w:val="center"/>
              <w:rPr>
                <w:sz w:val="18"/>
              </w:rPr>
            </w:pPr>
            <w:r>
              <w:rPr>
                <w:sz w:val="18"/>
              </w:rPr>
              <w:t xml:space="preserve">Aucun</w:t>
            </w:r>
          </w:p>
        </w:tc>
        <w:tc>
          <w:tcPr>
            <w:tcW w:w="2836" w:type="dxa"/>
          </w:tcPr>
          <w:p>
            <w:pPr>
              <w:pStyle w:val="TableParagraph"/>
              <w:spacing w:before="1"/>
              <w:ind w:start="288" w:end="273" w:firstLine="446"/>
              <w:rPr>
                <w:sz w:val="18"/>
              </w:rPr>
            </w:pPr>
            <w:r>
              <w:rPr>
                <w:sz w:val="18"/>
              </w:rPr>
              <w:t xml:space="preserve">Moyenne (SD), g/m2 </w:t>
            </w:r>
            <w:r>
              <w:rPr>
                <w:sz w:val="18"/>
              </w:rPr>
              <w:t xml:space="preserve">Analogue de la GnRH : 0,84 (0,13)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0,84 (0,11) </w:t>
            </w:r>
            <w:r>
              <w:rPr>
                <w:sz w:val="18"/>
              </w:rPr>
              <w:t xml:space="preserve">NS</w:t>
            </w:r>
          </w:p>
          <w:p w:rsidR="00432386" w:rsidRDefault="00432386">
            <w:pPr>
              <w:pStyle w:val="TableParagraph"/>
              <w:spacing w:before="11"/>
              <w:rPr>
                <w:b/>
                <w:sz w:val="17"/>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151" w:end="138"/>
              <w:jc w:val="center"/>
              <w:rPr>
                <w:sz w:val="18"/>
              </w:rPr>
            </w:pPr>
            <w:r>
              <w:rPr>
                <w:sz w:val="18"/>
              </w:rPr>
              <w:t xml:space="preserve">Analogue de la </w:t>
            </w:r>
            <w:r>
              <w:rPr>
                <w:sz w:val="18"/>
              </w:rPr>
              <w:t xml:space="preserve">GnRH </w:t>
            </w:r>
            <w:r>
              <w:rPr>
                <w:sz w:val="18"/>
              </w:rPr>
              <w:t xml:space="preserve">: </w:t>
            </w:r>
            <w:r>
              <w:rPr>
                <w:sz w:val="18"/>
              </w:rPr>
              <w:t xml:space="preserve">−0.77 </w:t>
            </w:r>
            <w:r>
              <w:rPr>
                <w:sz w:val="18"/>
              </w:rPr>
              <w:t xml:space="preserve">(0.89)</w:t>
            </w:r>
          </w:p>
          <w:p>
            <w:pPr>
              <w:pStyle w:val="TableParagraph"/>
              <w:spacing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before="2" w:line="207" w:lineRule="exact"/>
              <w:ind w:start="151" w:end="135"/>
              <w:jc w:val="center"/>
              <w:rPr>
                <w:sz w:val="18"/>
              </w:rPr>
            </w:pPr>
            <w:r>
              <w:rPr>
                <w:sz w:val="18"/>
              </w:rPr>
              <w:t xml:space="preserve">−1.01 </w:t>
            </w:r>
            <w:r>
              <w:rPr>
                <w:sz w:val="18"/>
              </w:rPr>
              <w:t xml:space="preserve">(0.98)</w:t>
            </w:r>
          </w:p>
          <w:p>
            <w:pPr>
              <w:pStyle w:val="TableParagraph"/>
              <w:spacing w:line="187" w:lineRule="exact"/>
              <w:ind w:start="151" w:end="139"/>
              <w:jc w:val="center"/>
              <w:rPr>
                <w:sz w:val="18"/>
              </w:rPr>
            </w:pP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04" w:end="88"/>
              <w:jc w:val="center"/>
              <w:rPr>
                <w:sz w:val="18"/>
              </w:rPr>
            </w:pPr>
            <w:r>
              <w:rPr>
                <w:sz w:val="18"/>
              </w:rPr>
              <w:t xml:space="preserve">TRES </w:t>
            </w:r>
            <w:r>
              <w:rPr>
                <w:sz w:val="18"/>
              </w:rPr>
              <w:t xml:space="preserve">FAIBLE</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lombaire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15,0±2,0)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16,4±2,3) </w:t>
            </w:r>
            <w:r>
              <w:rPr>
                <w:b/>
                <w:i/>
                <w:sz w:val="20"/>
              </w:rPr>
              <w:t xml:space="preserve">chez </w:t>
            </w:r>
            <w:r>
              <w:rPr>
                <w:b/>
                <w:i/>
                <w:sz w:val="20"/>
              </w:rPr>
              <w:t xml:space="preserve">les transmales.</w:t>
            </w:r>
          </w:p>
        </w:tc>
      </w:tr>
    </w:tbl>
    <w:p w:rsidR="00432386" w:rsidRDefault="00432386">
      <w:pPr>
        <w:spacing w:line="230" w:lineRule="exact"/>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88" w:end="75"/>
              <w:jc w:val="center"/>
              <w:rPr>
                <w:sz w:val="18"/>
              </w:rPr>
            </w:pPr>
            <w:r>
              <w:rPr>
                <w:sz w:val="18"/>
              </w:rPr>
              <w:t xml:space="preserve">N=18</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53" w:end="136"/>
              <w:jc w:val="center"/>
              <w:rPr>
                <w:sz w:val="18"/>
              </w:rPr>
            </w:pPr>
            <w:r>
              <w:rPr>
                <w:sz w:val="18"/>
              </w:rPr>
              <w:t xml:space="preserve">Aucun</w:t>
            </w:r>
          </w:p>
        </w:tc>
        <w:tc>
          <w:tcPr>
            <w:tcW w:w="2836" w:type="dxa"/>
          </w:tcPr>
          <w:p>
            <w:pPr>
              <w:pStyle w:val="TableParagraph"/>
              <w:ind w:start="288" w:end="273" w:firstLine="446"/>
              <w:rPr>
                <w:sz w:val="18"/>
              </w:rPr>
            </w:pPr>
            <w:r>
              <w:rPr>
                <w:sz w:val="18"/>
              </w:rPr>
              <w:t xml:space="preserve">Moyenne (SD), g/m2 </w:t>
            </w:r>
            <w:r>
              <w:rPr>
                <w:sz w:val="18"/>
              </w:rPr>
              <w:t xml:space="preserve">Analogue de la GnRH : 0,95 (0,12) </w:t>
            </w:r>
            <w:r>
              <w:rPr>
                <w:sz w:val="18"/>
              </w:rPr>
              <w:t xml:space="preserve">Hormones d'</w:t>
            </w:r>
            <w:r>
              <w:rPr>
                <w:sz w:val="18"/>
              </w:rPr>
              <w:t xml:space="preserve">affirmation du genre </w:t>
            </w:r>
            <w:r>
              <w:rPr>
                <w:sz w:val="18"/>
              </w:rPr>
              <w:t xml:space="preserve">:</w:t>
            </w:r>
          </w:p>
          <w:p>
            <w:pPr>
              <w:pStyle w:val="TableParagraph"/>
              <w:spacing w:line="207" w:lineRule="exact"/>
              <w:ind w:start="151" w:end="135"/>
              <w:jc w:val="center"/>
              <w:rPr>
                <w:sz w:val="18"/>
              </w:rPr>
            </w:pPr>
            <w:r>
              <w:rPr>
                <w:sz w:val="18"/>
              </w:rPr>
              <w:t xml:space="preserve">0.91 </w:t>
            </w:r>
            <w:r>
              <w:rPr>
                <w:sz w:val="18"/>
              </w:rPr>
              <w:t xml:space="preserve">(0.10)</w:t>
            </w:r>
          </w:p>
          <w:p>
            <w:pPr>
              <w:pStyle w:val="TableParagraph"/>
              <w:spacing w:line="207" w:lineRule="exact"/>
              <w:ind w:start="151" w:end="135"/>
              <w:jc w:val="center"/>
              <w:rPr>
                <w:sz w:val="18"/>
              </w:rPr>
            </w:pPr>
            <w:r>
              <w:rPr>
                <w:sz w:val="18"/>
              </w:rPr>
              <w:t xml:space="preserve">p-value : </w:t>
            </w:r>
            <w:r>
              <w:rPr>
                <w:sz w:val="18"/>
              </w:rPr>
              <w:t xml:space="preserve">0,006</w:t>
            </w:r>
          </w:p>
          <w:p w:rsidR="00432386" w:rsidRDefault="00432386">
            <w:pPr>
              <w:pStyle w:val="TableParagraph"/>
              <w:spacing w:before="10"/>
              <w:rPr>
                <w:b/>
                <w:sz w:val="17"/>
              </w:rPr>
            </w:pPr>
          </w:p>
          <w:p>
            <w:pPr>
              <w:pStyle w:val="TableParagraph"/>
              <w:ind w:start="151" w:end="137"/>
              <w:jc w:val="center"/>
              <w:rPr>
                <w:sz w:val="18"/>
              </w:rPr>
            </w:pPr>
            <w:r>
              <w:rPr>
                <w:sz w:val="18"/>
              </w:rPr>
              <w:t xml:space="preserve">z-score</w:t>
            </w:r>
          </w:p>
          <w:p>
            <w:pPr>
              <w:pStyle w:val="TableParagraph"/>
              <w:spacing w:before="2"/>
              <w:ind w:start="288" w:end="273"/>
              <w:jc w:val="center"/>
              <w:rPr>
                <w:sz w:val="18"/>
              </w:rPr>
            </w:pPr>
            <w:r>
              <w:rPr>
                <w:sz w:val="18"/>
              </w:rPr>
              <w:t xml:space="preserve">Analogue de la GnRH : 0,17 (1,18)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−0.72 </w:t>
            </w:r>
            <w:r>
              <w:rPr>
                <w:sz w:val="18"/>
              </w:rPr>
              <w:t xml:space="preserve">(0.99)</w:t>
            </w:r>
          </w:p>
          <w:p>
            <w:pPr>
              <w:pStyle w:val="TableParagraph"/>
              <w:spacing w:line="189" w:lineRule="exact"/>
              <w:ind w:start="151" w:end="135"/>
              <w:jc w:val="center"/>
              <w:rPr>
                <w:sz w:val="18"/>
              </w:rPr>
            </w:pPr>
            <w:r>
              <w:rPr>
                <w:sz w:val="18"/>
              </w:rPr>
              <w:t xml:space="preserve">Valeur p : </w:t>
            </w:r>
            <w:r>
              <w:rPr>
                <w:sz w:val="18"/>
              </w:rPr>
              <w:t xml:space="preserve">&lt; 0,</w:t>
            </w:r>
            <w:r>
              <w:rPr>
                <w:sz w:val="18"/>
              </w:rPr>
              <w:t xml:space="preserve">001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04" w:end="88"/>
              <w:jc w:val="center"/>
              <w:rPr>
                <w:sz w:val="18"/>
              </w:rPr>
            </w:pPr>
            <w:r>
              <w:rPr>
                <w:sz w:val="18"/>
              </w:rPr>
              <w:t xml:space="preserve">TRES </w:t>
            </w:r>
            <w:r>
              <w:rPr>
                <w:sz w:val="18"/>
              </w:rPr>
              <w:t xml:space="preserve">FAIBLE</w:t>
            </w:r>
          </w:p>
        </w:tc>
      </w:tr>
      <w:tr w:rsidR="00432386">
        <w:trPr>
          <w:trHeight w:val="230"/>
        </w:trPr>
        <w:tc>
          <w:tcPr>
            <w:tcW w:w="13950" w:type="dxa"/>
            <w:gridSpan w:val="10"/>
            <w:shd w:val="clear" w:color="auto" w:fill="8DB3E1"/>
          </w:tcPr>
          <w:p>
            <w:pPr>
              <w:pStyle w:val="TableParagraph"/>
              <w:spacing w:line="210"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de </w:t>
            </w:r>
            <w:r>
              <w:rPr>
                <w:b/>
                <w:i/>
                <w:sz w:val="20"/>
              </w:rPr>
              <w:t xml:space="preserve">la </w:t>
            </w:r>
            <w:r>
              <w:rPr>
                <w:b/>
                <w:i/>
                <w:sz w:val="20"/>
              </w:rPr>
              <w:t xml:space="preserve">DMO du </w:t>
            </w:r>
            <w:r>
              <w:rPr>
                <w:b/>
                <w:i/>
                <w:sz w:val="20"/>
              </w:rPr>
              <w:t xml:space="preserve">col du </w:t>
            </w:r>
            <w:r>
              <w:rPr>
                <w:b/>
                <w:i/>
                <w:sz w:val="20"/>
              </w:rPr>
              <w:t xml:space="preserve">fémur </w:t>
            </w:r>
            <w:r>
              <w:rPr>
                <w:b/>
                <w:i/>
                <w:sz w:val="20"/>
              </w:rPr>
              <w:t xml:space="preserve">(hanche)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 du </w:t>
            </w:r>
            <w:r>
              <w:rPr>
                <w:b/>
                <w:i/>
                <w:sz w:val="20"/>
              </w:rPr>
              <w:t xml:space="preserve">col </w:t>
            </w:r>
            <w:r>
              <w:rPr>
                <w:b/>
                <w:i/>
                <w:sz w:val="20"/>
              </w:rPr>
              <w:t xml:space="preserve">du fémur </w:t>
            </w:r>
            <w:r>
              <w:rPr>
                <w:b/>
                <w:i/>
                <w:sz w:val="20"/>
              </w:rPr>
              <w:t xml:space="preserve">entre le </w:t>
            </w:r>
            <w:r>
              <w:rPr>
                <w:b/>
                <w:i/>
                <w:sz w:val="20"/>
              </w:rPr>
              <w:t xml:space="preserve">début de l'étude </w:t>
            </w:r>
            <w:r>
              <w:rPr>
                <w:b/>
                <w:i/>
                <w:sz w:val="20"/>
              </w:rPr>
              <w:t xml:space="preserve">et </w:t>
            </w:r>
            <w:r>
              <w:rPr>
                <w:b/>
                <w:i/>
                <w:sz w:val="20"/>
              </w:rPr>
              <w:t xml:space="preserve">un </w:t>
            </w:r>
            <w:r>
              <w:rPr>
                <w:b/>
                <w:i/>
                <w:sz w:val="20"/>
              </w:rPr>
              <w:t xml:space="preserve">an </w:t>
            </w:r>
            <w:r>
              <w:rPr>
                <w:b/>
                <w:i/>
                <w:sz w:val="20"/>
              </w:rPr>
              <w:t xml:space="preserve">chez les </w:t>
            </w:r>
            <w:r>
              <w:rPr>
                <w:b/>
                <w:i/>
                <w:sz w:val="20"/>
              </w:rPr>
              <w:t xml:space="preserve">femmes transfemmes.</w:t>
            </w:r>
          </w:p>
        </w:tc>
      </w:tr>
      <w:tr w:rsidR="00432386">
        <w:trPr>
          <w:trHeight w:val="1862"/>
        </w:trPr>
        <w:tc>
          <w:tcPr>
            <w:tcW w:w="1133" w:type="dxa"/>
          </w:tcPr>
          <w:p w:rsidR="00432386" w:rsidRDefault="00432386">
            <w:pPr>
              <w:pStyle w:val="TableParagraph"/>
              <w:spacing w:before="9"/>
              <w:rPr>
                <w:b/>
                <w:sz w:val="21"/>
              </w:rPr>
            </w:pPr>
          </w:p>
          <w:p>
            <w:pPr>
              <w:pStyle w:val="TableParagraph"/>
              <w:spacing w:before="1"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8"/>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3"/>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spacing w:line="242" w:lineRule="auto"/>
              <w:ind w:start="488" w:end="472" w:firstLine="3"/>
              <w:jc w:val="center"/>
              <w:rPr>
                <w:sz w:val="18"/>
              </w:rPr>
            </w:pPr>
            <w:r>
              <w:rPr>
                <w:sz w:val="18"/>
              </w:rPr>
              <w:t xml:space="preserve">Moyenne (ET), kg/m2 </w:t>
            </w:r>
            <w:r>
              <w:rPr>
                <w:sz w:val="18"/>
              </w:rPr>
              <w:t xml:space="preserve">Ligne de base : </w:t>
            </w:r>
            <w:r>
              <w:rPr>
                <w:sz w:val="18"/>
              </w:rPr>
              <w:t xml:space="preserve">0,894 </w:t>
            </w:r>
            <w:r>
              <w:rPr>
                <w:sz w:val="18"/>
              </w:rPr>
              <w:t xml:space="preserve">(0,118)</w:t>
            </w:r>
          </w:p>
          <w:p>
            <w:pPr>
              <w:pStyle w:val="TableParagraph"/>
              <w:ind w:start="288" w:end="271"/>
              <w:jc w:val="center"/>
              <w:rPr>
                <w:sz w:val="18"/>
              </w:rPr>
            </w:pPr>
            <w:r>
              <w:rPr>
                <w:sz w:val="18"/>
              </w:rPr>
              <w:t xml:space="preserve">1 an : 0.905 (0.104) </w:t>
            </w:r>
            <w:r>
              <w:rPr>
                <w:sz w:val="18"/>
              </w:rPr>
              <w:t xml:space="preserve">p=0.571</w:t>
            </w:r>
          </w:p>
          <w:p w:rsidR="00432386" w:rsidRDefault="00432386">
            <w:pPr>
              <w:pStyle w:val="TableParagraph"/>
              <w:spacing w:before="8"/>
              <w:rPr>
                <w:b/>
                <w:sz w:val="17"/>
              </w:rPr>
            </w:pPr>
          </w:p>
          <w:p>
            <w:pPr>
              <w:pStyle w:val="TableParagraph"/>
              <w:ind w:start="488" w:end="463" w:firstLine="636"/>
              <w:rPr>
                <w:sz w:val="18"/>
              </w:rPr>
            </w:pPr>
            <w:r>
              <w:rPr>
                <w:sz w:val="18"/>
              </w:rPr>
              <w:t xml:space="preserve">Z-score au </w:t>
            </w:r>
            <w:r>
              <w:rPr>
                <w:sz w:val="18"/>
              </w:rPr>
              <w:t xml:space="preserve">départ : </w:t>
            </w:r>
            <w:r>
              <w:rPr>
                <w:sz w:val="18"/>
              </w:rPr>
              <w:t xml:space="preserve">0,157 </w:t>
            </w:r>
            <w:r>
              <w:rPr>
                <w:sz w:val="18"/>
              </w:rPr>
              <w:t xml:space="preserve">(0,905)</w:t>
            </w:r>
          </w:p>
          <w:p>
            <w:pPr>
              <w:pStyle w:val="TableParagraph"/>
              <w:spacing w:line="206" w:lineRule="exact"/>
              <w:ind w:start="151" w:end="138"/>
              <w:jc w:val="center"/>
              <w:rPr>
                <w:sz w:val="18"/>
              </w:rPr>
            </w:pPr>
            <w:r>
              <w:rPr>
                <w:sz w:val="18"/>
              </w:rPr>
              <w:t xml:space="preserve">1 </w:t>
            </w:r>
            <w:r>
              <w:rPr>
                <w:sz w:val="18"/>
              </w:rPr>
              <w:t xml:space="preserve">an : </w:t>
            </w:r>
            <w:r>
              <w:rPr>
                <w:sz w:val="18"/>
              </w:rPr>
              <w:t xml:space="preserve">−0.340 </w:t>
            </w:r>
            <w:r>
              <w:rPr>
                <w:sz w:val="18"/>
              </w:rPr>
              <w:t xml:space="preserve">(0.816)</w:t>
            </w:r>
          </w:p>
          <w:p>
            <w:pPr>
              <w:pStyle w:val="TableParagraph"/>
              <w:spacing w:line="187" w:lineRule="exact"/>
              <w:ind w:start="151" w:end="135"/>
              <w:jc w:val="center"/>
              <w:rPr>
                <w:sz w:val="18"/>
              </w:rPr>
            </w:pPr>
            <w:r>
              <w:rPr>
                <w:sz w:val="18"/>
              </w:rPr>
              <w:t xml:space="preserve">p=0.002</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w:t>
            </w:r>
            <w:r>
              <w:rPr>
                <w:b/>
                <w:i/>
                <w:sz w:val="20"/>
              </w:rPr>
              <w:t xml:space="preserve">de la </w:t>
            </w:r>
            <w:r>
              <w:rPr>
                <w:b/>
                <w:i/>
                <w:sz w:val="20"/>
              </w:rPr>
              <w:t xml:space="preserve">ligne de base </w:t>
            </w:r>
            <w:r>
              <w:rPr>
                <w:b/>
                <w:i/>
                <w:sz w:val="20"/>
              </w:rPr>
              <w:t xml:space="preserve">à </w:t>
            </w:r>
            <w:r>
              <w:rPr>
                <w:b/>
                <w:i/>
                <w:sz w:val="20"/>
              </w:rPr>
              <w:t xml:space="preserve">1 </w:t>
            </w:r>
            <w:r>
              <w:rPr>
                <w:b/>
                <w:i/>
                <w:sz w:val="20"/>
              </w:rPr>
              <w:t xml:space="preserve">an </w:t>
            </w:r>
            <w:r>
              <w:rPr>
                <w:b/>
                <w:i/>
                <w:sz w:val="20"/>
              </w:rPr>
              <w:t xml:space="preserve">de la </w:t>
            </w:r>
            <w:r>
              <w:rPr>
                <w:b/>
                <w:i/>
                <w:sz w:val="20"/>
              </w:rPr>
              <w:t xml:space="preserve">DMO du </w:t>
            </w:r>
            <w:r>
              <w:rPr>
                <w:b/>
                <w:i/>
                <w:sz w:val="20"/>
              </w:rPr>
              <w:t xml:space="preserve">col </w:t>
            </w:r>
            <w:r>
              <w:rPr>
                <w:b/>
                <w:i/>
                <w:sz w:val="20"/>
              </w:rPr>
              <w:t xml:space="preserve">fémoral </w:t>
            </w:r>
            <w:r>
              <w:rPr>
                <w:b/>
                <w:i/>
                <w:sz w:val="20"/>
              </w:rPr>
              <w:t xml:space="preserve">chez les </w:t>
            </w:r>
            <w:r>
              <w:rPr>
                <w:b/>
                <w:i/>
                <w:sz w:val="20"/>
              </w:rPr>
              <w:t xml:space="preserve">transmales</w:t>
            </w:r>
          </w:p>
        </w:tc>
      </w:tr>
      <w:tr w:rsidR="00432386">
        <w:trPr>
          <w:trHeight w:val="1862"/>
        </w:trPr>
        <w:tc>
          <w:tcPr>
            <w:tcW w:w="1133" w:type="dxa"/>
          </w:tcPr>
          <w:p w:rsidR="00432386" w:rsidRDefault="00432386">
            <w:pPr>
              <w:pStyle w:val="TableParagraph"/>
              <w:spacing w:before="10"/>
              <w:rPr>
                <w:b/>
                <w:sz w:val="21"/>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8"/>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3"/>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N=39</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0,772 </w:t>
            </w:r>
            <w:r>
              <w:rPr>
                <w:sz w:val="18"/>
              </w:rPr>
              <w:t xml:space="preserve">(0,137)</w:t>
            </w:r>
          </w:p>
          <w:p>
            <w:pPr>
              <w:pStyle w:val="TableParagraph"/>
              <w:ind w:start="288" w:end="272"/>
              <w:jc w:val="center"/>
              <w:rPr>
                <w:sz w:val="18"/>
              </w:rPr>
            </w:pPr>
            <w:r>
              <w:rPr>
                <w:sz w:val="18"/>
              </w:rPr>
              <w:t xml:space="preserve">1 an : 0.785 (0.120) </w:t>
            </w:r>
            <w:r>
              <w:rPr>
                <w:sz w:val="18"/>
              </w:rPr>
              <w:t xml:space="preserve">p=0.797</w:t>
            </w:r>
          </w:p>
          <w:p w:rsidR="00432386" w:rsidRDefault="00432386">
            <w:pPr>
              <w:pStyle w:val="TableParagraph"/>
              <w:spacing w:before="10"/>
              <w:rPr>
                <w:b/>
                <w:sz w:val="17"/>
              </w:rPr>
            </w:pPr>
          </w:p>
          <w:p>
            <w:pPr>
              <w:pStyle w:val="TableParagraph"/>
              <w:ind w:start="151" w:end="137"/>
              <w:jc w:val="center"/>
              <w:rPr>
                <w:sz w:val="18"/>
              </w:rPr>
            </w:pPr>
            <w:r>
              <w:rPr>
                <w:sz w:val="18"/>
              </w:rPr>
              <w:t xml:space="preserve">z-score</w:t>
            </w:r>
          </w:p>
          <w:p>
            <w:pPr>
              <w:pStyle w:val="TableParagraph"/>
              <w:spacing w:before="2" w:line="207" w:lineRule="exact"/>
              <w:ind w:start="151" w:end="136"/>
              <w:jc w:val="center"/>
              <w:rPr>
                <w:sz w:val="18"/>
              </w:rPr>
            </w:pPr>
            <w:r>
              <w:rPr>
                <w:sz w:val="18"/>
              </w:rPr>
              <w:t xml:space="preserve">Ligne de base : </w:t>
            </w:r>
            <w:r>
              <w:rPr>
                <w:sz w:val="18"/>
              </w:rPr>
              <w:t xml:space="preserve">−0.863 </w:t>
            </w:r>
            <w:r>
              <w:rPr>
                <w:sz w:val="18"/>
              </w:rPr>
              <w:t xml:space="preserve">(1.215)</w:t>
            </w:r>
          </w:p>
          <w:p>
            <w:pPr>
              <w:pStyle w:val="TableParagraph"/>
              <w:spacing w:line="206" w:lineRule="exact"/>
              <w:ind w:start="151" w:end="138"/>
              <w:jc w:val="center"/>
              <w:rPr>
                <w:sz w:val="18"/>
              </w:rPr>
            </w:pPr>
            <w:r>
              <w:rPr>
                <w:sz w:val="18"/>
              </w:rPr>
              <w:t xml:space="preserve">1 </w:t>
            </w:r>
            <w:r>
              <w:rPr>
                <w:sz w:val="18"/>
              </w:rPr>
              <w:t xml:space="preserve">an : </w:t>
            </w:r>
            <w:r>
              <w:rPr>
                <w:sz w:val="18"/>
              </w:rPr>
              <w:t xml:space="preserve">−1.440 </w:t>
            </w:r>
            <w:r>
              <w:rPr>
                <w:sz w:val="18"/>
              </w:rPr>
              <w:t xml:space="preserve">(1.075)</w:t>
            </w:r>
          </w:p>
          <w:p>
            <w:pPr>
              <w:pStyle w:val="TableParagraph"/>
              <w:spacing w:line="187" w:lineRule="exact"/>
              <w:ind w:start="151" w:end="135"/>
              <w:jc w:val="center"/>
              <w:rPr>
                <w:sz w:val="18"/>
              </w:rPr>
            </w:pPr>
            <w:r>
              <w:rPr>
                <w:sz w:val="18"/>
              </w:rPr>
              <w:t xml:space="preserve">p=0.000</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Évolution de </w:t>
            </w:r>
            <w:r>
              <w:rPr>
                <w:b/>
                <w:i/>
                <w:sz w:val="20"/>
              </w:rPr>
              <w:t xml:space="preserve">la </w:t>
            </w:r>
            <w:r>
              <w:rPr>
                <w:b/>
                <w:i/>
                <w:sz w:val="20"/>
              </w:rPr>
              <w:t xml:space="preserve">DMO du </w:t>
            </w:r>
            <w:r>
              <w:rPr>
                <w:b/>
                <w:i/>
                <w:sz w:val="20"/>
              </w:rPr>
              <w:t xml:space="preserve">col du </w:t>
            </w:r>
            <w:r>
              <w:rPr>
                <w:b/>
                <w:i/>
                <w:sz w:val="20"/>
              </w:rPr>
              <w:t xml:space="preserve">fémur </w:t>
            </w:r>
            <w:r>
              <w:rPr>
                <w:b/>
                <w:i/>
                <w:sz w:val="20"/>
              </w:rPr>
              <w:t xml:space="preserve">entre le </w:t>
            </w:r>
            <w:r>
              <w:rPr>
                <w:b/>
                <w:i/>
                <w:sz w:val="20"/>
              </w:rPr>
              <w:t xml:space="preserve">début </w:t>
            </w:r>
            <w:r>
              <w:rPr>
                <w:b/>
                <w:i/>
                <w:sz w:val="20"/>
              </w:rPr>
              <w:t xml:space="preserve">et la </w:t>
            </w:r>
            <w:r>
              <w:rPr>
                <w:b/>
                <w:i/>
                <w:sz w:val="20"/>
              </w:rPr>
              <w:t xml:space="preserve">fin </w:t>
            </w:r>
            <w:r>
              <w:rPr>
                <w:b/>
                <w:i/>
                <w:sz w:val="20"/>
              </w:rPr>
              <w:t xml:space="preserve">de l'</w:t>
            </w:r>
            <w:r>
              <w:rPr>
                <w:b/>
                <w:i/>
                <w:sz w:val="20"/>
              </w:rPr>
              <w:t xml:space="preserve">étude </w:t>
            </w:r>
            <w:r>
              <w:rPr>
                <w:b/>
                <w:i/>
                <w:sz w:val="20"/>
              </w:rPr>
              <w:t xml:space="preserve">chez les </w:t>
            </w:r>
            <w:r>
              <w:rPr>
                <w:b/>
                <w:i/>
                <w:sz w:val="20"/>
              </w:rPr>
              <w:t xml:space="preserve">femmes transfemmes.</w:t>
            </w:r>
          </w:p>
        </w:tc>
      </w:tr>
    </w:tbl>
    <w:p w:rsidR="00432386" w:rsidRDefault="00432386">
      <w:pPr>
        <w:spacing w:line="229" w:lineRule="exact"/>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1862"/>
        </w:trPr>
        <w:tc>
          <w:tcPr>
            <w:tcW w:w="1133" w:type="dxa"/>
          </w:tcPr>
          <w:p w:rsidR="00432386" w:rsidRDefault="00432386">
            <w:pPr>
              <w:pStyle w:val="TableParagraph"/>
              <w:spacing w:before="1"/>
              <w:rPr>
                <w:b/>
                <w:sz w:val="19"/>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2"/>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N=10</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0,920 </w:t>
            </w:r>
            <w:r>
              <w:rPr>
                <w:sz w:val="18"/>
              </w:rPr>
              <w:t xml:space="preserve">(0,116)</w:t>
            </w:r>
          </w:p>
          <w:p>
            <w:pPr>
              <w:pStyle w:val="TableParagraph"/>
              <w:ind w:start="288" w:end="273"/>
              <w:jc w:val="center"/>
              <w:rPr>
                <w:sz w:val="18"/>
              </w:rPr>
            </w:pPr>
            <w:r>
              <w:rPr>
                <w:sz w:val="18"/>
              </w:rPr>
              <w:t xml:space="preserve">2 ans : 0.910 (0.125) </w:t>
            </w:r>
            <w:r>
              <w:rPr>
                <w:sz w:val="18"/>
              </w:rPr>
              <w:t xml:space="preserve">p=0.402</w:t>
            </w:r>
          </w:p>
          <w:p w:rsidR="00432386" w:rsidRDefault="00432386">
            <w:pPr>
              <w:pStyle w:val="TableParagraph"/>
              <w:spacing w:before="10"/>
              <w:rPr>
                <w:b/>
                <w:sz w:val="17"/>
              </w:rPr>
            </w:pPr>
          </w:p>
          <w:p>
            <w:pPr>
              <w:pStyle w:val="TableParagraph"/>
              <w:ind w:start="488" w:end="463" w:firstLine="636"/>
              <w:rPr>
                <w:sz w:val="18"/>
              </w:rPr>
            </w:pPr>
            <w:r>
              <w:rPr>
                <w:sz w:val="18"/>
              </w:rPr>
              <w:t xml:space="preserve">Z-score au </w:t>
            </w:r>
            <w:r>
              <w:rPr>
                <w:sz w:val="18"/>
              </w:rPr>
              <w:t xml:space="preserve">départ : </w:t>
            </w:r>
            <w:r>
              <w:rPr>
                <w:sz w:val="18"/>
              </w:rPr>
              <w:t xml:space="preserve">0,450 </w:t>
            </w:r>
            <w:r>
              <w:rPr>
                <w:sz w:val="18"/>
              </w:rPr>
              <w:t xml:space="preserve">(0,781)</w:t>
            </w:r>
          </w:p>
          <w:p>
            <w:pPr>
              <w:pStyle w:val="TableParagraph"/>
              <w:spacing w:before="1" w:line="207" w:lineRule="exact"/>
              <w:ind w:start="151" w:end="138"/>
              <w:jc w:val="center"/>
              <w:rPr>
                <w:sz w:val="18"/>
              </w:rPr>
            </w:pPr>
            <w:r>
              <w:rPr>
                <w:sz w:val="18"/>
              </w:rPr>
              <w:t xml:space="preserve">2 </w:t>
            </w:r>
            <w:r>
              <w:rPr>
                <w:sz w:val="18"/>
              </w:rPr>
              <w:t xml:space="preserve">ans : </w:t>
            </w:r>
            <w:r>
              <w:rPr>
                <w:sz w:val="18"/>
              </w:rPr>
              <w:t xml:space="preserve">−0.600 </w:t>
            </w:r>
            <w:r>
              <w:rPr>
                <w:sz w:val="18"/>
              </w:rPr>
              <w:t xml:space="preserve">(1.059)</w:t>
            </w:r>
          </w:p>
          <w:p>
            <w:pPr>
              <w:pStyle w:val="TableParagraph"/>
              <w:spacing w:line="187" w:lineRule="exact"/>
              <w:ind w:start="151" w:end="135"/>
              <w:jc w:val="center"/>
              <w:rPr>
                <w:sz w:val="18"/>
              </w:rPr>
            </w:pPr>
            <w:r>
              <w:rPr>
                <w:sz w:val="18"/>
              </w:rPr>
              <w:t xml:space="preserve">p=0.002</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w:t>
            </w:r>
            <w:r>
              <w:rPr>
                <w:b/>
                <w:i/>
                <w:sz w:val="20"/>
              </w:rPr>
              <w:t xml:space="preserve">de la </w:t>
            </w:r>
            <w:r>
              <w:rPr>
                <w:b/>
                <w:i/>
                <w:sz w:val="20"/>
              </w:rPr>
              <w:t xml:space="preserve">ligne de base </w:t>
            </w:r>
            <w:r>
              <w:rPr>
                <w:b/>
                <w:i/>
                <w:sz w:val="20"/>
              </w:rPr>
              <w:t xml:space="preserve">à </w:t>
            </w:r>
            <w:r>
              <w:rPr>
                <w:b/>
                <w:i/>
                <w:sz w:val="20"/>
              </w:rPr>
              <w:t xml:space="preserve">2 </w:t>
            </w:r>
            <w:r>
              <w:rPr>
                <w:b/>
                <w:i/>
                <w:sz w:val="20"/>
              </w:rPr>
              <w:t xml:space="preserve">ans </w:t>
            </w:r>
            <w:r>
              <w:rPr>
                <w:b/>
                <w:i/>
                <w:sz w:val="20"/>
              </w:rPr>
              <w:t xml:space="preserve">de la </w:t>
            </w:r>
            <w:r>
              <w:rPr>
                <w:b/>
                <w:i/>
                <w:sz w:val="20"/>
              </w:rPr>
              <w:t xml:space="preserve">DMO du </w:t>
            </w:r>
            <w:r>
              <w:rPr>
                <w:b/>
                <w:i/>
                <w:sz w:val="20"/>
              </w:rPr>
              <w:t xml:space="preserve">col </w:t>
            </w:r>
            <w:r>
              <w:rPr>
                <w:b/>
                <w:i/>
                <w:sz w:val="20"/>
              </w:rPr>
              <w:t xml:space="preserve">fémoral </w:t>
            </w:r>
            <w:r>
              <w:rPr>
                <w:b/>
                <w:i/>
                <w:sz w:val="20"/>
              </w:rPr>
              <w:t xml:space="preserve">chez les </w:t>
            </w:r>
            <w:r>
              <w:rPr>
                <w:b/>
                <w:i/>
                <w:sz w:val="20"/>
              </w:rPr>
              <w:t xml:space="preserve">transmales</w:t>
            </w:r>
          </w:p>
        </w:tc>
      </w:tr>
      <w:tr w:rsidR="00432386">
        <w:trPr>
          <w:trHeight w:val="1862"/>
        </w:trPr>
        <w:tc>
          <w:tcPr>
            <w:tcW w:w="1133" w:type="dxa"/>
          </w:tcPr>
          <w:p w:rsidR="00432386" w:rsidRDefault="00432386">
            <w:pPr>
              <w:pStyle w:val="TableParagraph"/>
              <w:spacing w:before="7"/>
              <w:rPr>
                <w:b/>
                <w:sz w:val="21"/>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215"/>
              <w:rPr>
                <w:sz w:val="18"/>
              </w:rPr>
            </w:pPr>
            <w:r>
              <w:rPr>
                <w:sz w:val="18"/>
              </w:rPr>
              <w:t xml:space="preserve">Joseph et </w:t>
            </w:r>
            <w:r>
              <w:rPr>
                <w:sz w:val="18"/>
              </w:rPr>
              <w:t xml:space="preserve">al. </w:t>
            </w:r>
            <w:r>
              <w:rPr>
                <w:sz w:val="18"/>
              </w:rPr>
              <w:t xml:space="preserve">(2019)</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3"/>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88" w:end="75"/>
              <w:jc w:val="center"/>
              <w:rPr>
                <w:sz w:val="18"/>
              </w:rPr>
            </w:pPr>
            <w:r>
              <w:rPr>
                <w:sz w:val="18"/>
              </w:rPr>
              <w:t xml:space="preserve">N=21</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53" w:end="136"/>
              <w:jc w:val="center"/>
              <w:rPr>
                <w:sz w:val="18"/>
              </w:rPr>
            </w:pPr>
            <w:r>
              <w:rPr>
                <w:sz w:val="18"/>
              </w:rPr>
              <w:t xml:space="preserve">Aucun</w:t>
            </w:r>
          </w:p>
        </w:tc>
        <w:tc>
          <w:tcPr>
            <w:tcW w:w="2836" w:type="dxa"/>
          </w:tcPr>
          <w:p>
            <w:pPr>
              <w:pStyle w:val="TableParagraph"/>
              <w:ind w:start="488" w:end="472" w:firstLine="3"/>
              <w:jc w:val="center"/>
              <w:rPr>
                <w:sz w:val="18"/>
              </w:rPr>
            </w:pPr>
            <w:r>
              <w:rPr>
                <w:sz w:val="18"/>
              </w:rPr>
              <w:t xml:space="preserve">Moyenne (ET), kg/m2 </w:t>
            </w:r>
            <w:r>
              <w:rPr>
                <w:sz w:val="18"/>
              </w:rPr>
              <w:t xml:space="preserve">Ligne de base : </w:t>
            </w:r>
            <w:r>
              <w:rPr>
                <w:sz w:val="18"/>
              </w:rPr>
              <w:t xml:space="preserve">0,766 </w:t>
            </w:r>
            <w:r>
              <w:rPr>
                <w:sz w:val="18"/>
              </w:rPr>
              <w:t xml:space="preserve">(0,215)</w:t>
            </w:r>
          </w:p>
          <w:p>
            <w:pPr>
              <w:pStyle w:val="TableParagraph"/>
              <w:ind w:start="288" w:end="273"/>
              <w:jc w:val="center"/>
              <w:rPr>
                <w:sz w:val="18"/>
              </w:rPr>
            </w:pPr>
            <w:r>
              <w:rPr>
                <w:sz w:val="18"/>
              </w:rPr>
              <w:t xml:space="preserve">2 ans : 0.773 (0.197) </w:t>
            </w:r>
            <w:r>
              <w:rPr>
                <w:sz w:val="18"/>
              </w:rPr>
              <w:t xml:space="preserve">p=0.604</w:t>
            </w:r>
          </w:p>
          <w:p w:rsidR="00432386" w:rsidRDefault="00432386">
            <w:pPr>
              <w:pStyle w:val="TableParagraph"/>
              <w:spacing w:before="10"/>
              <w:rPr>
                <w:b/>
                <w:sz w:val="17"/>
              </w:rPr>
            </w:pPr>
          </w:p>
          <w:p>
            <w:pPr>
              <w:pStyle w:val="TableParagraph"/>
              <w:spacing w:line="207" w:lineRule="exact"/>
              <w:ind w:start="151" w:end="137"/>
              <w:jc w:val="center"/>
              <w:rPr>
                <w:sz w:val="18"/>
              </w:rPr>
            </w:pPr>
            <w:r>
              <w:rPr>
                <w:sz w:val="18"/>
              </w:rPr>
              <w:t xml:space="preserve">z-score</w:t>
            </w:r>
          </w:p>
          <w:p>
            <w:pPr>
              <w:pStyle w:val="TableParagraph"/>
              <w:spacing w:line="207" w:lineRule="exact"/>
              <w:ind w:start="151" w:end="136"/>
              <w:jc w:val="center"/>
              <w:rPr>
                <w:sz w:val="18"/>
              </w:rPr>
            </w:pPr>
            <w:r>
              <w:rPr>
                <w:sz w:val="18"/>
              </w:rPr>
              <w:t xml:space="preserve">Ligne de base : </w:t>
            </w:r>
            <w:r>
              <w:rPr>
                <w:sz w:val="18"/>
              </w:rPr>
              <w:t xml:space="preserve">−1.075 </w:t>
            </w:r>
            <w:r>
              <w:rPr>
                <w:sz w:val="18"/>
              </w:rPr>
              <w:t xml:space="preserve">(1.145)</w:t>
            </w:r>
          </w:p>
          <w:p>
            <w:pPr>
              <w:pStyle w:val="TableParagraph"/>
              <w:spacing w:before="2" w:line="207" w:lineRule="exact"/>
              <w:ind w:start="151" w:end="138"/>
              <w:jc w:val="center"/>
              <w:rPr>
                <w:sz w:val="18"/>
              </w:rPr>
            </w:pPr>
            <w:r>
              <w:rPr>
                <w:sz w:val="18"/>
              </w:rPr>
              <w:t xml:space="preserve">2 </w:t>
            </w:r>
            <w:r>
              <w:rPr>
                <w:sz w:val="18"/>
              </w:rPr>
              <w:t xml:space="preserve">ans : </w:t>
            </w:r>
            <w:r>
              <w:rPr>
                <w:sz w:val="18"/>
              </w:rPr>
              <w:t xml:space="preserve">−1.779 </w:t>
            </w:r>
            <w:r>
              <w:rPr>
                <w:sz w:val="18"/>
              </w:rPr>
              <w:t xml:space="preserve">(0.816)</w:t>
            </w:r>
          </w:p>
          <w:p>
            <w:pPr>
              <w:pStyle w:val="TableParagraph"/>
              <w:spacing w:line="187" w:lineRule="exact"/>
              <w:ind w:start="151" w:end="135"/>
              <w:jc w:val="center"/>
              <w:rPr>
                <w:sz w:val="18"/>
              </w:rPr>
            </w:pPr>
            <w:r>
              <w:rPr>
                <w:sz w:val="18"/>
              </w:rPr>
              <w:t xml:space="preserve">p=0.001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ind w:start="104" w:end="88"/>
              <w:jc w:val="center"/>
              <w:rPr>
                <w:sz w:val="18"/>
              </w:rPr>
            </w:pPr>
            <w:r>
              <w:rPr>
                <w:sz w:val="18"/>
              </w:rPr>
              <w:t xml:space="preserve">TRES </w:t>
            </w:r>
            <w:r>
              <w:rPr>
                <w:sz w:val="18"/>
              </w:rPr>
              <w:t xml:space="preserve">FAIBLE</w:t>
            </w:r>
          </w:p>
        </w:tc>
      </w:tr>
      <w:tr w:rsidR="00432386">
        <w:trPr>
          <w:trHeight w:val="230"/>
        </w:trPr>
        <w:tc>
          <w:tcPr>
            <w:tcW w:w="13950" w:type="dxa"/>
            <w:gridSpan w:val="10"/>
            <w:shd w:val="clear" w:color="auto" w:fill="8DB3E1"/>
          </w:tcPr>
          <w:p>
            <w:pPr>
              <w:pStyle w:val="TableParagraph"/>
              <w:spacing w:line="210"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w:t>
            </w:r>
            <w:r>
              <w:rPr>
                <w:b/>
                <w:i/>
                <w:sz w:val="20"/>
              </w:rPr>
              <w:t xml:space="preserve">dans le </w:t>
            </w:r>
            <w:r>
              <w:rPr>
                <w:b/>
                <w:i/>
                <w:sz w:val="20"/>
              </w:rPr>
              <w:t xml:space="preserve">col du </w:t>
            </w:r>
            <w:r>
              <w:rPr>
                <w:b/>
                <w:i/>
                <w:sz w:val="20"/>
              </w:rPr>
              <w:t xml:space="preserve">fémur </w:t>
            </w:r>
            <w:r>
              <w:rPr>
                <w:b/>
                <w:i/>
                <w:sz w:val="20"/>
              </w:rPr>
              <w:t xml:space="preserve">(hanche) </w:t>
            </w:r>
            <w:r>
              <w:rPr>
                <w:b/>
                <w:i/>
                <w:sz w:val="20"/>
              </w:rPr>
              <w:t xml:space="preserve">BMAD</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dans la </w:t>
            </w:r>
            <w:r>
              <w:rPr>
                <w:b/>
                <w:i/>
                <w:sz w:val="20"/>
              </w:rPr>
              <w:t xml:space="preserve">DMOA du </w:t>
            </w:r>
            <w:r>
              <w:rPr>
                <w:b/>
                <w:i/>
                <w:sz w:val="20"/>
              </w:rPr>
              <w:t xml:space="preserve">col du </w:t>
            </w:r>
            <w:r>
              <w:rPr>
                <w:b/>
                <w:i/>
                <w:sz w:val="20"/>
              </w:rPr>
              <w:t xml:space="preserve">fémur </w:t>
            </w:r>
            <w:r>
              <w:rPr>
                <w:b/>
                <w:i/>
                <w:sz w:val="20"/>
              </w:rPr>
              <w:t xml:space="preserve">chez les </w:t>
            </w:r>
            <w:r>
              <w:rPr>
                <w:b/>
                <w:i/>
                <w:sz w:val="20"/>
              </w:rPr>
              <w:t xml:space="preserve">transfemmes </w:t>
            </w:r>
            <w:r>
              <w:rPr>
                <w:b/>
                <w:i/>
                <w:sz w:val="20"/>
              </w:rPr>
              <w:t xml:space="preserve">(</w:t>
            </w:r>
            <w:r>
              <w:rPr>
                <w:b/>
                <w:i/>
                <w:sz w:val="20"/>
              </w:rPr>
              <w:t xml:space="preserve">âge </w:t>
            </w:r>
            <w:r>
              <w:rPr>
                <w:b/>
                <w:i/>
                <w:sz w:val="20"/>
              </w:rPr>
              <w:t xml:space="preserve">osseux </w:t>
            </w:r>
            <w:r>
              <w:rPr>
                <w:b/>
                <w:i/>
                <w:sz w:val="20"/>
              </w:rPr>
              <w:t xml:space="preserve">de </w:t>
            </w:r>
            <w:r>
              <w:rPr>
                <w:b/>
                <w:i/>
                <w:sz w:val="20"/>
              </w:rPr>
              <w:t xml:space="preserve">&lt;15 </w:t>
            </w:r>
            <w:r>
              <w:rPr>
                <w:b/>
                <w:i/>
                <w:sz w:val="20"/>
              </w:rPr>
              <w:t xml:space="preserve">ans)</w:t>
            </w:r>
          </w:p>
        </w:tc>
      </w:tr>
      <w:tr w:rsidR="00432386">
        <w:trPr>
          <w:trHeight w:val="2690"/>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spacing w:before="1"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8"/>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19"/>
              </w:rPr>
            </w:pPr>
          </w:p>
          <w:p>
            <w:pPr>
              <w:pStyle w:val="TableParagraph"/>
              <w:spacing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88" w:end="75"/>
              <w:jc w:val="center"/>
              <w:rPr>
                <w:sz w:val="18"/>
              </w:rPr>
            </w:pPr>
            <w:r>
              <w:rPr>
                <w:sz w:val="18"/>
              </w:rPr>
              <w:t xml:space="preserve">N=16</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53" w:end="136"/>
              <w:jc w:val="center"/>
              <w:rPr>
                <w:sz w:val="18"/>
              </w:rPr>
            </w:pPr>
            <w:r>
              <w:rPr>
                <w:sz w:val="18"/>
              </w:rPr>
              <w:t xml:space="preserve">Aucun</w:t>
            </w:r>
          </w:p>
        </w:tc>
        <w:tc>
          <w:tcPr>
            <w:tcW w:w="2836" w:type="dxa"/>
          </w:tcPr>
          <w:p>
            <w:pPr>
              <w:pStyle w:val="TableParagraph"/>
              <w:ind w:start="216" w:end="199" w:firstLine="297"/>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0,29 </w:t>
            </w:r>
            <w:r>
              <w:rPr>
                <w:sz w:val="18"/>
              </w:rPr>
              <w:t xml:space="preserve">(0,20 </w:t>
            </w:r>
            <w:r>
              <w:rPr>
                <w:sz w:val="18"/>
              </w:rPr>
              <w:t xml:space="preserve">à</w:t>
            </w:r>
          </w:p>
          <w:p>
            <w:pPr>
              <w:pStyle w:val="TableParagraph"/>
              <w:spacing w:line="206" w:lineRule="exact"/>
              <w:ind w:start="151" w:end="134"/>
              <w:jc w:val="center"/>
              <w:rPr>
                <w:sz w:val="18"/>
              </w:rPr>
            </w:pPr>
            <w:r>
              <w:rPr>
                <w:sz w:val="18"/>
              </w:rPr>
              <w:t xml:space="preserve">0.33)</w:t>
            </w:r>
          </w:p>
          <w:p>
            <w:pPr>
              <w:pStyle w:val="TableParagraph"/>
              <w:ind w:start="151" w:end="135"/>
              <w:jc w:val="center"/>
              <w:rPr>
                <w:sz w:val="18"/>
              </w:rPr>
            </w:pPr>
            <w:r>
              <w:rPr>
                <w:sz w:val="18"/>
              </w:rPr>
              <w:t xml:space="preserve">Hormones d'affirmation du genre : </w:t>
            </w:r>
            <w:r>
              <w:rPr>
                <w:sz w:val="18"/>
              </w:rPr>
              <w:t xml:space="preserve">0,27 </w:t>
            </w:r>
            <w:r>
              <w:rPr>
                <w:sz w:val="18"/>
              </w:rPr>
              <w:t xml:space="preserve">(0,20 </w:t>
            </w:r>
            <w:r>
              <w:rPr>
                <w:sz w:val="18"/>
              </w:rPr>
              <w:t xml:space="preserve">à 0,33)</w:t>
            </w:r>
          </w:p>
          <w:p>
            <w:pPr>
              <w:pStyle w:val="TableParagraph"/>
              <w:ind w:start="151" w:end="135"/>
              <w:jc w:val="center"/>
              <w:rPr>
                <w:sz w:val="18"/>
              </w:rPr>
            </w:pPr>
            <w:r>
              <w:rPr>
                <w:sz w:val="18"/>
              </w:rPr>
              <w:t xml:space="preserve">p≤0.1</w:t>
            </w:r>
          </w:p>
          <w:p w:rsidR="00432386" w:rsidRDefault="00432386">
            <w:pPr>
              <w:pStyle w:val="TableParagraph"/>
              <w:spacing w:before="10"/>
              <w:rPr>
                <w:b/>
                <w:sz w:val="17"/>
              </w:rPr>
            </w:pPr>
          </w:p>
          <w:p>
            <w:pPr>
              <w:pStyle w:val="TableParagraph"/>
              <w:ind w:start="151" w:end="137"/>
              <w:jc w:val="center"/>
              <w:rPr>
                <w:sz w:val="18"/>
              </w:rPr>
            </w:pPr>
            <w:r>
              <w:rPr>
                <w:sz w:val="18"/>
              </w:rPr>
              <w:t xml:space="preserve">z-score</w:t>
            </w:r>
          </w:p>
          <w:p>
            <w:pPr>
              <w:pStyle w:val="TableParagraph"/>
              <w:spacing w:before="2" w:line="207"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-0,71 </w:t>
            </w:r>
            <w:r>
              <w:rPr>
                <w:sz w:val="18"/>
              </w:rPr>
              <w:t xml:space="preserve">(-3,35 </w:t>
            </w:r>
            <w:r>
              <w:rPr>
                <w:sz w:val="18"/>
              </w:rPr>
              <w:t xml:space="preserve">à</w:t>
            </w:r>
          </w:p>
          <w:p>
            <w:pPr>
              <w:pStyle w:val="TableParagraph"/>
              <w:spacing w:line="206" w:lineRule="exact"/>
              <w:ind w:start="151" w:end="134"/>
              <w:jc w:val="center"/>
              <w:rPr>
                <w:sz w:val="18"/>
              </w:rPr>
            </w:pPr>
            <w:r>
              <w:rPr>
                <w:sz w:val="18"/>
              </w:rPr>
              <w:t xml:space="preserve">0.37)</w:t>
            </w:r>
          </w:p>
          <w:p>
            <w:pPr>
              <w:pStyle w:val="TableParagraph"/>
              <w:spacing w:line="206"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7" w:lineRule="exact"/>
              <w:ind w:start="151" w:end="135"/>
              <w:jc w:val="center"/>
              <w:rPr>
                <w:sz w:val="18"/>
              </w:rPr>
            </w:pPr>
            <w:r>
              <w:rPr>
                <w:sz w:val="18"/>
              </w:rPr>
              <w:t xml:space="preserve">-1,32 </w:t>
            </w:r>
            <w:r>
              <w:rPr>
                <w:sz w:val="18"/>
              </w:rPr>
              <w:t xml:space="preserve">(-3,39 à </w:t>
            </w:r>
            <w:r>
              <w:rPr>
                <w:sz w:val="18"/>
              </w:rPr>
              <w:t xml:space="preserve">0,21)</w:t>
            </w:r>
          </w:p>
          <w:p>
            <w:pPr>
              <w:pStyle w:val="TableParagraph"/>
              <w:spacing w:before="2" w:line="187" w:lineRule="exact"/>
              <w:ind w:start="151" w:end="135"/>
              <w:jc w:val="center"/>
              <w:rPr>
                <w:sz w:val="18"/>
              </w:rPr>
            </w:pPr>
            <w:r>
              <w:rPr>
                <w:sz w:val="18"/>
              </w:rPr>
              <w:t xml:space="preserve">p≤0.1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du </w:t>
            </w:r>
            <w:r>
              <w:rPr>
                <w:b/>
                <w:i/>
                <w:sz w:val="20"/>
              </w:rPr>
              <w:t xml:space="preserve">col </w:t>
            </w:r>
            <w:r>
              <w:rPr>
                <w:b/>
                <w:i/>
                <w:sz w:val="20"/>
              </w:rPr>
              <w:t xml:space="preserve">fémoral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transfemmes </w:t>
            </w:r>
            <w:r>
              <w:rPr>
                <w:b/>
                <w:i/>
                <w:sz w:val="20"/>
              </w:rPr>
              <w:t xml:space="preserve">(</w:t>
            </w:r>
            <w:r>
              <w:rPr>
                <w:b/>
                <w:i/>
                <w:sz w:val="20"/>
              </w:rPr>
              <w:t xml:space="preserve">âge </w:t>
            </w:r>
            <w:r>
              <w:rPr>
                <w:b/>
                <w:i/>
                <w:sz w:val="20"/>
              </w:rPr>
              <w:t xml:space="preserve">osseux </w:t>
            </w:r>
            <w:r>
              <w:rPr>
                <w:b/>
                <w:i/>
                <w:sz w:val="20"/>
              </w:rPr>
              <w:t xml:space="preserve">de</w:t>
            </w:r>
            <w:r>
              <w:rPr>
                <w:b/>
                <w:i/>
                <w:spacing w:val="-3"/>
                <w:sz w:val="20"/>
              </w:rPr>
              <w:t xml:space="preserve"> ≥15 ans</w:t>
            </w:r>
            <w:r>
              <w:rPr>
                <w:b/>
                <w:i/>
                <w:sz w:val="20"/>
              </w:rPr>
              <w:t xml:space="preserve">).</w:t>
            </w:r>
          </w:p>
        </w:tc>
      </w:tr>
    </w:tbl>
    <w:p w:rsidR="00432386" w:rsidRDefault="00432386">
      <w:pPr>
        <w:spacing w:line="229" w:lineRule="exact"/>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91" w:end="75"/>
              <w:jc w:val="center"/>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690"/>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88" w:end="75"/>
              <w:jc w:val="center"/>
              <w:rPr>
                <w:sz w:val="18"/>
              </w:rPr>
            </w:pPr>
            <w:r>
              <w:rPr>
                <w:sz w:val="18"/>
              </w:rPr>
              <w:t xml:space="preserve">N=6</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53" w:end="136"/>
              <w:jc w:val="center"/>
              <w:rPr>
                <w:sz w:val="18"/>
              </w:rPr>
            </w:pPr>
            <w:r>
              <w:rPr>
                <w:sz w:val="18"/>
              </w:rPr>
              <w:t xml:space="preserve">Aucun</w:t>
            </w:r>
          </w:p>
        </w:tc>
        <w:tc>
          <w:tcPr>
            <w:tcW w:w="2836" w:type="dxa"/>
          </w:tcPr>
          <w:p>
            <w:pPr>
              <w:pStyle w:val="TableParagraph"/>
              <w:ind w:start="216" w:end="199" w:firstLine="297"/>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0,30 </w:t>
            </w:r>
            <w:r>
              <w:rPr>
                <w:sz w:val="18"/>
              </w:rPr>
              <w:t xml:space="preserve">(0,26 </w:t>
            </w:r>
            <w:r>
              <w:rPr>
                <w:sz w:val="18"/>
              </w:rPr>
              <w:t xml:space="preserve">à</w:t>
            </w:r>
          </w:p>
          <w:p>
            <w:pPr>
              <w:pStyle w:val="TableParagraph"/>
              <w:spacing w:line="206" w:lineRule="exact"/>
              <w:ind w:start="151" w:end="134"/>
              <w:jc w:val="center"/>
              <w:rPr>
                <w:sz w:val="18"/>
              </w:rPr>
            </w:pPr>
            <w:r>
              <w:rPr>
                <w:sz w:val="18"/>
              </w:rPr>
              <w:t xml:space="preserve">0.36)</w:t>
            </w:r>
          </w:p>
          <w:p>
            <w:pPr>
              <w:pStyle w:val="TableParagraph"/>
              <w:ind w:start="151" w:end="135"/>
              <w:jc w:val="center"/>
              <w:rPr>
                <w:sz w:val="18"/>
              </w:rPr>
            </w:pPr>
            <w:r>
              <w:rPr>
                <w:sz w:val="18"/>
              </w:rPr>
              <w:t xml:space="preserve">Hormones d'affirmation du genre : </w:t>
            </w:r>
            <w:r>
              <w:rPr>
                <w:sz w:val="18"/>
              </w:rPr>
              <w:t xml:space="preserve">0,30 </w:t>
            </w:r>
            <w:r>
              <w:rPr>
                <w:sz w:val="18"/>
              </w:rPr>
              <w:t xml:space="preserve">(0,26 </w:t>
            </w:r>
            <w:r>
              <w:rPr>
                <w:sz w:val="18"/>
              </w:rPr>
              <w:t xml:space="preserve">à 0,34)</w:t>
            </w:r>
          </w:p>
          <w:p>
            <w:pPr>
              <w:pStyle w:val="TableParagraph"/>
              <w:spacing w:line="206" w:lineRule="exact"/>
              <w:ind w:start="151" w:end="139"/>
              <w:jc w:val="center"/>
              <w:rPr>
                <w:sz w:val="18"/>
              </w:rPr>
            </w:pPr>
            <w:r>
              <w:rPr>
                <w:sz w:val="18"/>
              </w:rPr>
              <w:t xml:space="preserve">NS</w:t>
            </w:r>
          </w:p>
          <w:p w:rsidR="00432386" w:rsidRDefault="00432386">
            <w:pPr>
              <w:pStyle w:val="TableParagraph"/>
              <w:spacing w:before="2"/>
              <w:rPr>
                <w:b/>
                <w:sz w:val="18"/>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-0,44 </w:t>
            </w:r>
            <w:r>
              <w:rPr>
                <w:sz w:val="18"/>
              </w:rPr>
              <w:t xml:space="preserve">(-1,37 </w:t>
            </w:r>
            <w:r>
              <w:rPr>
                <w:sz w:val="18"/>
              </w:rPr>
              <w:t xml:space="preserve">à</w:t>
            </w:r>
          </w:p>
          <w:p>
            <w:pPr>
              <w:pStyle w:val="TableParagraph"/>
              <w:spacing w:line="206" w:lineRule="exact"/>
              <w:ind w:start="151" w:end="134"/>
              <w:jc w:val="center"/>
              <w:rPr>
                <w:sz w:val="18"/>
              </w:rPr>
            </w:pPr>
            <w:r>
              <w:rPr>
                <w:sz w:val="18"/>
              </w:rPr>
              <w:t xml:space="preserve">0.93)</w:t>
            </w:r>
          </w:p>
          <w:p>
            <w:pPr>
              <w:pStyle w:val="TableParagraph"/>
              <w:spacing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before="2" w:line="207" w:lineRule="exact"/>
              <w:ind w:start="151" w:end="135"/>
              <w:jc w:val="center"/>
              <w:rPr>
                <w:sz w:val="18"/>
              </w:rPr>
            </w:pPr>
            <w:r>
              <w:rPr>
                <w:sz w:val="18"/>
              </w:rPr>
              <w:t xml:space="preserve">-0,36 </w:t>
            </w:r>
            <w:r>
              <w:rPr>
                <w:sz w:val="18"/>
              </w:rPr>
              <w:t xml:space="preserve">(-1,50 à </w:t>
            </w:r>
            <w:r>
              <w:rPr>
                <w:sz w:val="18"/>
              </w:rPr>
              <w:t xml:space="preserve">0,46)</w:t>
            </w:r>
          </w:p>
          <w:p>
            <w:pPr>
              <w:pStyle w:val="TableParagraph"/>
              <w:spacing w:line="187" w:lineRule="exact"/>
              <w:ind w:start="151" w:end="139"/>
              <w:jc w:val="center"/>
              <w:rPr>
                <w:sz w:val="18"/>
              </w:rPr>
            </w:pP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spacing w:before="1"/>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du </w:t>
            </w:r>
            <w:r>
              <w:rPr>
                <w:b/>
                <w:i/>
                <w:sz w:val="20"/>
              </w:rPr>
              <w:t xml:space="preserve">col </w:t>
            </w:r>
            <w:r>
              <w:rPr>
                <w:b/>
                <w:i/>
                <w:sz w:val="20"/>
              </w:rPr>
              <w:t xml:space="preserve">du fémur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transmaliens </w:t>
            </w:r>
            <w:r>
              <w:rPr>
                <w:b/>
                <w:i/>
                <w:sz w:val="20"/>
              </w:rPr>
              <w:t xml:space="preserve">(</w:t>
            </w:r>
            <w:r>
              <w:rPr>
                <w:b/>
                <w:i/>
                <w:sz w:val="20"/>
              </w:rPr>
              <w:t xml:space="preserve">âge </w:t>
            </w:r>
            <w:r>
              <w:rPr>
                <w:b/>
                <w:i/>
                <w:sz w:val="20"/>
              </w:rPr>
              <w:t xml:space="preserve">osseux </w:t>
            </w:r>
            <w:r>
              <w:rPr>
                <w:b/>
                <w:i/>
                <w:sz w:val="20"/>
              </w:rPr>
              <w:t xml:space="preserve">&lt;14 </w:t>
            </w:r>
            <w:r>
              <w:rPr>
                <w:b/>
                <w:i/>
                <w:sz w:val="20"/>
              </w:rPr>
              <w:t xml:space="preserve">ans</w:t>
            </w:r>
            <w:r>
              <w:rPr>
                <w:b/>
                <w:i/>
                <w:sz w:val="20"/>
              </w:rPr>
              <w:t xml:space="preserve">).</w:t>
            </w:r>
          </w:p>
        </w:tc>
      </w:tr>
      <w:tr w:rsidR="00432386">
        <w:trPr>
          <w:trHeight w:val="2690"/>
        </w:trPr>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8"/>
              <w:rPr>
                <w:b/>
                <w:sz w:val="17"/>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spacing w:before="1" w:line="235" w:lineRule="auto"/>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88" w:end="75"/>
              <w:jc w:val="center"/>
              <w:rPr>
                <w:sz w:val="18"/>
              </w:rPr>
            </w:pPr>
            <w:r>
              <w:rPr>
                <w:sz w:val="18"/>
              </w:rPr>
              <w:t xml:space="preserve">N=10</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53" w:end="136"/>
              <w:jc w:val="center"/>
              <w:rPr>
                <w:sz w:val="18"/>
              </w:rPr>
            </w:pPr>
            <w:r>
              <w:rPr>
                <w:sz w:val="18"/>
              </w:rPr>
              <w:t xml:space="preserve">Aucun</w:t>
            </w:r>
          </w:p>
        </w:tc>
        <w:tc>
          <w:tcPr>
            <w:tcW w:w="2836" w:type="dxa"/>
          </w:tcPr>
          <w:p>
            <w:pPr>
              <w:pStyle w:val="TableParagraph"/>
              <w:ind w:start="216" w:end="199" w:firstLine="297"/>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0,31 </w:t>
            </w:r>
            <w:r>
              <w:rPr>
                <w:sz w:val="18"/>
              </w:rPr>
              <w:t xml:space="preserve">(0,26 </w:t>
            </w:r>
            <w:r>
              <w:rPr>
                <w:sz w:val="18"/>
              </w:rPr>
              <w:t xml:space="preserve">à</w:t>
            </w:r>
          </w:p>
          <w:p>
            <w:pPr>
              <w:pStyle w:val="TableParagraph"/>
              <w:spacing w:line="206" w:lineRule="exact"/>
              <w:ind w:start="151" w:end="134"/>
              <w:jc w:val="center"/>
              <w:rPr>
                <w:sz w:val="18"/>
              </w:rPr>
            </w:pPr>
            <w:r>
              <w:rPr>
                <w:sz w:val="18"/>
              </w:rPr>
              <w:t xml:space="preserve">0.36)</w:t>
            </w:r>
          </w:p>
          <w:p>
            <w:pPr>
              <w:pStyle w:val="TableParagraph"/>
              <w:spacing w:before="1"/>
              <w:ind w:start="151" w:end="135"/>
              <w:jc w:val="center"/>
              <w:rPr>
                <w:sz w:val="18"/>
              </w:rPr>
            </w:pPr>
            <w:r>
              <w:rPr>
                <w:sz w:val="18"/>
              </w:rPr>
              <w:t xml:space="preserve">Hormones d'affirmation du genre : </w:t>
            </w:r>
            <w:r>
              <w:rPr>
                <w:sz w:val="18"/>
              </w:rPr>
              <w:t xml:space="preserve">0,30 </w:t>
            </w:r>
            <w:r>
              <w:rPr>
                <w:sz w:val="18"/>
              </w:rPr>
              <w:t xml:space="preserve">(0,22 </w:t>
            </w:r>
            <w:r>
              <w:rPr>
                <w:sz w:val="18"/>
              </w:rPr>
              <w:t xml:space="preserve">à 0,35)</w:t>
            </w:r>
          </w:p>
          <w:p>
            <w:pPr>
              <w:pStyle w:val="TableParagraph"/>
              <w:spacing w:line="206" w:lineRule="exact"/>
              <w:ind w:start="151" w:end="139"/>
              <w:jc w:val="center"/>
              <w:rPr>
                <w:sz w:val="18"/>
              </w:rPr>
            </w:pPr>
            <w:r>
              <w:rPr>
                <w:sz w:val="18"/>
              </w:rPr>
              <w:t xml:space="preserve">NS</w:t>
            </w:r>
          </w:p>
          <w:p w:rsidR="00432386" w:rsidRDefault="00432386">
            <w:pPr>
              <w:pStyle w:val="TableParagraph"/>
              <w:spacing w:before="1"/>
              <w:rPr>
                <w:b/>
                <w:sz w:val="18"/>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98" w:end="86"/>
              <w:jc w:val="center"/>
              <w:rPr>
                <w:sz w:val="18"/>
              </w:rPr>
            </w:pPr>
            <w:r>
              <w:rPr>
                <w:sz w:val="18"/>
              </w:rPr>
              <w:t xml:space="preserve">Analogue de la </w:t>
            </w:r>
            <w:r>
              <w:rPr>
                <w:sz w:val="18"/>
              </w:rPr>
              <w:t xml:space="preserve">GnRH </w:t>
            </w:r>
            <w:r>
              <w:rPr>
                <w:sz w:val="18"/>
              </w:rPr>
              <w:t xml:space="preserve">: </w:t>
            </w:r>
            <w:r>
              <w:rPr>
                <w:sz w:val="18"/>
              </w:rPr>
              <w:t xml:space="preserve">-0,01 </w:t>
            </w:r>
            <w:r>
              <w:rPr>
                <w:sz w:val="18"/>
              </w:rPr>
              <w:t xml:space="preserve">(-1,30 </w:t>
            </w:r>
            <w:r>
              <w:rPr>
                <w:sz w:val="18"/>
              </w:rPr>
              <w:t xml:space="preserve">à</w:t>
            </w:r>
          </w:p>
          <w:p>
            <w:pPr>
              <w:pStyle w:val="TableParagraph"/>
              <w:spacing w:line="206" w:lineRule="exact"/>
              <w:ind w:start="151" w:end="134"/>
              <w:jc w:val="center"/>
              <w:rPr>
                <w:sz w:val="18"/>
              </w:rPr>
            </w:pPr>
            <w:r>
              <w:rPr>
                <w:sz w:val="18"/>
              </w:rPr>
              <w:t xml:space="preserve">0.91)</w:t>
            </w:r>
          </w:p>
          <w:p>
            <w:pPr>
              <w:pStyle w:val="TableParagraph"/>
              <w:spacing w:line="206"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7" w:lineRule="exact"/>
              <w:ind w:start="151" w:end="135"/>
              <w:jc w:val="center"/>
              <w:rPr>
                <w:sz w:val="18"/>
              </w:rPr>
            </w:pPr>
            <w:r>
              <w:rPr>
                <w:sz w:val="18"/>
              </w:rPr>
              <w:t xml:space="preserve">-0,37 </w:t>
            </w:r>
            <w:r>
              <w:rPr>
                <w:sz w:val="18"/>
              </w:rPr>
              <w:t xml:space="preserve">(-2,28 à </w:t>
            </w:r>
            <w:r>
              <w:rPr>
                <w:sz w:val="18"/>
              </w:rPr>
              <w:t xml:space="preserve">0,47)</w:t>
            </w:r>
          </w:p>
          <w:p>
            <w:pPr>
              <w:pStyle w:val="TableParagraph"/>
              <w:spacing w:before="3" w:line="187" w:lineRule="exact"/>
              <w:ind w:start="151" w:end="139"/>
              <w:jc w:val="center"/>
              <w:rPr>
                <w:sz w:val="18"/>
              </w:rPr>
            </w:pP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Changement de </w:t>
            </w:r>
            <w:r>
              <w:rPr>
                <w:b/>
                <w:i/>
                <w:sz w:val="20"/>
              </w:rPr>
              <w:t xml:space="preserve">la </w:t>
            </w:r>
            <w:r>
              <w:rPr>
                <w:b/>
                <w:i/>
                <w:sz w:val="20"/>
              </w:rPr>
              <w:t xml:space="preserve">DMOA du </w:t>
            </w:r>
            <w:r>
              <w:rPr>
                <w:b/>
                <w:i/>
                <w:sz w:val="20"/>
              </w:rPr>
              <w:t xml:space="preserve">col </w:t>
            </w:r>
            <w:r>
              <w:rPr>
                <w:b/>
                <w:i/>
                <w:sz w:val="20"/>
              </w:rPr>
              <w:t xml:space="preserve">fémoral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chez les </w:t>
            </w:r>
            <w:r>
              <w:rPr>
                <w:b/>
                <w:i/>
                <w:sz w:val="20"/>
              </w:rPr>
              <w:t xml:space="preserve">transmales </w:t>
            </w:r>
            <w:r>
              <w:rPr>
                <w:b/>
                <w:i/>
                <w:sz w:val="20"/>
              </w:rPr>
              <w:t xml:space="preserve">(</w:t>
            </w:r>
            <w:r>
              <w:rPr>
                <w:b/>
                <w:i/>
                <w:sz w:val="20"/>
              </w:rPr>
              <w:t xml:space="preserve">âge </w:t>
            </w:r>
            <w:r>
              <w:rPr>
                <w:b/>
                <w:i/>
                <w:sz w:val="20"/>
              </w:rPr>
              <w:t xml:space="preserve">osseux </w:t>
            </w:r>
            <w:r>
              <w:rPr>
                <w:b/>
                <w:i/>
                <w:sz w:val="20"/>
              </w:rPr>
              <w:t xml:space="preserve">de</w:t>
            </w:r>
            <w:r>
              <w:rPr>
                <w:b/>
                <w:i/>
                <w:spacing w:val="-1"/>
                <w:sz w:val="20"/>
              </w:rPr>
              <w:t xml:space="preserve"> ≥14 ans</w:t>
            </w:r>
            <w:r>
              <w:rPr>
                <w:b/>
                <w:i/>
                <w:sz w:val="20"/>
              </w:rPr>
              <w:t xml:space="preserve">).</w:t>
            </w:r>
          </w:p>
        </w:tc>
      </w:tr>
      <w:tr w:rsidR="00432386">
        <w:trPr>
          <w:trHeight w:val="1658"/>
        </w:trPr>
        <w:tc>
          <w:tcPr>
            <w:tcW w:w="1133" w:type="dxa"/>
          </w:tcPr>
          <w:p>
            <w:pPr>
              <w:pStyle w:val="TableParagraph"/>
              <w:spacing w:before="147"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1"/>
              <w:ind w:start="107" w:end="245"/>
              <w:rPr>
                <w:sz w:val="18"/>
              </w:rPr>
            </w:pPr>
            <w:r>
              <w:rPr>
                <w:sz w:val="18"/>
              </w:rPr>
              <w:t xml:space="preserve">Vlot et al. </w:t>
            </w:r>
            <w:r>
              <w:rPr>
                <w:sz w:val="18"/>
              </w:rPr>
              <w:t xml:space="preserve">2017</w:t>
            </w:r>
          </w:p>
        </w:tc>
        <w:tc>
          <w:tcPr>
            <w:tcW w:w="1135" w:type="dxa"/>
          </w:tcPr>
          <w:p w:rsidR="00432386" w:rsidRDefault="00432386">
            <w:pPr>
              <w:pStyle w:val="TableParagraph"/>
              <w:rPr>
                <w:b/>
                <w:sz w:val="20"/>
              </w:rPr>
            </w:pPr>
          </w:p>
          <w:p w:rsidR="00432386" w:rsidRDefault="00432386">
            <w:pPr>
              <w:pStyle w:val="TableParagraph"/>
              <w:rPr>
                <w:b/>
                <w:sz w:val="20"/>
              </w:rPr>
            </w:pPr>
          </w:p>
          <w:p>
            <w:pPr>
              <w:pStyle w:val="TableParagraph"/>
              <w:spacing w:before="160"/>
              <w:ind w:start="108" w:end="130"/>
              <w:rPr>
                <w:sz w:val="12"/>
              </w:rPr>
            </w:pPr>
            <w:r>
              <w:rPr>
                <w:sz w:val="18"/>
              </w:rPr>
              <w:t xml:space="preserve">De sérieuses </w:t>
            </w:r>
            <w:r>
              <w:rPr>
                <w:sz w:val="18"/>
              </w:rPr>
              <w:t xml:space="preserve">limitations3</w:t>
            </w:r>
          </w:p>
        </w:tc>
        <w:tc>
          <w:tcPr>
            <w:tcW w:w="1274" w:type="dxa"/>
          </w:tcPr>
          <w:p w:rsidR="00432386" w:rsidRDefault="00432386">
            <w:pPr>
              <w:pStyle w:val="TableParagraph"/>
              <w:rPr>
                <w:b/>
                <w:sz w:val="20"/>
              </w:rPr>
            </w:pPr>
          </w:p>
          <w:p w:rsidR="00432386" w:rsidRDefault="00432386">
            <w:pPr>
              <w:pStyle w:val="TableParagraph"/>
              <w:rPr>
                <w:b/>
                <w:sz w:val="20"/>
              </w:rPr>
            </w:pPr>
          </w:p>
          <w:p>
            <w:pPr>
              <w:pStyle w:val="TableParagraph"/>
              <w:spacing w:before="160"/>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pPr>
              <w:pStyle w:val="TableParagraph"/>
              <w:spacing w:before="160"/>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88" w:end="75"/>
              <w:jc w:val="center"/>
              <w:rPr>
                <w:sz w:val="18"/>
              </w:rPr>
            </w:pPr>
            <w:r>
              <w:rPr>
                <w:sz w:val="18"/>
              </w:rPr>
              <w:t xml:space="preserve">N=23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53" w:end="136"/>
              <w:jc w:val="center"/>
              <w:rPr>
                <w:sz w:val="18"/>
              </w:rPr>
            </w:pPr>
            <w:r>
              <w:rPr>
                <w:sz w:val="18"/>
              </w:rPr>
              <w:t xml:space="preserve">Aucun</w:t>
            </w:r>
          </w:p>
        </w:tc>
        <w:tc>
          <w:tcPr>
            <w:tcW w:w="2836" w:type="dxa"/>
          </w:tcPr>
          <w:p>
            <w:pPr>
              <w:pStyle w:val="TableParagraph"/>
              <w:spacing w:before="1"/>
              <w:ind w:start="216" w:end="199" w:firstLine="297"/>
              <w:rPr>
                <w:sz w:val="18"/>
              </w:rPr>
            </w:pPr>
            <w:r>
              <w:rPr>
                <w:sz w:val="18"/>
              </w:rPr>
              <w:t xml:space="preserve">Médiane (fourchette), g/cm3 </w:t>
            </w:r>
            <w:r>
              <w:rPr>
                <w:sz w:val="18"/>
              </w:rPr>
              <w:t xml:space="preserve">Analogue de la </w:t>
            </w:r>
            <w:r>
              <w:rPr>
                <w:sz w:val="18"/>
              </w:rPr>
              <w:t xml:space="preserve">GnRH </w:t>
            </w:r>
            <w:r>
              <w:rPr>
                <w:sz w:val="18"/>
              </w:rPr>
              <w:t xml:space="preserve">: </w:t>
            </w:r>
            <w:r>
              <w:rPr>
                <w:sz w:val="18"/>
              </w:rPr>
              <w:t xml:space="preserve">0,33 </w:t>
            </w:r>
            <w:r>
              <w:rPr>
                <w:sz w:val="18"/>
              </w:rPr>
              <w:t xml:space="preserve">(0,25 </w:t>
            </w:r>
            <w:r>
              <w:rPr>
                <w:sz w:val="18"/>
              </w:rPr>
              <w:t xml:space="preserve">à</w:t>
            </w:r>
          </w:p>
          <w:p>
            <w:pPr>
              <w:pStyle w:val="TableParagraph"/>
              <w:spacing w:line="206" w:lineRule="exact"/>
              <w:ind w:start="151" w:end="134"/>
              <w:jc w:val="center"/>
              <w:rPr>
                <w:sz w:val="18"/>
              </w:rPr>
            </w:pPr>
            <w:r>
              <w:rPr>
                <w:sz w:val="18"/>
              </w:rPr>
              <w:t xml:space="preserve">0.39)</w:t>
            </w:r>
          </w:p>
          <w:p>
            <w:pPr>
              <w:pStyle w:val="TableParagraph"/>
              <w:ind w:start="151" w:end="135"/>
              <w:jc w:val="center"/>
              <w:rPr>
                <w:sz w:val="18"/>
              </w:rPr>
            </w:pPr>
            <w:r>
              <w:rPr>
                <w:sz w:val="18"/>
              </w:rPr>
              <w:t xml:space="preserve">Hormones d'affirmation du genre : </w:t>
            </w:r>
            <w:r>
              <w:rPr>
                <w:sz w:val="18"/>
              </w:rPr>
              <w:t xml:space="preserve">0,30 </w:t>
            </w:r>
            <w:r>
              <w:rPr>
                <w:sz w:val="18"/>
              </w:rPr>
              <w:t xml:space="preserve">(0,23 </w:t>
            </w:r>
            <w:r>
              <w:rPr>
                <w:sz w:val="18"/>
              </w:rPr>
              <w:t xml:space="preserve">à 0,41)</w:t>
            </w:r>
          </w:p>
          <w:p>
            <w:pPr>
              <w:pStyle w:val="TableParagraph"/>
              <w:spacing w:before="1"/>
              <w:ind w:start="151" w:end="135"/>
              <w:jc w:val="center"/>
              <w:rPr>
                <w:sz w:val="18"/>
              </w:rPr>
            </w:pPr>
            <w:r>
              <w:rPr>
                <w:sz w:val="18"/>
              </w:rPr>
              <w:t xml:space="preserve">Valeur p :</w:t>
            </w:r>
            <w:r>
              <w:rPr>
                <w:spacing w:val="-1"/>
                <w:sz w:val="18"/>
              </w:rPr>
              <w:t xml:space="preserve"> ≤0</w:t>
            </w:r>
            <w:r>
              <w:rPr>
                <w:sz w:val="18"/>
              </w:rPr>
              <w:t xml:space="preserve">,01</w:t>
            </w:r>
          </w:p>
          <w:p w:rsidR="00432386" w:rsidRDefault="00432386">
            <w:pPr>
              <w:pStyle w:val="TableParagraph"/>
              <w:spacing w:before="10"/>
              <w:rPr>
                <w:b/>
                <w:sz w:val="17"/>
              </w:rPr>
            </w:pPr>
          </w:p>
          <w:p>
            <w:pPr>
              <w:pStyle w:val="TableParagraph"/>
              <w:spacing w:line="190" w:lineRule="exact"/>
              <w:ind w:start="151" w:end="137"/>
              <w:jc w:val="center"/>
              <w:rPr>
                <w:sz w:val="18"/>
              </w:rPr>
            </w:pPr>
            <w:r>
              <w:rPr>
                <w:sz w:val="18"/>
              </w:rPr>
              <w:t xml:space="preserve">z-score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1025"/>
        </w:trPr>
        <w:tc>
          <w:tcPr>
            <w:tcW w:w="1133" w:type="dxa"/>
          </w:tcPr>
          <w:p w:rsidR="00432386" w:rsidRDefault="00432386">
            <w:pPr>
              <w:pStyle w:val="TableParagraph"/>
              <w:rPr>
                <w:rFonts w:ascii="Times New Roman"/>
                <w:sz w:val="18"/>
              </w:rPr>
            </w:pPr>
          </w:p>
        </w:tc>
        <w:tc>
          <w:tcPr>
            <w:tcW w:w="1135"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2836" w:type="dxa"/>
          </w:tcPr>
          <w:p>
            <w:pPr>
              <w:pStyle w:val="TableParagraph"/>
              <w:spacing w:line="196" w:lineRule="exact"/>
              <w:ind w:start="151" w:end="139"/>
              <w:jc w:val="center"/>
              <w:rPr>
                <w:sz w:val="18"/>
              </w:rPr>
            </w:pPr>
            <w:r>
              <w:rPr>
                <w:sz w:val="18"/>
              </w:rPr>
              <w:t xml:space="preserve">Analogue de la </w:t>
            </w:r>
            <w:r>
              <w:rPr>
                <w:sz w:val="18"/>
              </w:rPr>
              <w:t xml:space="preserve">GnRH </w:t>
            </w:r>
            <w:r>
              <w:rPr>
                <w:sz w:val="18"/>
              </w:rPr>
              <w:t xml:space="preserve">: </w:t>
            </w:r>
            <w:r>
              <w:rPr>
                <w:sz w:val="18"/>
              </w:rPr>
              <w:t xml:space="preserve">0,27 </w:t>
            </w:r>
            <w:r>
              <w:rPr>
                <w:sz w:val="18"/>
              </w:rPr>
              <w:t xml:space="preserve">(-1,39 </w:t>
            </w:r>
            <w:r>
              <w:rPr>
                <w:sz w:val="18"/>
              </w:rPr>
              <w:t xml:space="preserve">à</w:t>
            </w:r>
          </w:p>
          <w:p>
            <w:pPr>
              <w:pStyle w:val="TableParagraph"/>
              <w:spacing w:line="206" w:lineRule="exact"/>
              <w:ind w:start="151" w:end="134"/>
              <w:jc w:val="center"/>
              <w:rPr>
                <w:sz w:val="18"/>
              </w:rPr>
            </w:pPr>
            <w:r>
              <w:rPr>
                <w:sz w:val="18"/>
              </w:rPr>
              <w:t xml:space="preserve">1.32)</w:t>
            </w:r>
          </w:p>
          <w:p>
            <w:pPr>
              <w:pStyle w:val="TableParagraph"/>
              <w:spacing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before="2" w:line="207" w:lineRule="exact"/>
              <w:ind w:start="151" w:end="135"/>
              <w:jc w:val="center"/>
              <w:rPr>
                <w:sz w:val="18"/>
              </w:rPr>
            </w:pPr>
            <w:r>
              <w:rPr>
                <w:sz w:val="18"/>
              </w:rPr>
              <w:t xml:space="preserve">-0,27 </w:t>
            </w:r>
            <w:r>
              <w:rPr>
                <w:sz w:val="18"/>
              </w:rPr>
              <w:t xml:space="preserve">(-1,91 à </w:t>
            </w:r>
            <w:r>
              <w:rPr>
                <w:sz w:val="18"/>
              </w:rPr>
              <w:t xml:space="preserve">1,29)</w:t>
            </w:r>
          </w:p>
          <w:p>
            <w:pPr>
              <w:pStyle w:val="TableParagraph"/>
              <w:spacing w:line="187" w:lineRule="exact"/>
              <w:ind w:start="151" w:end="135"/>
              <w:jc w:val="center"/>
              <w:rPr>
                <w:sz w:val="18"/>
              </w:rPr>
            </w:pPr>
            <w:r>
              <w:rPr>
                <w:sz w:val="18"/>
              </w:rPr>
              <w:t xml:space="preserve">Valeur p :</w:t>
            </w:r>
            <w:r>
              <w:rPr>
                <w:spacing w:val="-1"/>
                <w:sz w:val="18"/>
              </w:rPr>
              <w:t xml:space="preserve"> ≤0</w:t>
            </w:r>
            <w:r>
              <w:rPr>
                <w:sz w:val="18"/>
              </w:rPr>
              <w:t xml:space="preserve">,01</w:t>
            </w:r>
          </w:p>
        </w:tc>
        <w:tc>
          <w:tcPr>
            <w:tcW w:w="1421" w:type="dxa"/>
          </w:tcPr>
          <w:p w:rsidR="00432386" w:rsidRDefault="00432386">
            <w:pPr>
              <w:pStyle w:val="TableParagraph"/>
              <w:rPr>
                <w:rFonts w:ascii="Times New Roman"/>
                <w:sz w:val="18"/>
              </w:rPr>
            </w:pPr>
          </w:p>
        </w:tc>
        <w:tc>
          <w:tcPr>
            <w:tcW w:w="1192" w:type="dxa"/>
          </w:tcPr>
          <w:p w:rsidR="00432386" w:rsidRDefault="00432386">
            <w:pPr>
              <w:pStyle w:val="TableParagraph"/>
              <w:rPr>
                <w:rFonts w:ascii="Times New Roman"/>
                <w:sz w:val="18"/>
              </w:rPr>
            </w:pPr>
          </w:p>
        </w:tc>
      </w:tr>
      <w:tr w:rsidR="00432386">
        <w:trPr>
          <w:trHeight w:val="417"/>
        </w:trPr>
        <w:tc>
          <w:tcPr>
            <w:tcW w:w="13950" w:type="dxa"/>
            <w:gridSpan w:val="10"/>
            <w:shd w:val="clear" w:color="auto" w:fill="8DB3E1"/>
          </w:tcPr>
          <w:p>
            <w:pPr>
              <w:pStyle w:val="TableParagraph"/>
              <w:spacing w:line="229"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de </w:t>
            </w:r>
            <w:r>
              <w:rPr>
                <w:b/>
                <w:i/>
                <w:sz w:val="20"/>
              </w:rPr>
              <w:t xml:space="preserve">la </w:t>
            </w:r>
            <w:r>
              <w:rPr>
                <w:b/>
                <w:i/>
                <w:sz w:val="20"/>
              </w:rPr>
              <w:t xml:space="preserve">surface </w:t>
            </w:r>
            <w:r>
              <w:rPr>
                <w:b/>
                <w:i/>
                <w:sz w:val="20"/>
              </w:rPr>
              <w:t xml:space="preserve">fémorale </w:t>
            </w:r>
            <w:r>
              <w:rPr>
                <w:b/>
                <w:i/>
                <w:sz w:val="20"/>
              </w:rPr>
              <w:t xml:space="preserve">DMO</w:t>
            </w:r>
          </w:p>
        </w:tc>
      </w:tr>
      <w:tr w:rsidR="00432386">
        <w:trPr>
          <w:trHeight w:val="457"/>
        </w:trPr>
        <w:tc>
          <w:tcPr>
            <w:tcW w:w="13950" w:type="dxa"/>
            <w:gridSpan w:val="10"/>
            <w:shd w:val="clear" w:color="auto" w:fill="C5D9F0"/>
          </w:tcPr>
          <w:p>
            <w:pPr>
              <w:pStyle w:val="TableParagraph"/>
              <w:spacing w:line="228"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fémorale </w:t>
            </w:r>
            <w:r>
              <w:rPr>
                <w:b/>
                <w:i/>
                <w:sz w:val="20"/>
              </w:rPr>
              <w:t xml:space="preserve">entre le </w:t>
            </w:r>
            <w:r>
              <w:rPr>
                <w:b/>
                <w:i/>
                <w:sz w:val="20"/>
              </w:rPr>
              <w:t xml:space="preserve">début de la prise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14,9±1,9) </w:t>
            </w:r>
            <w:r>
              <w:rPr>
                <w:b/>
                <w:i/>
                <w:sz w:val="20"/>
              </w:rPr>
              <w:t xml:space="preserve">et le </w:t>
            </w:r>
            <w:r>
              <w:rPr>
                <w:b/>
                <w:i/>
                <w:sz w:val="20"/>
              </w:rPr>
              <w:t xml:space="preserve">début de la prise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16,6±1,4) </w:t>
            </w:r>
            <w:r>
              <w:rPr>
                <w:b/>
                <w:i/>
                <w:sz w:val="20"/>
              </w:rPr>
              <w:t xml:space="preserve">chez les </w:t>
            </w:r>
            <w:r>
              <w:rPr>
                <w:b/>
                <w:i/>
                <w:sz w:val="20"/>
              </w:rPr>
              <w:t xml:space="preserve">transfemmes.</w:t>
            </w: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2"/>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line="722" w:lineRule="auto"/>
              <w:ind w:start="400" w:end="317" w:hanging="51"/>
              <w:rPr>
                <w:sz w:val="18"/>
              </w:rPr>
            </w:pPr>
            <w:r>
              <w:rPr>
                <w:sz w:val="18"/>
              </w:rPr>
              <w:t xml:space="preserve">N=14 </w:t>
            </w:r>
            <w:r>
              <w:rPr>
                <w:sz w:val="18"/>
              </w:rPr>
              <w:t xml:space="preserve">N=6</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53" w:end="136"/>
              <w:jc w:val="center"/>
              <w:rPr>
                <w:sz w:val="18"/>
              </w:rPr>
            </w:pPr>
            <w:r>
              <w:rPr>
                <w:sz w:val="18"/>
              </w:rPr>
              <w:t xml:space="preserve">Aucun</w:t>
            </w:r>
          </w:p>
        </w:tc>
        <w:tc>
          <w:tcPr>
            <w:tcW w:w="2836" w:type="dxa"/>
          </w:tcPr>
          <w:p>
            <w:pPr>
              <w:pStyle w:val="TableParagraph"/>
              <w:spacing w:before="1"/>
              <w:ind w:start="288" w:end="273" w:firstLine="446"/>
              <w:rPr>
                <w:sz w:val="18"/>
              </w:rPr>
            </w:pPr>
            <w:r>
              <w:rPr>
                <w:sz w:val="18"/>
              </w:rPr>
              <w:t xml:space="preserve">Moyenne (SD), g/m2 </w:t>
            </w:r>
            <w:r>
              <w:rPr>
                <w:sz w:val="18"/>
              </w:rPr>
              <w:t xml:space="preserve">Analogue de la GnRH : 0,88 (0,12)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0,87 (0,08) </w:t>
            </w:r>
            <w:r>
              <w:rPr>
                <w:sz w:val="18"/>
              </w:rPr>
              <w:t xml:space="preserve">NS</w:t>
            </w:r>
          </w:p>
          <w:p w:rsidR="00432386" w:rsidRDefault="00432386">
            <w:pPr>
              <w:pStyle w:val="TableParagraph"/>
              <w:spacing w:before="11"/>
              <w:rPr>
                <w:b/>
                <w:sz w:val="17"/>
              </w:rPr>
            </w:pPr>
          </w:p>
          <w:p>
            <w:pPr>
              <w:pStyle w:val="TableParagraph"/>
              <w:spacing w:line="207" w:lineRule="exact"/>
              <w:ind w:start="151" w:end="137"/>
              <w:jc w:val="center"/>
              <w:rPr>
                <w:sz w:val="18"/>
              </w:rPr>
            </w:pPr>
            <w:r>
              <w:rPr>
                <w:sz w:val="18"/>
              </w:rPr>
              <w:t xml:space="preserve">z-score</w:t>
            </w:r>
          </w:p>
          <w:p>
            <w:pPr>
              <w:pStyle w:val="TableParagraph"/>
              <w:spacing w:line="206" w:lineRule="exact"/>
              <w:ind w:start="151" w:end="138"/>
              <w:jc w:val="center"/>
              <w:rPr>
                <w:sz w:val="18"/>
              </w:rPr>
            </w:pPr>
            <w:r>
              <w:rPr>
                <w:sz w:val="18"/>
              </w:rPr>
              <w:t xml:space="preserve">Analogue de la </w:t>
            </w:r>
            <w:r>
              <w:rPr>
                <w:sz w:val="18"/>
              </w:rPr>
              <w:t xml:space="preserve">GnRH </w:t>
            </w:r>
            <w:r>
              <w:rPr>
                <w:sz w:val="18"/>
              </w:rPr>
              <w:t xml:space="preserve">: </w:t>
            </w:r>
            <w:r>
              <w:rPr>
                <w:sz w:val="18"/>
              </w:rPr>
              <w:t xml:space="preserve">−0.66 </w:t>
            </w:r>
            <w:r>
              <w:rPr>
                <w:sz w:val="18"/>
              </w:rPr>
              <w:t xml:space="preserve">(0.77)</w:t>
            </w:r>
          </w:p>
          <w:p>
            <w:pPr>
              <w:pStyle w:val="TableParagraph"/>
              <w:spacing w:line="207"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before="2" w:line="207" w:lineRule="exact"/>
              <w:ind w:start="151" w:end="135"/>
              <w:jc w:val="center"/>
              <w:rPr>
                <w:sz w:val="18"/>
              </w:rPr>
            </w:pPr>
            <w:r>
              <w:rPr>
                <w:sz w:val="18"/>
              </w:rPr>
              <w:t xml:space="preserve">−0.95 </w:t>
            </w:r>
            <w:r>
              <w:rPr>
                <w:sz w:val="18"/>
              </w:rPr>
              <w:t xml:space="preserve">(0.63)</w:t>
            </w:r>
          </w:p>
          <w:p>
            <w:pPr>
              <w:pStyle w:val="TableParagraph"/>
              <w:spacing w:line="187" w:lineRule="exact"/>
              <w:ind w:start="151" w:end="139"/>
              <w:jc w:val="center"/>
              <w:rPr>
                <w:sz w:val="18"/>
              </w:rPr>
            </w:pP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04" w:end="88"/>
              <w:jc w:val="center"/>
              <w:rPr>
                <w:sz w:val="18"/>
              </w:rPr>
            </w:pPr>
            <w:r>
              <w:rPr>
                <w:sz w:val="18"/>
              </w:rPr>
              <w:t xml:space="preserve">TRES </w:t>
            </w:r>
            <w:r>
              <w:rPr>
                <w:sz w:val="18"/>
              </w:rPr>
              <w:t xml:space="preserve">FAIBLE</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fémorale </w:t>
            </w:r>
            <w:r>
              <w:rPr>
                <w:b/>
                <w:i/>
                <w:sz w:val="20"/>
              </w:rPr>
              <w:t xml:space="preserve">entre le </w:t>
            </w:r>
            <w:r>
              <w:rPr>
                <w:b/>
                <w:i/>
                <w:sz w:val="20"/>
              </w:rPr>
              <w:t xml:space="preserve">début de l'administration d'un </w:t>
            </w:r>
            <w:r>
              <w:rPr>
                <w:b/>
                <w:i/>
                <w:sz w:val="20"/>
              </w:rPr>
              <w:t xml:space="preserve">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15,0±2,0)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16,4±2,3) </w:t>
            </w:r>
            <w:r>
              <w:rPr>
                <w:b/>
                <w:i/>
                <w:sz w:val="20"/>
              </w:rPr>
              <w:t xml:space="preserve">chez les </w:t>
            </w:r>
            <w:r>
              <w:rPr>
                <w:b/>
                <w:i/>
                <w:sz w:val="20"/>
              </w:rPr>
              <w:t xml:space="preserve">transmales.</w:t>
            </w: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62"/>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line="722" w:lineRule="auto"/>
              <w:ind w:start="349" w:end="317"/>
              <w:rPr>
                <w:sz w:val="18"/>
              </w:rPr>
            </w:pPr>
            <w:r>
              <w:rPr>
                <w:sz w:val="18"/>
              </w:rPr>
              <w:t xml:space="preserve">N=18 </w:t>
            </w:r>
            <w:r>
              <w:rPr>
                <w:sz w:val="18"/>
              </w:rPr>
              <w:t xml:space="preserve">N=13</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53" w:end="136"/>
              <w:jc w:val="center"/>
              <w:rPr>
                <w:sz w:val="18"/>
              </w:rPr>
            </w:pPr>
            <w:r>
              <w:rPr>
                <w:sz w:val="18"/>
              </w:rPr>
              <w:t xml:space="preserve">Aucun</w:t>
            </w:r>
          </w:p>
        </w:tc>
        <w:tc>
          <w:tcPr>
            <w:tcW w:w="2836" w:type="dxa"/>
          </w:tcPr>
          <w:p>
            <w:pPr>
              <w:pStyle w:val="TableParagraph"/>
              <w:ind w:start="288" w:end="273" w:firstLine="446"/>
              <w:rPr>
                <w:sz w:val="18"/>
              </w:rPr>
            </w:pPr>
            <w:r>
              <w:rPr>
                <w:sz w:val="18"/>
              </w:rPr>
              <w:t xml:space="preserve">Moyenne (SD), g/m2 </w:t>
            </w:r>
            <w:r>
              <w:rPr>
                <w:sz w:val="18"/>
              </w:rPr>
              <w:t xml:space="preserve">Analogue de la GnRH : 0,92 (0,10) </w:t>
            </w:r>
            <w:r>
              <w:rPr>
                <w:sz w:val="18"/>
              </w:rPr>
              <w:t xml:space="preserve">Hormones d'</w:t>
            </w:r>
            <w:r>
              <w:rPr>
                <w:sz w:val="18"/>
              </w:rPr>
              <w:t xml:space="preserve">affirmation du genre </w:t>
            </w:r>
            <w:r>
              <w:rPr>
                <w:sz w:val="18"/>
              </w:rPr>
              <w:t xml:space="preserve">:</w:t>
            </w:r>
          </w:p>
          <w:p>
            <w:pPr>
              <w:pStyle w:val="TableParagraph"/>
              <w:ind w:start="151" w:end="135"/>
              <w:jc w:val="center"/>
              <w:rPr>
                <w:sz w:val="18"/>
              </w:rPr>
            </w:pPr>
            <w:r>
              <w:rPr>
                <w:sz w:val="18"/>
              </w:rPr>
              <w:t xml:space="preserve">0.88 </w:t>
            </w:r>
            <w:r>
              <w:rPr>
                <w:sz w:val="18"/>
              </w:rPr>
              <w:t xml:space="preserve">(0.09)</w:t>
            </w:r>
          </w:p>
          <w:p>
            <w:pPr>
              <w:pStyle w:val="TableParagraph"/>
              <w:ind w:start="151" w:end="135"/>
              <w:jc w:val="center"/>
              <w:rPr>
                <w:sz w:val="18"/>
              </w:rPr>
            </w:pPr>
            <w:r>
              <w:rPr>
                <w:sz w:val="18"/>
              </w:rPr>
              <w:t xml:space="preserve">p-value : </w:t>
            </w:r>
            <w:r>
              <w:rPr>
                <w:sz w:val="18"/>
              </w:rPr>
              <w:t xml:space="preserve">0,005</w:t>
            </w:r>
          </w:p>
          <w:p w:rsidR="00432386" w:rsidRDefault="00432386">
            <w:pPr>
              <w:pStyle w:val="TableParagraph"/>
              <w:rPr>
                <w:b/>
                <w:sz w:val="18"/>
              </w:rPr>
            </w:pPr>
          </w:p>
          <w:p>
            <w:pPr>
              <w:pStyle w:val="TableParagraph"/>
              <w:spacing w:before="1" w:line="207" w:lineRule="exact"/>
              <w:ind w:start="151" w:end="137"/>
              <w:jc w:val="center"/>
              <w:rPr>
                <w:sz w:val="18"/>
              </w:rPr>
            </w:pPr>
            <w:r>
              <w:rPr>
                <w:sz w:val="18"/>
              </w:rPr>
              <w:t xml:space="preserve">z-score</w:t>
            </w:r>
          </w:p>
          <w:p>
            <w:pPr>
              <w:pStyle w:val="TableParagraph"/>
              <w:ind w:start="288" w:end="273"/>
              <w:jc w:val="center"/>
              <w:rPr>
                <w:sz w:val="18"/>
              </w:rPr>
            </w:pPr>
            <w:r>
              <w:rPr>
                <w:sz w:val="18"/>
              </w:rPr>
              <w:t xml:space="preserve">Analogue de la GnRH : 0,36 (0,88)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−0.35 </w:t>
            </w:r>
            <w:r>
              <w:rPr>
                <w:sz w:val="18"/>
              </w:rPr>
              <w:t xml:space="preserve">(0.79)</w:t>
            </w:r>
          </w:p>
          <w:p>
            <w:pPr>
              <w:pStyle w:val="TableParagraph"/>
              <w:spacing w:before="1" w:line="187" w:lineRule="exact"/>
              <w:ind w:start="151" w:end="135"/>
              <w:jc w:val="center"/>
              <w:rPr>
                <w:sz w:val="18"/>
              </w:rPr>
            </w:pPr>
            <w:r>
              <w:rPr>
                <w:sz w:val="18"/>
              </w:rPr>
              <w:t xml:space="preserve">p-value : </w:t>
            </w:r>
            <w:r>
              <w:rPr>
                <w:sz w:val="18"/>
              </w:rPr>
              <w:t xml:space="preserve">0,001</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8DB3E1"/>
          </w:tcPr>
          <w:p>
            <w:pPr>
              <w:pStyle w:val="TableParagraph"/>
              <w:spacing w:line="229" w:lineRule="exact"/>
              <w:ind w:start="107"/>
              <w:rPr>
                <w:b/>
                <w:i/>
                <w:sz w:val="20"/>
              </w:rPr>
            </w:pPr>
            <w:r>
              <w:rPr>
                <w:b/>
                <w:i/>
                <w:sz w:val="20"/>
              </w:rPr>
              <w:t xml:space="preserve">Densité </w:t>
            </w:r>
            <w:r>
              <w:rPr>
                <w:b/>
                <w:i/>
                <w:sz w:val="20"/>
              </w:rPr>
              <w:t xml:space="preserve">osseuse </w:t>
            </w:r>
            <w:r>
              <w:rPr>
                <w:b/>
                <w:i/>
                <w:sz w:val="20"/>
              </w:rPr>
              <w:t xml:space="preserve">: </w:t>
            </w:r>
            <w:r>
              <w:rPr>
                <w:b/>
                <w:i/>
                <w:sz w:val="20"/>
              </w:rPr>
              <w:t xml:space="preserve">changement de </w:t>
            </w:r>
            <w:r>
              <w:rPr>
                <w:b/>
                <w:i/>
                <w:sz w:val="20"/>
              </w:rPr>
              <w:t xml:space="preserve">la </w:t>
            </w:r>
            <w:r>
              <w:rPr>
                <w:b/>
                <w:i/>
                <w:sz w:val="20"/>
              </w:rPr>
              <w:t xml:space="preserve">surface </w:t>
            </w:r>
            <w:r>
              <w:rPr>
                <w:b/>
                <w:i/>
                <w:sz w:val="20"/>
              </w:rPr>
              <w:t xml:space="preserve">fémorale </w:t>
            </w:r>
            <w:r>
              <w:rPr>
                <w:b/>
                <w:i/>
                <w:sz w:val="20"/>
              </w:rPr>
              <w:t xml:space="preserve">BMAD</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fémorale </w:t>
            </w:r>
            <w:r>
              <w:rPr>
                <w:b/>
                <w:i/>
                <w:sz w:val="20"/>
              </w:rPr>
              <w:t xml:space="preserve">entre le </w:t>
            </w:r>
            <w:r>
              <w:rPr>
                <w:b/>
                <w:i/>
                <w:sz w:val="20"/>
              </w:rPr>
              <w:t xml:space="preserve">début de l'administration d'</w:t>
            </w:r>
            <w:r>
              <w:rPr>
                <w:b/>
                <w:i/>
                <w:sz w:val="20"/>
              </w:rPr>
              <w:t xml:space="preserve">un 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14,9±1,9)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16,6±1,4) </w:t>
            </w:r>
            <w:r>
              <w:rPr>
                <w:b/>
                <w:i/>
                <w:sz w:val="20"/>
              </w:rPr>
              <w:t xml:space="preserve">chez les </w:t>
            </w:r>
            <w:r>
              <w:rPr>
                <w:b/>
                <w:i/>
                <w:sz w:val="20"/>
              </w:rPr>
              <w:t xml:space="preserve">transfemmes.</w:t>
            </w:r>
          </w:p>
        </w:tc>
      </w:tr>
    </w:tbl>
    <w:p w:rsidR="00432386" w:rsidRDefault="00432386">
      <w:pPr>
        <w:spacing w:line="230" w:lineRule="exact"/>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99"/>
        </w:trPr>
        <w:tc>
          <w:tcPr>
            <w:tcW w:w="1133" w:type="dxa"/>
            <w:shd w:val="clear" w:color="auto" w:fill="D9D9D9"/>
          </w:tcPr>
          <w:p>
            <w:pPr>
              <w:pStyle w:val="TableParagraph"/>
              <w:spacing w:before="58"/>
              <w:ind w:start="343"/>
              <w:rPr>
                <w:b/>
                <w:sz w:val="16"/>
              </w:rPr>
            </w:pPr>
            <w:r>
              <w:rPr>
                <w:b/>
                <w:sz w:val="16"/>
              </w:rPr>
              <w:t xml:space="preserve">Étude</w:t>
            </w:r>
          </w:p>
        </w:tc>
        <w:tc>
          <w:tcPr>
            <w:tcW w:w="1135" w:type="dxa"/>
            <w:shd w:val="clear" w:color="auto" w:fill="D9D9D9"/>
          </w:tcPr>
          <w:p>
            <w:pPr>
              <w:pStyle w:val="TableParagraph"/>
              <w:spacing w:before="58"/>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58"/>
              <w:ind w:start="163"/>
              <w:rPr>
                <w:b/>
                <w:sz w:val="16"/>
              </w:rPr>
            </w:pPr>
            <w:r>
              <w:rPr>
                <w:b/>
                <w:sz w:val="16"/>
              </w:rPr>
              <w:t xml:space="preserve">Indirectness</w:t>
            </w:r>
          </w:p>
        </w:tc>
        <w:tc>
          <w:tcPr>
            <w:tcW w:w="1421" w:type="dxa"/>
            <w:shd w:val="clear" w:color="auto" w:fill="D9D9D9"/>
          </w:tcPr>
          <w:p>
            <w:pPr>
              <w:pStyle w:val="TableParagraph"/>
              <w:spacing w:before="58"/>
              <w:ind w:start="91" w:end="82"/>
              <w:jc w:val="center"/>
              <w:rPr>
                <w:b/>
                <w:sz w:val="16"/>
              </w:rPr>
            </w:pPr>
            <w:r>
              <w:rPr>
                <w:b/>
                <w:sz w:val="16"/>
              </w:rPr>
              <w:t xml:space="preserve">Incohérence</w:t>
            </w:r>
          </w:p>
        </w:tc>
        <w:tc>
          <w:tcPr>
            <w:tcW w:w="1132" w:type="dxa"/>
            <w:shd w:val="clear" w:color="auto" w:fill="D9D9D9"/>
          </w:tcPr>
          <w:p>
            <w:pPr>
              <w:pStyle w:val="TableParagraph"/>
              <w:spacing w:before="58"/>
              <w:ind w:start="118"/>
              <w:rPr>
                <w:b/>
                <w:sz w:val="16"/>
              </w:rPr>
            </w:pPr>
            <w:r>
              <w:rPr>
                <w:b/>
                <w:sz w:val="16"/>
              </w:rPr>
              <w:t xml:space="preserve">Imprécision</w:t>
            </w:r>
          </w:p>
        </w:tc>
        <w:tc>
          <w:tcPr>
            <w:tcW w:w="1132" w:type="dxa"/>
            <w:shd w:val="clear" w:color="auto" w:fill="D9D9D9"/>
          </w:tcPr>
          <w:p>
            <w:pPr>
              <w:pStyle w:val="TableParagraph"/>
              <w:spacing w:before="58"/>
              <w:ind w:start="109"/>
              <w:rPr>
                <w:b/>
                <w:sz w:val="16"/>
              </w:rPr>
            </w:pPr>
            <w:r>
              <w:rPr>
                <w:b/>
                <w:sz w:val="16"/>
              </w:rPr>
              <w:t xml:space="preserve">Intervention</w:t>
            </w:r>
          </w:p>
        </w:tc>
        <w:tc>
          <w:tcPr>
            <w:tcW w:w="1274" w:type="dxa"/>
            <w:shd w:val="clear" w:color="auto" w:fill="D9D9D9"/>
          </w:tcPr>
          <w:p>
            <w:pPr>
              <w:pStyle w:val="TableParagraph"/>
              <w:spacing w:before="58"/>
              <w:ind w:start="152" w:end="137"/>
              <w:jc w:val="center"/>
              <w:rPr>
                <w:b/>
                <w:sz w:val="16"/>
              </w:rPr>
            </w:pPr>
            <w:r>
              <w:rPr>
                <w:b/>
                <w:sz w:val="16"/>
              </w:rPr>
              <w:t xml:space="preserve">Comparateur</w:t>
            </w:r>
          </w:p>
        </w:tc>
        <w:tc>
          <w:tcPr>
            <w:tcW w:w="2836" w:type="dxa"/>
            <w:shd w:val="clear" w:color="auto" w:fill="D9D9D9"/>
          </w:tcPr>
          <w:p>
            <w:pPr>
              <w:pStyle w:val="TableParagraph"/>
              <w:spacing w:before="58"/>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8"/>
              <w:rPr>
                <w:b/>
                <w:sz w:val="28"/>
              </w:rPr>
            </w:pPr>
          </w:p>
          <w:p>
            <w:pPr>
              <w:pStyle w:val="TableParagraph"/>
              <w:spacing w:line="207" w:lineRule="exact"/>
              <w:ind w:start="107"/>
              <w:rPr>
                <w:sz w:val="18"/>
              </w:rPr>
            </w:pPr>
            <w:r>
              <w:rPr>
                <w:sz w:val="18"/>
              </w:rPr>
              <w:t xml:space="preserve">1</w:t>
            </w:r>
          </w:p>
          <w:p>
            <w:pPr>
              <w:pStyle w:val="TableParagraph"/>
              <w:ind w:start="107" w:end="165"/>
              <w:rPr>
                <w:sz w:val="18"/>
              </w:rPr>
            </w:pPr>
            <w:r>
              <w:rPr>
                <w:sz w:val="18"/>
              </w:rPr>
              <w:t xml:space="preserve">étude </w:t>
            </w:r>
            <w:r>
              <w:rPr>
                <w:sz w:val="18"/>
              </w:rPr>
              <w:t xml:space="preserve">d'</w:t>
            </w:r>
            <w:r>
              <w:rPr>
                <w:sz w:val="18"/>
              </w:rPr>
              <w:t xml:space="preserve">observation</w:t>
            </w:r>
          </w:p>
          <w:p>
            <w:pPr>
              <w:pStyle w:val="TableParagraph"/>
              <w:spacing w:before="59"/>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2"/>
              <w:rPr>
                <w:b/>
                <w:sz w:val="21"/>
              </w:rPr>
            </w:pPr>
          </w:p>
          <w:p>
            <w:pPr>
              <w:pStyle w:val="TableParagraph"/>
              <w:spacing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0"/>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rPr>
            </w:pPr>
          </w:p>
          <w:p>
            <w:pPr>
              <w:pStyle w:val="TableParagraph"/>
              <w:spacing w:before="1" w:line="722" w:lineRule="auto"/>
              <w:ind w:start="349" w:end="317"/>
              <w:rPr>
                <w:sz w:val="18"/>
              </w:rPr>
            </w:pPr>
            <w:r>
              <w:rPr>
                <w:sz w:val="18"/>
              </w:rPr>
              <w:t xml:space="preserve">N=12 </w:t>
            </w:r>
            <w:r>
              <w:rPr>
                <w:sz w:val="18"/>
              </w:rPr>
              <w:t xml:space="preserve">N=10</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53" w:end="136"/>
              <w:jc w:val="center"/>
              <w:rPr>
                <w:sz w:val="18"/>
              </w:rPr>
            </w:pPr>
            <w:r>
              <w:rPr>
                <w:sz w:val="18"/>
              </w:rPr>
              <w:t xml:space="preserve">Aucun</w:t>
            </w:r>
          </w:p>
        </w:tc>
        <w:tc>
          <w:tcPr>
            <w:tcW w:w="2836" w:type="dxa"/>
          </w:tcPr>
          <w:p>
            <w:pPr>
              <w:pStyle w:val="TableParagraph"/>
              <w:ind w:start="288" w:end="273" w:firstLine="400"/>
              <w:rPr>
                <w:sz w:val="18"/>
              </w:rPr>
            </w:pPr>
            <w:r>
              <w:rPr>
                <w:sz w:val="18"/>
              </w:rPr>
              <w:t xml:space="preserve">Moyenne (SD), g/cm3 </w:t>
            </w:r>
            <w:r>
              <w:rPr>
                <w:sz w:val="18"/>
              </w:rPr>
              <w:t xml:space="preserve">Analogue de la GnRH : 0,28 (0,04)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0,26 (0,04) </w:t>
            </w:r>
            <w:r>
              <w:rPr>
                <w:sz w:val="18"/>
              </w:rPr>
              <w:t xml:space="preserve">NS</w:t>
            </w:r>
          </w:p>
          <w:p w:rsidR="00432386" w:rsidRDefault="00432386">
            <w:pPr>
              <w:pStyle w:val="TableParagraph"/>
              <w:spacing w:before="9"/>
              <w:rPr>
                <w:b/>
                <w:sz w:val="17"/>
              </w:rPr>
            </w:pPr>
          </w:p>
          <w:p>
            <w:pPr>
              <w:pStyle w:val="TableParagraph"/>
              <w:spacing w:before="1"/>
              <w:ind w:start="151" w:end="137"/>
              <w:jc w:val="center"/>
              <w:rPr>
                <w:sz w:val="18"/>
              </w:rPr>
            </w:pPr>
            <w:r>
              <w:rPr>
                <w:sz w:val="18"/>
              </w:rPr>
              <w:t xml:space="preserve">z-score</w:t>
            </w:r>
          </w:p>
          <w:p>
            <w:pPr>
              <w:pStyle w:val="TableParagraph"/>
              <w:spacing w:before="1" w:line="207" w:lineRule="exact"/>
              <w:ind w:start="151" w:end="138"/>
              <w:jc w:val="center"/>
              <w:rPr>
                <w:sz w:val="18"/>
              </w:rPr>
            </w:pPr>
            <w:r>
              <w:rPr>
                <w:sz w:val="18"/>
              </w:rPr>
              <w:t xml:space="preserve">Analogue de la </w:t>
            </w:r>
            <w:r>
              <w:rPr>
                <w:sz w:val="18"/>
              </w:rPr>
              <w:t xml:space="preserve">GnRH </w:t>
            </w:r>
            <w:r>
              <w:rPr>
                <w:sz w:val="18"/>
              </w:rPr>
              <w:t xml:space="preserve">: </w:t>
            </w:r>
            <w:r>
              <w:rPr>
                <w:sz w:val="18"/>
              </w:rPr>
              <w:t xml:space="preserve">−0.93 </w:t>
            </w:r>
            <w:r>
              <w:rPr>
                <w:sz w:val="18"/>
              </w:rPr>
              <w:t xml:space="preserve">(1.22)</w:t>
            </w:r>
          </w:p>
          <w:p>
            <w:pPr>
              <w:pStyle w:val="TableParagraph"/>
              <w:spacing w:line="206" w:lineRule="exact"/>
              <w:ind w:start="151" w:end="138"/>
              <w:jc w:val="center"/>
              <w:rPr>
                <w:sz w:val="18"/>
              </w:rPr>
            </w:pPr>
            <w:r>
              <w:rPr>
                <w:sz w:val="18"/>
              </w:rPr>
              <w:t xml:space="preserve">Les </w:t>
            </w:r>
            <w:r>
              <w:rPr>
                <w:sz w:val="18"/>
              </w:rPr>
              <w:t xml:space="preserve">hormones d'</w:t>
            </w:r>
            <w:r>
              <w:rPr>
                <w:sz w:val="18"/>
              </w:rPr>
              <w:t xml:space="preserve">affirmation du genre </w:t>
            </w:r>
            <w:r>
              <w:rPr>
                <w:sz w:val="18"/>
              </w:rPr>
              <w:t xml:space="preserve">:</w:t>
            </w:r>
          </w:p>
          <w:p>
            <w:pPr>
              <w:pStyle w:val="TableParagraph"/>
              <w:spacing w:line="206" w:lineRule="exact"/>
              <w:ind w:start="151" w:end="135"/>
              <w:jc w:val="center"/>
              <w:rPr>
                <w:sz w:val="18"/>
              </w:rPr>
            </w:pPr>
            <w:r>
              <w:rPr>
                <w:sz w:val="18"/>
              </w:rPr>
              <w:t xml:space="preserve">−1.57 </w:t>
            </w:r>
            <w:r>
              <w:rPr>
                <w:sz w:val="18"/>
              </w:rPr>
              <w:t xml:space="preserve">(1.74)</w:t>
            </w:r>
          </w:p>
          <w:p>
            <w:pPr>
              <w:pStyle w:val="TableParagraph"/>
              <w:spacing w:line="189" w:lineRule="exact"/>
              <w:ind w:start="151" w:end="137"/>
              <w:jc w:val="center"/>
              <w:rPr>
                <w:sz w:val="18"/>
              </w:rPr>
            </w:pPr>
            <w:r>
              <w:rPr>
                <w:sz w:val="18"/>
              </w:rPr>
              <w:t xml:space="preserve">p-value : </w:t>
            </w: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29"/>
              </w:rPr>
            </w:pPr>
          </w:p>
          <w:p>
            <w:pPr>
              <w:pStyle w:val="TableParagraph"/>
              <w:ind w:start="104" w:end="88"/>
              <w:jc w:val="center"/>
              <w:rPr>
                <w:sz w:val="18"/>
              </w:rPr>
            </w:pPr>
            <w:r>
              <w:rPr>
                <w:sz w:val="18"/>
              </w:rPr>
              <w:t xml:space="preserve">TRES </w:t>
            </w:r>
            <w:r>
              <w:rPr>
                <w:sz w:val="18"/>
              </w:rPr>
              <w:t xml:space="preserve">FAIBLE</w:t>
            </w:r>
          </w:p>
        </w:tc>
      </w:tr>
      <w:tr w:rsidR="00432386">
        <w:trPr>
          <w:trHeight w:val="457"/>
        </w:trPr>
        <w:tc>
          <w:tcPr>
            <w:tcW w:w="13950" w:type="dxa"/>
            <w:gridSpan w:val="10"/>
            <w:shd w:val="clear" w:color="auto" w:fill="C5D9F0"/>
          </w:tcPr>
          <w:p>
            <w:pPr>
              <w:pStyle w:val="TableParagraph"/>
              <w:spacing w:line="228" w:lineRule="exact"/>
              <w:ind w:start="107"/>
              <w:rPr>
                <w:b/>
                <w:i/>
                <w:sz w:val="20"/>
              </w:rPr>
            </w:pPr>
            <w:r>
              <w:rPr>
                <w:b/>
                <w:i/>
                <w:sz w:val="20"/>
              </w:rPr>
              <w:t xml:space="preserve">Changement de </w:t>
            </w:r>
            <w:r>
              <w:rPr>
                <w:b/>
                <w:i/>
                <w:sz w:val="20"/>
              </w:rPr>
              <w:t xml:space="preserve">la </w:t>
            </w:r>
            <w:r>
              <w:rPr>
                <w:b/>
                <w:i/>
                <w:sz w:val="20"/>
              </w:rPr>
              <w:t xml:space="preserve">DMO </w:t>
            </w:r>
            <w:r>
              <w:rPr>
                <w:b/>
                <w:i/>
                <w:sz w:val="20"/>
              </w:rPr>
              <w:t xml:space="preserve">fémorale </w:t>
            </w:r>
            <w:r>
              <w:rPr>
                <w:b/>
                <w:i/>
                <w:sz w:val="20"/>
              </w:rPr>
              <w:t xml:space="preserve">entre le </w:t>
            </w:r>
            <w:r>
              <w:rPr>
                <w:b/>
                <w:i/>
                <w:sz w:val="20"/>
              </w:rPr>
              <w:t xml:space="preserve">début de l'administration d'</w:t>
            </w:r>
            <w:r>
              <w:rPr>
                <w:b/>
                <w:i/>
                <w:sz w:val="20"/>
              </w:rPr>
              <w:t xml:space="preserve">un analogue de la </w:t>
            </w:r>
            <w:r>
              <w:rPr>
                <w:b/>
                <w:i/>
                <w:sz w:val="20"/>
              </w:rPr>
              <w:t xml:space="preserve">GnRH </w:t>
            </w:r>
            <w:r>
              <w:rPr>
                <w:b/>
                <w:i/>
                <w:sz w:val="20"/>
              </w:rPr>
              <w:t xml:space="preserve">(</w:t>
            </w:r>
            <w:r>
              <w:rPr>
                <w:b/>
                <w:i/>
                <w:sz w:val="20"/>
              </w:rPr>
              <w:t xml:space="preserve">âge </w:t>
            </w:r>
            <w:r>
              <w:rPr>
                <w:b/>
                <w:i/>
                <w:sz w:val="20"/>
              </w:rPr>
              <w:t xml:space="preserve">moyen </w:t>
            </w:r>
            <w:r>
              <w:rPr>
                <w:b/>
                <w:i/>
                <w:sz w:val="20"/>
              </w:rPr>
              <w:t xml:space="preserve">15,0±2,0) </w:t>
            </w:r>
            <w:r>
              <w:rPr>
                <w:b/>
                <w:i/>
                <w:sz w:val="20"/>
              </w:rPr>
              <w:t xml:space="preserve">et le </w:t>
            </w:r>
            <w:r>
              <w:rPr>
                <w:b/>
                <w:i/>
                <w:sz w:val="20"/>
              </w:rPr>
              <w:t xml:space="preserve">début de l'administration d'</w:t>
            </w:r>
            <w:r>
              <w:rPr>
                <w:b/>
                <w:i/>
                <w:sz w:val="20"/>
              </w:rPr>
              <w:t xml:space="preserve">hormones </w:t>
            </w:r>
            <w:r>
              <w:rPr>
                <w:b/>
                <w:i/>
                <w:sz w:val="20"/>
              </w:rPr>
              <w:t xml:space="preserve">d'affirmation du genre </w:t>
            </w:r>
            <w:r>
              <w:rPr>
                <w:b/>
                <w:i/>
                <w:sz w:val="20"/>
              </w:rPr>
              <w:t xml:space="preserve">(</w:t>
            </w:r>
            <w:r>
              <w:rPr>
                <w:b/>
                <w:i/>
                <w:sz w:val="20"/>
              </w:rPr>
              <w:t xml:space="preserve">âge </w:t>
            </w:r>
            <w:r>
              <w:rPr>
                <w:b/>
                <w:i/>
                <w:sz w:val="20"/>
              </w:rPr>
              <w:t xml:space="preserve">moyen </w:t>
            </w:r>
            <w:r>
              <w:rPr>
                <w:b/>
                <w:i/>
                <w:sz w:val="20"/>
              </w:rPr>
              <w:t xml:space="preserve">16,4±2,3) </w:t>
            </w:r>
            <w:r>
              <w:rPr>
                <w:b/>
                <w:i/>
                <w:sz w:val="20"/>
              </w:rPr>
              <w:t xml:space="preserve">chez les </w:t>
            </w:r>
            <w:r>
              <w:rPr>
                <w:b/>
                <w:i/>
                <w:sz w:val="20"/>
              </w:rPr>
              <w:t xml:space="preserve">transmales.</w:t>
            </w:r>
          </w:p>
        </w:tc>
      </w:tr>
      <w:tr w:rsidR="00432386">
        <w:trPr>
          <w:trHeight w:val="2277"/>
        </w:trPr>
        <w:tc>
          <w:tcPr>
            <w:tcW w:w="1133" w:type="dxa"/>
          </w:tcPr>
          <w:p w:rsidR="00432386" w:rsidRDefault="00432386">
            <w:pPr>
              <w:pStyle w:val="TableParagraph"/>
              <w:rPr>
                <w:b/>
                <w:sz w:val="20"/>
              </w:rPr>
            </w:pPr>
          </w:p>
          <w:p w:rsidR="00432386" w:rsidRDefault="00432386">
            <w:pPr>
              <w:pStyle w:val="TableParagraph"/>
              <w:spacing w:before="9"/>
              <w:rPr>
                <w:b/>
                <w:sz w:val="28"/>
              </w:rPr>
            </w:pPr>
          </w:p>
          <w:p>
            <w:pPr>
              <w:pStyle w:val="TableParagraph"/>
              <w:ind w:start="107"/>
              <w:rPr>
                <w:sz w:val="18"/>
              </w:rPr>
            </w:pPr>
            <w:r>
              <w:rPr>
                <w:sz w:val="18"/>
              </w:rPr>
              <w:t xml:space="preserve">1</w:t>
            </w:r>
          </w:p>
          <w:p>
            <w:pPr>
              <w:pStyle w:val="TableParagraph"/>
              <w:spacing w:before="2"/>
              <w:ind w:start="107" w:end="165"/>
              <w:rPr>
                <w:sz w:val="18"/>
              </w:rPr>
            </w:pPr>
            <w:r>
              <w:rPr>
                <w:sz w:val="18"/>
              </w:rPr>
              <w:t xml:space="preserve">étude </w:t>
            </w:r>
            <w:r>
              <w:rPr>
                <w:sz w:val="18"/>
              </w:rPr>
              <w:t xml:space="preserve">d'</w:t>
            </w:r>
            <w:r>
              <w:rPr>
                <w:sz w:val="18"/>
              </w:rPr>
              <w:t xml:space="preserve">observation</w:t>
            </w:r>
          </w:p>
          <w:p>
            <w:pPr>
              <w:pStyle w:val="TableParagraph"/>
              <w:spacing w:before="58"/>
              <w:ind w:start="107" w:end="165"/>
              <w:rPr>
                <w:sz w:val="18"/>
              </w:rPr>
            </w:pPr>
            <w:r>
              <w:rPr>
                <w:sz w:val="18"/>
              </w:rPr>
              <w:t xml:space="preserve">Klink et al. </w:t>
            </w:r>
            <w:r>
              <w:rPr>
                <w:sz w:val="18"/>
              </w:rPr>
              <w:t xml:space="preserve">2015</w:t>
            </w:r>
          </w:p>
        </w:tc>
        <w:tc>
          <w:tcPr>
            <w:tcW w:w="1135"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4"/>
              <w:rPr>
                <w:b/>
                <w:sz w:val="21"/>
              </w:rPr>
            </w:pPr>
          </w:p>
          <w:p>
            <w:pPr>
              <w:pStyle w:val="TableParagraph"/>
              <w:spacing w:before="1" w:line="235" w:lineRule="auto"/>
              <w:ind w:start="108" w:end="130"/>
              <w:rPr>
                <w:sz w:val="12"/>
              </w:rPr>
            </w:pPr>
            <w:r>
              <w:rPr>
                <w:sz w:val="18"/>
              </w:rPr>
              <w:t xml:space="preserve">De sérieuses </w:t>
            </w:r>
            <w:r>
              <w:rPr>
                <w:sz w:val="18"/>
              </w:rPr>
              <w:t xml:space="preserve">limitations2</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21"/>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1"/>
              <w:rPr>
                <w:b/>
              </w:rPr>
            </w:pPr>
          </w:p>
          <w:p>
            <w:pPr>
              <w:pStyle w:val="TableParagraph"/>
              <w:spacing w:line="720" w:lineRule="auto"/>
              <w:ind w:start="349" w:end="317"/>
              <w:rPr>
                <w:sz w:val="18"/>
              </w:rPr>
            </w:pPr>
            <w:r>
              <w:rPr>
                <w:sz w:val="18"/>
              </w:rPr>
              <w:t xml:space="preserve">N=18 </w:t>
            </w:r>
            <w:r>
              <w:rPr>
                <w:sz w:val="18"/>
              </w:rPr>
              <w:t xml:space="preserve">N=18</w:t>
            </w:r>
          </w:p>
        </w:tc>
        <w:tc>
          <w:tcPr>
            <w:tcW w:w="127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53" w:end="136"/>
              <w:jc w:val="center"/>
              <w:rPr>
                <w:sz w:val="18"/>
              </w:rPr>
            </w:pPr>
            <w:r>
              <w:rPr>
                <w:sz w:val="18"/>
              </w:rPr>
              <w:t xml:space="preserve">Aucun</w:t>
            </w:r>
          </w:p>
        </w:tc>
        <w:tc>
          <w:tcPr>
            <w:tcW w:w="2836" w:type="dxa"/>
          </w:tcPr>
          <w:p>
            <w:pPr>
              <w:pStyle w:val="TableParagraph"/>
              <w:spacing w:before="1"/>
              <w:ind w:start="288" w:end="273" w:firstLine="400"/>
              <w:rPr>
                <w:sz w:val="18"/>
              </w:rPr>
            </w:pPr>
            <w:r>
              <w:rPr>
                <w:sz w:val="18"/>
              </w:rPr>
              <w:t xml:space="preserve">Moyenne (SD), g/cm3 </w:t>
            </w:r>
            <w:r>
              <w:rPr>
                <w:sz w:val="18"/>
              </w:rPr>
              <w:t xml:space="preserve">Analogue de la GnRH : 0,32 (0,04) </w:t>
            </w:r>
            <w:r>
              <w:rPr>
                <w:sz w:val="18"/>
              </w:rPr>
              <w:t xml:space="preserve">Hormones d'</w:t>
            </w:r>
            <w:r>
              <w:rPr>
                <w:sz w:val="18"/>
              </w:rPr>
              <w:t xml:space="preserve">affirmation du genre </w:t>
            </w:r>
            <w:r>
              <w:rPr>
                <w:sz w:val="18"/>
              </w:rPr>
              <w:t xml:space="preserve">:</w:t>
            </w:r>
          </w:p>
          <w:p>
            <w:pPr>
              <w:pStyle w:val="TableParagraph"/>
              <w:ind w:start="1294" w:end="951" w:hanging="310"/>
              <w:rPr>
                <w:sz w:val="18"/>
              </w:rPr>
            </w:pPr>
            <w:r>
              <w:rPr>
                <w:sz w:val="18"/>
              </w:rPr>
              <w:t xml:space="preserve">0,31 (0,04) </w:t>
            </w:r>
            <w:r>
              <w:rPr>
                <w:sz w:val="18"/>
              </w:rPr>
              <w:t xml:space="preserve">NS</w:t>
            </w:r>
          </w:p>
          <w:p w:rsidR="00432386" w:rsidRDefault="00432386">
            <w:pPr>
              <w:pStyle w:val="TableParagraph"/>
              <w:spacing w:before="11"/>
              <w:rPr>
                <w:b/>
                <w:sz w:val="17"/>
              </w:rPr>
            </w:pPr>
          </w:p>
          <w:p>
            <w:pPr>
              <w:pStyle w:val="TableParagraph"/>
              <w:spacing w:line="207" w:lineRule="exact"/>
              <w:ind w:start="151" w:end="137"/>
              <w:jc w:val="center"/>
              <w:rPr>
                <w:sz w:val="18"/>
              </w:rPr>
            </w:pPr>
            <w:r>
              <w:rPr>
                <w:sz w:val="18"/>
              </w:rPr>
              <w:t xml:space="preserve">z-score</w:t>
            </w:r>
          </w:p>
          <w:p>
            <w:pPr>
              <w:pStyle w:val="TableParagraph"/>
              <w:ind w:start="288" w:end="273"/>
              <w:jc w:val="center"/>
              <w:rPr>
                <w:sz w:val="18"/>
              </w:rPr>
            </w:pPr>
            <w:r>
              <w:rPr>
                <w:sz w:val="18"/>
              </w:rPr>
              <w:t xml:space="preserve">Analogue de la GnRH : 0,01 (0,70) </w:t>
            </w:r>
            <w:r>
              <w:rPr>
                <w:sz w:val="18"/>
              </w:rPr>
              <w:t xml:space="preserve">Hormones d'</w:t>
            </w:r>
            <w:r>
              <w:rPr>
                <w:sz w:val="18"/>
              </w:rPr>
              <w:t xml:space="preserve">affirmation du genre </w:t>
            </w:r>
            <w:r>
              <w:rPr>
                <w:sz w:val="18"/>
              </w:rPr>
              <w:t xml:space="preserve">:</w:t>
            </w:r>
          </w:p>
          <w:p>
            <w:pPr>
              <w:pStyle w:val="TableParagraph"/>
              <w:spacing w:before="1" w:line="207" w:lineRule="exact"/>
              <w:ind w:start="151" w:end="135"/>
              <w:jc w:val="center"/>
              <w:rPr>
                <w:sz w:val="18"/>
              </w:rPr>
            </w:pPr>
            <w:r>
              <w:rPr>
                <w:sz w:val="18"/>
              </w:rPr>
              <w:t xml:space="preserve">−0.28 </w:t>
            </w:r>
            <w:r>
              <w:rPr>
                <w:sz w:val="18"/>
              </w:rPr>
              <w:t xml:space="preserve">(0.74)</w:t>
            </w:r>
          </w:p>
          <w:p>
            <w:pPr>
              <w:pStyle w:val="TableParagraph"/>
              <w:spacing w:line="187" w:lineRule="exact"/>
              <w:ind w:start="151" w:end="139"/>
              <w:jc w:val="center"/>
              <w:rPr>
                <w:sz w:val="18"/>
              </w:rPr>
            </w:pPr>
            <w:r>
              <w:rPr>
                <w:sz w:val="18"/>
              </w:rPr>
              <w:t xml:space="preserve">NS</w:t>
            </w:r>
          </w:p>
        </w:tc>
        <w:tc>
          <w:tcPr>
            <w:tcW w:w="1421"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16"/>
              <w:ind w:start="104" w:end="88"/>
              <w:jc w:val="center"/>
              <w:rPr>
                <w:sz w:val="18"/>
              </w:rPr>
            </w:pPr>
            <w:r>
              <w:rPr>
                <w:sz w:val="18"/>
              </w:rPr>
              <w:t xml:space="preserve">TRES </w:t>
            </w:r>
            <w:r>
              <w:rPr>
                <w:sz w:val="18"/>
              </w:rPr>
              <w:t xml:space="preserve">FAIBLE</w:t>
            </w:r>
          </w:p>
        </w:tc>
      </w:tr>
    </w:tbl>
    <w:p>
      <w:pPr>
        <w:spacing w:before="3"/>
        <w:ind w:start="120" w:end="995"/>
        <w:rPr>
          <w:sz w:val="20"/>
        </w:rPr>
      </w:pPr>
      <w:r>
        <w:rPr>
          <w:b/>
          <w:sz w:val="20"/>
        </w:rPr>
        <w:t xml:space="preserve">Abréviations : </w:t>
      </w:r>
      <w:r>
        <w:rPr>
          <w:sz w:val="20"/>
        </w:rPr>
        <w:t xml:space="preserve">BMAD, densité minérale osseuse apparente ; DMO, densité minérale osseuse ; GnRH, hormone de libération de la gonadotrophine ; NS, non significatif ; SD, </w:t>
      </w:r>
      <w:r>
        <w:rPr>
          <w:sz w:val="20"/>
        </w:rPr>
        <w:t xml:space="preserve">écart-type.</w:t>
      </w:r>
    </w:p>
    <w:p w:rsidR="00432386" w:rsidRDefault="00432386">
      <w:pPr>
        <w:pStyle w:val="Corpsdetexte"/>
        <w:spacing w:before="1"/>
        <w:ind w:start="0"/>
        <w:rPr>
          <w:sz w:val="20"/>
        </w:rPr>
      </w:pPr>
    </w:p>
    <w:p>
      <w:pPr>
        <w:pStyle w:val="Paragraphedeliste"/>
        <w:numPr>
          <w:ilvl w:val="0"/>
          <w:numId w:val="4"/>
        </w:numPr>
        <w:tabs>
          <w:tab w:val="left" w:pos="272"/>
        </w:tabs>
        <w:spacing w:before="0"/>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Joseph </w:t>
      </w:r>
      <w:r>
        <w:rPr>
          <w:i/>
          <w:sz w:val="18"/>
        </w:rPr>
        <w:t xml:space="preserve">et </w:t>
      </w:r>
      <w:r>
        <w:rPr>
          <w:i/>
          <w:sz w:val="18"/>
        </w:rPr>
        <w:t xml:space="preserve">al. </w:t>
      </w:r>
      <w:r>
        <w:rPr>
          <w:i/>
          <w:sz w:val="18"/>
        </w:rPr>
        <w:t xml:space="preserve">(2019) </w:t>
      </w:r>
      <w:r>
        <w:rPr>
          <w:i/>
          <w:sz w:val="18"/>
        </w:rPr>
        <w:t xml:space="preserve">a été </w:t>
      </w:r>
      <w:r>
        <w:rPr>
          <w:i/>
          <w:sz w:val="18"/>
        </w:rPr>
        <w:t xml:space="preserve">évaluée </w:t>
      </w:r>
      <w:r>
        <w:rPr>
          <w:i/>
          <w:sz w:val="18"/>
        </w:rPr>
        <w:t xml:space="preserve">comme présentant un </w:t>
      </w:r>
      <w:r>
        <w:rPr>
          <w:i/>
          <w:sz w:val="18"/>
        </w:rPr>
        <w:t xml:space="preserve">risque </w:t>
      </w:r>
      <w:r>
        <w:rPr>
          <w:i/>
          <w:sz w:val="18"/>
        </w:rPr>
        <w:t xml:space="preserve">élevé de </w:t>
      </w:r>
      <w:r>
        <w:rPr>
          <w:i/>
          <w:sz w:val="18"/>
        </w:rPr>
        <w:t xml:space="preserve">biais </w:t>
      </w:r>
      <w:r>
        <w:rPr>
          <w:i/>
          <w:sz w:val="18"/>
        </w:rPr>
        <w:t xml:space="preserve">(</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d'</w:t>
      </w:r>
      <w:r>
        <w:rPr>
          <w:i/>
          <w:sz w:val="18"/>
        </w:rPr>
        <w:t xml:space="preserve">aveugle </w:t>
      </w:r>
      <w:r>
        <w:rPr>
          <w:i/>
          <w:sz w:val="18"/>
        </w:rPr>
        <w:t xml:space="preserve">et </w:t>
      </w:r>
      <w:r>
        <w:rPr>
          <w:i/>
          <w:sz w:val="18"/>
        </w:rPr>
        <w:t xml:space="preserve">de </w:t>
      </w:r>
      <w:r>
        <w:rPr>
          <w:i/>
          <w:sz w:val="18"/>
        </w:rPr>
        <w:t xml:space="preserve">groupe </w:t>
      </w:r>
      <w:r>
        <w:rPr>
          <w:i/>
          <w:sz w:val="18"/>
        </w:rPr>
        <w:t xml:space="preserve">témoin</w:t>
      </w:r>
      <w:r>
        <w:rPr>
          <w:i/>
          <w:sz w:val="18"/>
        </w:rPr>
        <w:t xml:space="preserve">).</w:t>
      </w:r>
    </w:p>
    <w:p>
      <w:pPr>
        <w:pStyle w:val="Paragraphedeliste"/>
        <w:numPr>
          <w:ilvl w:val="0"/>
          <w:numId w:val="4"/>
        </w:numPr>
        <w:tabs>
          <w:tab w:val="left" w:pos="272"/>
        </w:tabs>
        <w:spacing w:before="31" w:line="276" w:lineRule="auto"/>
        <w:ind w:start="120" w:end="360" w:firstLine="0"/>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Klink </w:t>
      </w:r>
      <w:r>
        <w:rPr>
          <w:i/>
          <w:sz w:val="18"/>
        </w:rPr>
        <w:t xml:space="preserve">et </w:t>
      </w:r>
      <w:r>
        <w:rPr>
          <w:i/>
          <w:sz w:val="18"/>
        </w:rPr>
        <w:t xml:space="preserve">al. </w:t>
      </w:r>
      <w:r>
        <w:rPr>
          <w:i/>
          <w:sz w:val="18"/>
        </w:rPr>
        <w:t xml:space="preserve">(2015) </w:t>
      </w:r>
      <w:r>
        <w:rPr>
          <w:i/>
          <w:sz w:val="18"/>
        </w:rPr>
        <w:t xml:space="preserve">a été </w:t>
      </w:r>
      <w:r>
        <w:rPr>
          <w:i/>
          <w:sz w:val="18"/>
        </w:rPr>
        <w:t xml:space="preserve">évaluée </w:t>
      </w:r>
      <w:r>
        <w:rPr>
          <w:i/>
          <w:sz w:val="18"/>
        </w:rPr>
        <w:t xml:space="preserve">comme 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w:t>
      </w:r>
      <w:r>
        <w:rPr>
          <w:i/>
          <w:sz w:val="18"/>
        </w:rPr>
        <w:t xml:space="preserve">médiocre </w:t>
      </w:r>
      <w:r>
        <w:rPr>
          <w:i/>
          <w:sz w:val="18"/>
        </w:rPr>
        <w:t xml:space="preserve">dans l'ensemble ; </w:t>
      </w:r>
      <w:r>
        <w:rPr>
          <w:i/>
          <w:sz w:val="18"/>
        </w:rPr>
        <w:t xml:space="preserve">absence </w:t>
      </w:r>
      <w:r>
        <w:rPr>
          <w:i/>
          <w:sz w:val="18"/>
        </w:rPr>
        <w:t xml:space="preserve">d'</w:t>
      </w:r>
      <w:r>
        <w:rPr>
          <w:i/>
          <w:sz w:val="18"/>
        </w:rPr>
        <w:t xml:space="preserve">insu, </w:t>
      </w:r>
      <w:r>
        <w:rPr>
          <w:i/>
          <w:sz w:val="18"/>
        </w:rPr>
        <w:t xml:space="preserve">pas de </w:t>
      </w:r>
      <w:r>
        <w:rPr>
          <w:i/>
          <w:sz w:val="18"/>
        </w:rPr>
        <w:t xml:space="preserve">randomisation, </w:t>
      </w:r>
      <w:r>
        <w:rPr>
          <w:i/>
          <w:sz w:val="18"/>
        </w:rPr>
        <w:t xml:space="preserve">pas de </w:t>
      </w:r>
      <w:r>
        <w:rPr>
          <w:i/>
          <w:sz w:val="18"/>
        </w:rPr>
        <w:t xml:space="preserve">groupe </w:t>
      </w:r>
      <w:r>
        <w:rPr>
          <w:i/>
          <w:sz w:val="18"/>
        </w:rPr>
        <w:t xml:space="preserve">témoin </w:t>
      </w:r>
      <w:r>
        <w:rPr>
          <w:i/>
          <w:sz w:val="18"/>
        </w:rPr>
        <w:t xml:space="preserve">et nombre </w:t>
      </w:r>
      <w:r>
        <w:rPr>
          <w:i/>
          <w:sz w:val="18"/>
        </w:rPr>
        <w:t xml:space="preserve">élevé </w:t>
      </w:r>
      <w:r>
        <w:rPr>
          <w:i/>
          <w:sz w:val="18"/>
        </w:rPr>
        <w:t xml:space="preserve">de participants </w:t>
      </w:r>
      <w:r>
        <w:rPr>
          <w:i/>
          <w:sz w:val="18"/>
        </w:rPr>
        <w:t xml:space="preserve">perdus au suivi).</w:t>
      </w:r>
    </w:p>
    <w:p>
      <w:pPr>
        <w:pStyle w:val="Paragraphedeliste"/>
        <w:numPr>
          <w:ilvl w:val="0"/>
          <w:numId w:val="4"/>
        </w:numPr>
        <w:tabs>
          <w:tab w:val="left" w:pos="272"/>
        </w:tabs>
        <w:spacing w:before="0" w:line="206" w:lineRule="exact"/>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w:t>
      </w:r>
      <w:r>
        <w:rPr>
          <w:i/>
          <w:sz w:val="18"/>
        </w:rPr>
        <w:t xml:space="preserve">Vlot </w:t>
      </w:r>
      <w:r>
        <w:rPr>
          <w:i/>
          <w:sz w:val="18"/>
        </w:rPr>
        <w:t xml:space="preserve">et </w:t>
      </w:r>
      <w:r>
        <w:rPr>
          <w:i/>
          <w:sz w:val="18"/>
        </w:rPr>
        <w:t xml:space="preserve">al. </w:t>
      </w:r>
      <w:r>
        <w:rPr>
          <w:i/>
          <w:sz w:val="18"/>
        </w:rPr>
        <w:t xml:space="preserve">(2017) </w:t>
      </w:r>
      <w:r>
        <w:rPr>
          <w:i/>
          <w:sz w:val="18"/>
        </w:rPr>
        <w:t xml:space="preserve">a été </w:t>
      </w:r>
      <w:r>
        <w:rPr>
          <w:i/>
          <w:sz w:val="18"/>
        </w:rPr>
        <w:t xml:space="preserve">évaluée </w:t>
      </w:r>
      <w:r>
        <w:rPr>
          <w:i/>
          <w:sz w:val="18"/>
        </w:rPr>
        <w:t xml:space="preserve">comme 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d'</w:t>
      </w:r>
      <w:r>
        <w:rPr>
          <w:i/>
          <w:sz w:val="18"/>
        </w:rPr>
        <w:t xml:space="preserve">aveugle </w:t>
      </w:r>
      <w:r>
        <w:rPr>
          <w:i/>
          <w:sz w:val="18"/>
        </w:rPr>
        <w:t xml:space="preserve">et </w:t>
      </w:r>
      <w:r>
        <w:rPr>
          <w:i/>
          <w:sz w:val="18"/>
        </w:rPr>
        <w:t xml:space="preserve">de </w:t>
      </w:r>
      <w:r>
        <w:rPr>
          <w:i/>
          <w:sz w:val="18"/>
        </w:rPr>
        <w:t xml:space="preserve">contrôle).</w:t>
      </w:r>
    </w:p>
    <w:p w:rsidR="00432386" w:rsidRDefault="00432386">
      <w:pPr>
        <w:spacing w:line="206" w:lineRule="exact"/>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i/>
          <w:sz w:val="21"/>
        </w:rPr>
      </w:pPr>
    </w:p>
    <w:p>
      <w:pPr>
        <w:pStyle w:val="Titre1"/>
        <w:spacing w:before="93"/>
        <w:ind w:start="120" w:end="163"/>
      </w:pPr>
      <w:r>
        <w:t xml:space="preserve">Tableau 9 Question 2 : Chez les enfants et les adolescents souffrant de dysphorie de genre, quelle est la sécurité à court et à long terme des </w:t>
      </w:r>
      <w:r>
        <w:t xml:space="preserve">analogues de la </w:t>
      </w:r>
      <w:r>
        <w:t xml:space="preserve">GnRH par </w:t>
      </w:r>
      <w:r>
        <w:t xml:space="preserve">rapport </w:t>
      </w:r>
      <w:r>
        <w:t xml:space="preserve">à </w:t>
      </w:r>
      <w:r>
        <w:t xml:space="preserve">une </w:t>
      </w:r>
      <w:r>
        <w:t xml:space="preserve">ou </w:t>
      </w:r>
      <w:r>
        <w:t xml:space="preserve">une </w:t>
      </w:r>
      <w:r>
        <w:t xml:space="preserve">combinaison </w:t>
      </w:r>
      <w:r>
        <w:t xml:space="preserve">de </w:t>
      </w:r>
      <w:r>
        <w:t xml:space="preserve">soutien </w:t>
      </w:r>
      <w:r>
        <w:t xml:space="preserve">psychologique</w:t>
      </w:r>
      <w:r>
        <w:t xml:space="preserve">, de </w:t>
      </w:r>
      <w:r>
        <w:t xml:space="preserve">transition </w:t>
      </w:r>
      <w:r>
        <w:t xml:space="preserve">sociale </w:t>
      </w:r>
      <w:r>
        <w:t xml:space="preserve">vers </w:t>
      </w:r>
      <w:r>
        <w:t xml:space="preserve">le </w:t>
      </w:r>
      <w:r>
        <w:t xml:space="preserve">genre </w:t>
      </w:r>
      <w:r>
        <w:t xml:space="preserve">désiré </w:t>
      </w:r>
      <w:r>
        <w:t xml:space="preserve">ou d'</w:t>
      </w:r>
      <w:r>
        <w:t xml:space="preserve">aucune intervention ? - </w:t>
      </w:r>
      <w:r>
        <w:t xml:space="preserve">développement </w:t>
      </w:r>
      <w:r>
        <w:t xml:space="preserve">ou fonctionnement </w:t>
      </w:r>
      <w:r>
        <w:t xml:space="preserve">cognitif</w:t>
      </w: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9"/>
              <w:rPr>
                <w:b/>
                <w:sz w:val="19"/>
              </w:rPr>
            </w:pPr>
          </w:p>
          <w:p>
            <w:pPr>
              <w:pStyle w:val="TableParagraph"/>
              <w:spacing w:before="1"/>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9"/>
              <w:rPr>
                <w:b/>
                <w:sz w:val="19"/>
              </w:rPr>
            </w:pPr>
          </w:p>
          <w:p>
            <w:pPr>
              <w:pStyle w:val="TableParagraph"/>
              <w:spacing w:before="1"/>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366"/>
        </w:trPr>
        <w:tc>
          <w:tcPr>
            <w:tcW w:w="1133" w:type="dxa"/>
            <w:shd w:val="clear" w:color="auto" w:fill="D9D9D9"/>
          </w:tcPr>
          <w:p>
            <w:pPr>
              <w:pStyle w:val="TableParagraph"/>
              <w:spacing w:line="183" w:lineRule="exact"/>
              <w:ind w:start="343"/>
              <w:rPr>
                <w:b/>
                <w:sz w:val="16"/>
              </w:rPr>
            </w:pPr>
            <w:r>
              <w:rPr>
                <w:b/>
                <w:sz w:val="16"/>
              </w:rPr>
              <w:t xml:space="preserve">Étude</w:t>
            </w:r>
          </w:p>
        </w:tc>
        <w:tc>
          <w:tcPr>
            <w:tcW w:w="1135" w:type="dxa"/>
            <w:shd w:val="clear" w:color="auto" w:fill="D9D9D9"/>
          </w:tcPr>
          <w:p>
            <w:pPr>
              <w:pStyle w:val="TableParagraph"/>
              <w:spacing w:before="92"/>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92"/>
              <w:ind w:start="163"/>
              <w:rPr>
                <w:b/>
                <w:sz w:val="16"/>
              </w:rPr>
            </w:pPr>
            <w:r>
              <w:rPr>
                <w:b/>
                <w:sz w:val="16"/>
              </w:rPr>
              <w:t xml:space="preserve">Indirectness</w:t>
            </w:r>
          </w:p>
        </w:tc>
        <w:tc>
          <w:tcPr>
            <w:tcW w:w="1421" w:type="dxa"/>
            <w:shd w:val="clear" w:color="auto" w:fill="D9D9D9"/>
          </w:tcPr>
          <w:p>
            <w:pPr>
              <w:pStyle w:val="TableParagraph"/>
              <w:spacing w:before="92"/>
              <w:ind w:start="91" w:end="82"/>
              <w:jc w:val="center"/>
              <w:rPr>
                <w:b/>
                <w:sz w:val="16"/>
              </w:rPr>
            </w:pPr>
            <w:r>
              <w:rPr>
                <w:b/>
                <w:sz w:val="16"/>
              </w:rPr>
              <w:t xml:space="preserve">Incohérence</w:t>
            </w:r>
          </w:p>
        </w:tc>
        <w:tc>
          <w:tcPr>
            <w:tcW w:w="1132" w:type="dxa"/>
            <w:shd w:val="clear" w:color="auto" w:fill="D9D9D9"/>
          </w:tcPr>
          <w:p>
            <w:pPr>
              <w:pStyle w:val="TableParagraph"/>
              <w:spacing w:before="92"/>
              <w:ind w:start="118"/>
              <w:rPr>
                <w:b/>
                <w:sz w:val="16"/>
              </w:rPr>
            </w:pPr>
            <w:r>
              <w:rPr>
                <w:b/>
                <w:sz w:val="16"/>
              </w:rPr>
              <w:t xml:space="preserve">Imprécision</w:t>
            </w:r>
          </w:p>
        </w:tc>
        <w:tc>
          <w:tcPr>
            <w:tcW w:w="1132" w:type="dxa"/>
            <w:shd w:val="clear" w:color="auto" w:fill="D9D9D9"/>
          </w:tcPr>
          <w:p>
            <w:pPr>
              <w:pStyle w:val="TableParagraph"/>
              <w:spacing w:before="92"/>
              <w:ind w:start="109"/>
              <w:rPr>
                <w:b/>
                <w:sz w:val="16"/>
              </w:rPr>
            </w:pPr>
            <w:r>
              <w:rPr>
                <w:b/>
                <w:sz w:val="16"/>
              </w:rPr>
              <w:t xml:space="preserve">Intervention</w:t>
            </w:r>
          </w:p>
        </w:tc>
        <w:tc>
          <w:tcPr>
            <w:tcW w:w="1274" w:type="dxa"/>
            <w:shd w:val="clear" w:color="auto" w:fill="D9D9D9"/>
          </w:tcPr>
          <w:p>
            <w:pPr>
              <w:pStyle w:val="TableParagraph"/>
              <w:spacing w:before="92"/>
              <w:ind w:start="184"/>
              <w:rPr>
                <w:b/>
                <w:sz w:val="16"/>
              </w:rPr>
            </w:pPr>
            <w:r>
              <w:rPr>
                <w:b/>
                <w:sz w:val="16"/>
              </w:rPr>
              <w:t xml:space="preserve">Comparateur</w:t>
            </w:r>
          </w:p>
        </w:tc>
        <w:tc>
          <w:tcPr>
            <w:tcW w:w="2836" w:type="dxa"/>
            <w:shd w:val="clear" w:color="auto" w:fill="D9D9D9"/>
          </w:tcPr>
          <w:p>
            <w:pPr>
              <w:pStyle w:val="TableParagraph"/>
              <w:spacing w:before="92"/>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300"/>
        </w:trPr>
        <w:tc>
          <w:tcPr>
            <w:tcW w:w="13950" w:type="dxa"/>
            <w:gridSpan w:val="10"/>
            <w:shd w:val="clear" w:color="auto" w:fill="8DB3E1"/>
          </w:tcPr>
          <w:p>
            <w:pPr>
              <w:pStyle w:val="TableParagraph"/>
              <w:ind w:start="107"/>
              <w:rPr>
                <w:b/>
                <w:i/>
                <w:sz w:val="20"/>
              </w:rPr>
            </w:pPr>
            <w:r>
              <w:rPr>
                <w:b/>
                <w:i/>
                <w:sz w:val="20"/>
              </w:rPr>
              <w:t xml:space="preserve">Développement </w:t>
            </w:r>
            <w:r>
              <w:rPr>
                <w:b/>
                <w:i/>
                <w:sz w:val="20"/>
              </w:rPr>
              <w:t xml:space="preserve">ou </w:t>
            </w:r>
            <w:r>
              <w:rPr>
                <w:b/>
                <w:i/>
                <w:sz w:val="20"/>
              </w:rPr>
              <w:t xml:space="preserve">fonctionnement </w:t>
            </w:r>
            <w:r>
              <w:rPr>
                <w:b/>
                <w:i/>
                <w:sz w:val="20"/>
              </w:rPr>
              <w:t xml:space="preserve">cognitif </w:t>
            </w:r>
            <w:r>
              <w:rPr>
                <w:b/>
                <w:i/>
                <w:sz w:val="20"/>
              </w:rPr>
              <w:t xml:space="preserve">(1 </w:t>
            </w:r>
            <w:r>
              <w:rPr>
                <w:b/>
                <w:i/>
                <w:sz w:val="20"/>
              </w:rPr>
              <w:t xml:space="preserve">étude </w:t>
            </w:r>
            <w:r>
              <w:rPr>
                <w:b/>
                <w:i/>
                <w:sz w:val="20"/>
              </w:rPr>
              <w:t xml:space="preserve">transversale</w:t>
            </w:r>
            <w:r>
              <w:rPr>
                <w:b/>
                <w:i/>
                <w:sz w:val="20"/>
              </w:rPr>
              <w:t xml:space="preserve">)</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QI </w:t>
            </w:r>
            <w:r>
              <w:rPr>
                <w:b/>
                <w:i/>
                <w:sz w:val="20"/>
              </w:rPr>
              <w:t xml:space="preserve">(4 </w:t>
            </w:r>
            <w:r>
              <w:rPr>
                <w:b/>
                <w:i/>
                <w:sz w:val="20"/>
              </w:rPr>
              <w:t xml:space="preserve">sous-échelles : </w:t>
            </w:r>
            <w:r>
              <w:rPr>
                <w:b/>
                <w:i/>
                <w:sz w:val="20"/>
              </w:rPr>
              <w:t xml:space="preserve">arithmétique, </w:t>
            </w:r>
            <w:r>
              <w:rPr>
                <w:b/>
                <w:i/>
                <w:sz w:val="20"/>
              </w:rPr>
              <w:t xml:space="preserve">vocabulaire, </w:t>
            </w:r>
            <w:r>
              <w:rPr>
                <w:b/>
                <w:i/>
                <w:sz w:val="20"/>
              </w:rPr>
              <w:t xml:space="preserve">disposition des </w:t>
            </w:r>
            <w:r>
              <w:rPr>
                <w:b/>
                <w:i/>
                <w:sz w:val="20"/>
              </w:rPr>
              <w:t xml:space="preserve">images </w:t>
            </w:r>
            <w:r>
              <w:rPr>
                <w:b/>
                <w:i/>
                <w:sz w:val="20"/>
              </w:rPr>
              <w:t xml:space="preserve">et </w:t>
            </w:r>
            <w:r>
              <w:rPr>
                <w:b/>
                <w:i/>
                <w:sz w:val="20"/>
              </w:rPr>
              <w:t xml:space="preserve">conception de </w:t>
            </w:r>
            <w:r>
              <w:rPr>
                <w:b/>
                <w:i/>
                <w:sz w:val="20"/>
              </w:rPr>
              <w:t xml:space="preserve">blocs</w:t>
            </w:r>
            <w:r>
              <w:rPr>
                <w:b/>
                <w:i/>
                <w:sz w:val="20"/>
              </w:rPr>
              <w:t xml:space="preserve">) </w:t>
            </w:r>
            <w:r>
              <w:rPr>
                <w:b/>
                <w:i/>
                <w:sz w:val="20"/>
              </w:rPr>
              <w:t xml:space="preserve">à </w:t>
            </w:r>
            <w:r>
              <w:rPr>
                <w:b/>
                <w:i/>
                <w:sz w:val="20"/>
              </w:rPr>
              <w:t xml:space="preserve">un </w:t>
            </w:r>
            <w:r>
              <w:rPr>
                <w:b/>
                <w:i/>
                <w:sz w:val="20"/>
              </w:rPr>
              <w:t xml:space="preserve">seul </w:t>
            </w:r>
            <w:r>
              <w:rPr>
                <w:b/>
                <w:i/>
                <w:sz w:val="20"/>
              </w:rPr>
              <w:t xml:space="preserve">moment </w:t>
            </w:r>
            <w:r>
              <w:rPr>
                <w:b/>
                <w:i/>
                <w:sz w:val="20"/>
              </w:rPr>
              <w:t xml:space="preserve">entre les </w:t>
            </w:r>
            <w:r>
              <w:rPr>
                <w:b/>
                <w:i/>
                <w:sz w:val="20"/>
              </w:rPr>
              <w:t xml:space="preserve">transfemmes </w:t>
            </w:r>
            <w:r>
              <w:rPr>
                <w:b/>
                <w:i/>
                <w:sz w:val="20"/>
              </w:rPr>
              <w:t xml:space="preserve">traitées aux </w:t>
            </w:r>
            <w:r>
              <w:rPr>
                <w:b/>
                <w:i/>
                <w:sz w:val="20"/>
              </w:rPr>
              <w:t xml:space="preserve">analogues de la </w:t>
            </w:r>
            <w:r>
              <w:rPr>
                <w:b/>
                <w:i/>
                <w:sz w:val="20"/>
              </w:rPr>
              <w:t xml:space="preserve">GnRH </w:t>
            </w:r>
            <w:r>
              <w:rPr>
                <w:b/>
                <w:i/>
                <w:sz w:val="20"/>
              </w:rPr>
              <w:t xml:space="preserve">et les </w:t>
            </w:r>
            <w:r>
              <w:rPr>
                <w:b/>
                <w:i/>
                <w:sz w:val="20"/>
              </w:rPr>
              <w:t xml:space="preserve">transfemmes </w:t>
            </w:r>
            <w:r>
              <w:rPr>
                <w:b/>
                <w:i/>
                <w:sz w:val="20"/>
              </w:rPr>
              <w:t xml:space="preserve">non traitées.</w:t>
            </w:r>
          </w:p>
        </w:tc>
      </w:tr>
      <w:tr w:rsidR="00432386">
        <w:trPr>
          <w:trHeight w:val="1242"/>
        </w:trPr>
        <w:tc>
          <w:tcPr>
            <w:tcW w:w="1133" w:type="dxa"/>
          </w:tcPr>
          <w:p>
            <w:pPr>
              <w:pStyle w:val="TableParagraph"/>
              <w:ind w:start="107" w:end="135"/>
              <w:rPr>
                <w:sz w:val="18"/>
              </w:rPr>
            </w:pPr>
            <w:r>
              <w:rPr>
                <w:sz w:val="18"/>
              </w:rPr>
              <w:t xml:space="preserve">1 </w:t>
            </w:r>
            <w:r>
              <w:rPr>
                <w:sz w:val="18"/>
              </w:rPr>
              <w:t xml:space="preserve">Étude </w:t>
            </w:r>
            <w:r>
              <w:rPr>
                <w:sz w:val="18"/>
              </w:rPr>
              <w:t xml:space="preserve">transversale </w:t>
            </w:r>
            <w:r>
              <w:rPr>
                <w:sz w:val="18"/>
              </w:rPr>
              <w:t xml:space="preserve">Staphorsiu </w:t>
            </w:r>
            <w:r>
              <w:rPr>
                <w:sz w:val="18"/>
              </w:rPr>
              <w:t xml:space="preserve">s </w:t>
            </w:r>
            <w:r>
              <w:rPr>
                <w:sz w:val="18"/>
              </w:rPr>
              <w:t xml:space="preserve">et </w:t>
            </w:r>
            <w:r>
              <w:rPr>
                <w:sz w:val="18"/>
              </w:rPr>
              <w:t xml:space="preserve">al.</w:t>
            </w:r>
          </w:p>
          <w:p>
            <w:pPr>
              <w:pStyle w:val="TableParagraph"/>
              <w:spacing w:line="189" w:lineRule="exact"/>
              <w:ind w:start="107"/>
              <w:rPr>
                <w:sz w:val="18"/>
              </w:rPr>
            </w:pPr>
            <w:r>
              <w:rPr>
                <w:sz w:val="18"/>
              </w:rPr>
              <w:t xml:space="preserve">2015</w:t>
            </w:r>
          </w:p>
        </w:tc>
        <w:tc>
          <w:tcPr>
            <w:tcW w:w="1135" w:type="dxa"/>
          </w:tcPr>
          <w:p w:rsidR="00432386" w:rsidRDefault="00432386">
            <w:pPr>
              <w:pStyle w:val="TableParagraph"/>
              <w:rPr>
                <w:b/>
                <w:sz w:val="20"/>
              </w:rPr>
            </w:pPr>
          </w:p>
          <w:p w:rsidR="00432386" w:rsidRDefault="00432386">
            <w:pPr>
              <w:pStyle w:val="TableParagraph"/>
              <w:spacing w:before="3"/>
              <w:rPr>
                <w:b/>
                <w:sz w:val="16"/>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rPr>
                <w:b/>
                <w:sz w:val="16"/>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spacing w:before="11"/>
              <w:rPr>
                <w:b/>
                <w:sz w:val="24"/>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rPr>
                <w:b/>
                <w:sz w:val="16"/>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rPr>
                <w:b/>
                <w:sz w:val="18"/>
              </w:rPr>
            </w:pPr>
          </w:p>
          <w:p>
            <w:pPr>
              <w:pStyle w:val="TableParagraph"/>
              <w:spacing w:line="207" w:lineRule="exact"/>
              <w:ind w:start="88" w:end="75"/>
              <w:jc w:val="center"/>
              <w:rPr>
                <w:sz w:val="18"/>
              </w:rPr>
            </w:pPr>
            <w:r>
              <w:rPr>
                <w:sz w:val="18"/>
              </w:rPr>
              <w:t xml:space="preserve">N=8</w:t>
            </w:r>
          </w:p>
          <w:p>
            <w:pPr>
              <w:pStyle w:val="TableParagraph"/>
              <w:ind w:start="131" w:end="115" w:hanging="3"/>
              <w:jc w:val="center"/>
              <w:rPr>
                <w:sz w:val="18"/>
              </w:rPr>
            </w:pPr>
            <w:r>
              <w:rPr>
                <w:sz w:val="18"/>
              </w:rPr>
              <w:t xml:space="preserve">Moyenne (SD) </w:t>
            </w:r>
            <w:r>
              <w:rPr>
                <w:sz w:val="18"/>
              </w:rPr>
              <w:t xml:space="preserve">94,0 </w:t>
            </w:r>
            <w:r>
              <w:rPr>
                <w:sz w:val="18"/>
              </w:rPr>
              <w:t xml:space="preserve">(10,3)</w:t>
            </w:r>
          </w:p>
        </w:tc>
        <w:tc>
          <w:tcPr>
            <w:tcW w:w="1274" w:type="dxa"/>
          </w:tcPr>
          <w:p w:rsidR="00432386" w:rsidRDefault="00432386">
            <w:pPr>
              <w:pStyle w:val="TableParagraph"/>
              <w:rPr>
                <w:b/>
                <w:sz w:val="27"/>
              </w:rPr>
            </w:pPr>
          </w:p>
          <w:p>
            <w:pPr>
              <w:pStyle w:val="TableParagraph"/>
              <w:spacing w:line="207" w:lineRule="exact"/>
              <w:ind w:start="153" w:end="136"/>
              <w:jc w:val="center"/>
              <w:rPr>
                <w:sz w:val="18"/>
              </w:rPr>
            </w:pPr>
            <w:r>
              <w:rPr>
                <w:sz w:val="18"/>
              </w:rPr>
              <w:t xml:space="preserve">N=10</w:t>
            </w:r>
          </w:p>
          <w:p>
            <w:pPr>
              <w:pStyle w:val="TableParagraph"/>
              <w:ind w:start="153" w:end="137"/>
              <w:jc w:val="center"/>
              <w:rPr>
                <w:sz w:val="18"/>
              </w:rPr>
            </w:pPr>
            <w:r>
              <w:rPr>
                <w:sz w:val="18"/>
              </w:rPr>
              <w:t xml:space="preserve">Moyenne (SD) </w:t>
            </w:r>
            <w:r>
              <w:rPr>
                <w:sz w:val="18"/>
              </w:rPr>
              <w:t xml:space="preserve">109,4 </w:t>
            </w:r>
            <w:r>
              <w:rPr>
                <w:sz w:val="18"/>
              </w:rPr>
              <w:t xml:space="preserve">(21,2)</w:t>
            </w:r>
          </w:p>
        </w:tc>
        <w:tc>
          <w:tcPr>
            <w:tcW w:w="2836" w:type="dxa"/>
          </w:tcPr>
          <w:p w:rsidR="00432386" w:rsidRDefault="00432386">
            <w:pPr>
              <w:pStyle w:val="TableParagraph"/>
              <w:rPr>
                <w:b/>
                <w:sz w:val="20"/>
              </w:rPr>
            </w:pPr>
          </w:p>
          <w:p w:rsidR="00432386" w:rsidRDefault="00432386">
            <w:pPr>
              <w:pStyle w:val="TableParagraph"/>
              <w:rPr>
                <w:b/>
                <w:sz w:val="16"/>
              </w:rPr>
            </w:pPr>
          </w:p>
          <w:p>
            <w:pPr>
              <w:pStyle w:val="TableParagraph"/>
              <w:ind w:start="151" w:end="139"/>
              <w:jc w:val="center"/>
              <w:rPr>
                <w:sz w:val="18"/>
              </w:rPr>
            </w:pPr>
            <w:r>
              <w:rPr>
                <w:sz w:val="18"/>
              </w:rPr>
              <w:t xml:space="preserve">NR</w:t>
            </w:r>
          </w:p>
        </w:tc>
        <w:tc>
          <w:tcPr>
            <w:tcW w:w="1421" w:type="dxa"/>
          </w:tcPr>
          <w:p w:rsidR="00432386" w:rsidRDefault="00432386">
            <w:pPr>
              <w:pStyle w:val="TableParagraph"/>
              <w:rPr>
                <w:b/>
                <w:sz w:val="20"/>
              </w:rPr>
            </w:pPr>
          </w:p>
          <w:p w:rsidR="00432386" w:rsidRDefault="00432386">
            <w:pPr>
              <w:pStyle w:val="TableParagraph"/>
              <w:spacing w:before="11"/>
              <w:rPr>
                <w:b/>
                <w:sz w:val="24"/>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spacing w:before="11"/>
              <w:rPr>
                <w:b/>
                <w:sz w:val="24"/>
              </w:rPr>
            </w:pPr>
          </w:p>
          <w:p>
            <w:pPr>
              <w:pStyle w:val="TableParagraph"/>
              <w:ind w:start="104" w:end="88"/>
              <w:jc w:val="center"/>
              <w:rPr>
                <w:sz w:val="18"/>
              </w:rPr>
            </w:pPr>
            <w:r>
              <w:rPr>
                <w:sz w:val="18"/>
              </w:rPr>
              <w:t xml:space="preserve">TRES </w:t>
            </w:r>
            <w:r>
              <w:rPr>
                <w:sz w:val="18"/>
              </w:rPr>
              <w:t xml:space="preserve">FAIBLE</w:t>
            </w:r>
          </w:p>
        </w:tc>
      </w:tr>
      <w:tr w:rsidR="00432386">
        <w:trPr>
          <w:trHeight w:val="460"/>
        </w:trPr>
        <w:tc>
          <w:tcPr>
            <w:tcW w:w="13950" w:type="dxa"/>
            <w:gridSpan w:val="10"/>
            <w:shd w:val="clear" w:color="auto" w:fill="C5D9F0"/>
          </w:tcPr>
          <w:p>
            <w:pPr>
              <w:pStyle w:val="TableParagraph"/>
              <w:spacing w:line="230" w:lineRule="exact"/>
              <w:ind w:start="107"/>
              <w:rPr>
                <w:b/>
                <w:i/>
                <w:sz w:val="20"/>
              </w:rPr>
            </w:pPr>
            <w:r>
              <w:rPr>
                <w:b/>
                <w:i/>
                <w:sz w:val="20"/>
              </w:rPr>
              <w:t xml:space="preserve">QI </w:t>
            </w:r>
            <w:r>
              <w:rPr>
                <w:b/>
                <w:i/>
                <w:sz w:val="20"/>
              </w:rPr>
              <w:t xml:space="preserve">(4 </w:t>
            </w:r>
            <w:r>
              <w:rPr>
                <w:b/>
                <w:i/>
                <w:sz w:val="20"/>
              </w:rPr>
              <w:t xml:space="preserve">sous-échelles : </w:t>
            </w:r>
            <w:r>
              <w:rPr>
                <w:b/>
                <w:i/>
                <w:sz w:val="20"/>
              </w:rPr>
              <w:t xml:space="preserve">arithmétique, </w:t>
            </w:r>
            <w:r>
              <w:rPr>
                <w:b/>
                <w:i/>
                <w:sz w:val="20"/>
              </w:rPr>
              <w:t xml:space="preserve">vocabulaire, </w:t>
            </w:r>
            <w:r>
              <w:rPr>
                <w:b/>
                <w:i/>
                <w:sz w:val="20"/>
              </w:rPr>
              <w:t xml:space="preserve">agencement d'</w:t>
            </w:r>
            <w:r>
              <w:rPr>
                <w:b/>
                <w:i/>
                <w:sz w:val="20"/>
              </w:rPr>
              <w:t xml:space="preserve">images </w:t>
            </w:r>
            <w:r>
              <w:rPr>
                <w:b/>
                <w:i/>
                <w:sz w:val="20"/>
              </w:rPr>
              <w:t xml:space="preserve">et </w:t>
            </w:r>
            <w:r>
              <w:rPr>
                <w:b/>
                <w:i/>
                <w:sz w:val="20"/>
              </w:rPr>
              <w:t xml:space="preserve">conception de </w:t>
            </w:r>
            <w:r>
              <w:rPr>
                <w:b/>
                <w:i/>
                <w:sz w:val="20"/>
              </w:rPr>
              <w:t xml:space="preserve">blocs</w:t>
            </w:r>
            <w:r>
              <w:rPr>
                <w:b/>
                <w:i/>
                <w:sz w:val="20"/>
              </w:rPr>
              <w:t xml:space="preserve">) </w:t>
            </w:r>
            <w:r>
              <w:rPr>
                <w:b/>
                <w:i/>
                <w:sz w:val="20"/>
              </w:rPr>
              <w:t xml:space="preserve">à </w:t>
            </w:r>
            <w:r>
              <w:rPr>
                <w:b/>
                <w:i/>
                <w:sz w:val="20"/>
              </w:rPr>
              <w:t xml:space="preserve">un </w:t>
            </w:r>
            <w:r>
              <w:rPr>
                <w:b/>
                <w:i/>
                <w:sz w:val="20"/>
              </w:rPr>
              <w:t xml:space="preserve">seul </w:t>
            </w:r>
            <w:r>
              <w:rPr>
                <w:b/>
                <w:i/>
                <w:sz w:val="20"/>
              </w:rPr>
              <w:t xml:space="preserve">moment </w:t>
            </w:r>
            <w:r>
              <w:rPr>
                <w:b/>
                <w:i/>
                <w:sz w:val="20"/>
              </w:rPr>
              <w:t xml:space="preserve">entre les </w:t>
            </w:r>
            <w:r>
              <w:rPr>
                <w:b/>
                <w:i/>
                <w:sz w:val="20"/>
              </w:rPr>
              <w:t xml:space="preserve">transmales </w:t>
            </w:r>
            <w:r>
              <w:rPr>
                <w:b/>
                <w:i/>
                <w:sz w:val="20"/>
              </w:rPr>
              <w:t xml:space="preserve">traités aux </w:t>
            </w:r>
            <w:r>
              <w:rPr>
                <w:b/>
                <w:i/>
                <w:sz w:val="20"/>
              </w:rPr>
              <w:t xml:space="preserve">analogues de la </w:t>
            </w:r>
            <w:r>
              <w:rPr>
                <w:b/>
                <w:i/>
                <w:sz w:val="20"/>
              </w:rPr>
              <w:t xml:space="preserve">GnRH </w:t>
            </w:r>
            <w:r>
              <w:rPr>
                <w:b/>
                <w:i/>
                <w:sz w:val="20"/>
              </w:rPr>
              <w:t xml:space="preserve">et les </w:t>
            </w:r>
            <w:r>
              <w:rPr>
                <w:b/>
                <w:i/>
                <w:sz w:val="20"/>
              </w:rPr>
              <w:t xml:space="preserve">transmales </w:t>
            </w:r>
            <w:r>
              <w:rPr>
                <w:b/>
                <w:i/>
                <w:sz w:val="20"/>
              </w:rPr>
              <w:t xml:space="preserve">non traités</w:t>
            </w:r>
          </w:p>
        </w:tc>
      </w:tr>
      <w:tr w:rsidR="00432386">
        <w:trPr>
          <w:trHeight w:val="1240"/>
        </w:trPr>
        <w:tc>
          <w:tcPr>
            <w:tcW w:w="1133" w:type="dxa"/>
          </w:tcPr>
          <w:p>
            <w:pPr>
              <w:pStyle w:val="TableParagraph"/>
              <w:ind w:start="107" w:end="135"/>
              <w:rPr>
                <w:sz w:val="18"/>
              </w:rPr>
            </w:pPr>
            <w:r>
              <w:rPr>
                <w:sz w:val="18"/>
              </w:rPr>
              <w:t xml:space="preserve">1 </w:t>
            </w:r>
            <w:r>
              <w:rPr>
                <w:sz w:val="18"/>
              </w:rPr>
              <w:t xml:space="preserve">Étude </w:t>
            </w:r>
            <w:r>
              <w:rPr>
                <w:sz w:val="18"/>
              </w:rPr>
              <w:t xml:space="preserve">transversale </w:t>
            </w:r>
            <w:r>
              <w:rPr>
                <w:sz w:val="18"/>
              </w:rPr>
              <w:t xml:space="preserve">Staphorsiu </w:t>
            </w:r>
            <w:r>
              <w:rPr>
                <w:sz w:val="18"/>
              </w:rPr>
              <w:t xml:space="preserve">s </w:t>
            </w:r>
            <w:r>
              <w:rPr>
                <w:sz w:val="18"/>
              </w:rPr>
              <w:t xml:space="preserve">et </w:t>
            </w:r>
            <w:r>
              <w:rPr>
                <w:sz w:val="18"/>
              </w:rPr>
              <w:t xml:space="preserve">al.</w:t>
            </w:r>
          </w:p>
          <w:p>
            <w:pPr>
              <w:pStyle w:val="TableParagraph"/>
              <w:spacing w:line="187" w:lineRule="exact"/>
              <w:ind w:start="107"/>
              <w:rPr>
                <w:sz w:val="18"/>
              </w:rPr>
            </w:pPr>
            <w:r>
              <w:rPr>
                <w:sz w:val="18"/>
              </w:rPr>
              <w:t xml:space="preserve">2015</w:t>
            </w:r>
          </w:p>
        </w:tc>
        <w:tc>
          <w:tcPr>
            <w:tcW w:w="1135" w:type="dxa"/>
          </w:tcPr>
          <w:p w:rsidR="00432386" w:rsidRDefault="00432386">
            <w:pPr>
              <w:pStyle w:val="TableParagraph"/>
              <w:rPr>
                <w:b/>
                <w:sz w:val="20"/>
              </w:rPr>
            </w:pPr>
          </w:p>
          <w:p w:rsidR="00432386" w:rsidRDefault="00432386">
            <w:pPr>
              <w:pStyle w:val="TableParagraph"/>
              <w:spacing w:before="1"/>
              <w:rPr>
                <w:b/>
                <w:sz w:val="16"/>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08" w:end="193"/>
              <w:rPr>
                <w:sz w:val="18"/>
              </w:rPr>
            </w:pPr>
            <w:r>
              <w:rPr>
                <w:sz w:val="18"/>
              </w:rPr>
              <w:t xml:space="preserve">Non </w:t>
            </w:r>
            <w:r>
              <w:rPr>
                <w:sz w:val="18"/>
              </w:rPr>
              <w:t xml:space="preserve">calculable</w:t>
            </w:r>
          </w:p>
        </w:tc>
        <w:tc>
          <w:tcPr>
            <w:tcW w:w="1132" w:type="dxa"/>
          </w:tcPr>
          <w:p w:rsidR="00432386" w:rsidRDefault="00432386">
            <w:pPr>
              <w:pStyle w:val="TableParagraph"/>
              <w:spacing w:before="9"/>
              <w:rPr>
                <w:b/>
                <w:sz w:val="17"/>
              </w:rPr>
            </w:pPr>
          </w:p>
          <w:p>
            <w:pPr>
              <w:pStyle w:val="TableParagraph"/>
              <w:spacing w:before="1" w:line="207" w:lineRule="exact"/>
              <w:ind w:start="88" w:end="75"/>
              <w:jc w:val="center"/>
              <w:rPr>
                <w:sz w:val="18"/>
              </w:rPr>
            </w:pPr>
            <w:r>
              <w:rPr>
                <w:sz w:val="18"/>
              </w:rPr>
              <w:t xml:space="preserve">N=12</w:t>
            </w:r>
          </w:p>
          <w:p>
            <w:pPr>
              <w:pStyle w:val="TableParagraph"/>
              <w:ind w:start="131" w:end="115" w:hanging="3"/>
              <w:jc w:val="center"/>
              <w:rPr>
                <w:sz w:val="18"/>
              </w:rPr>
            </w:pPr>
            <w:r>
              <w:rPr>
                <w:sz w:val="18"/>
              </w:rPr>
              <w:t xml:space="preserve">Moyenne (SD) </w:t>
            </w:r>
            <w:r>
              <w:rPr>
                <w:sz w:val="18"/>
              </w:rPr>
              <w:t xml:space="preserve">95,8 </w:t>
            </w:r>
            <w:r>
              <w:rPr>
                <w:sz w:val="18"/>
              </w:rPr>
              <w:t xml:space="preserve">(15,6)</w:t>
            </w:r>
          </w:p>
        </w:tc>
        <w:tc>
          <w:tcPr>
            <w:tcW w:w="1274" w:type="dxa"/>
          </w:tcPr>
          <w:p w:rsidR="00432386" w:rsidRDefault="00432386">
            <w:pPr>
              <w:pStyle w:val="TableParagraph"/>
              <w:spacing w:before="9"/>
              <w:rPr>
                <w:b/>
                <w:sz w:val="26"/>
              </w:rPr>
            </w:pPr>
          </w:p>
          <w:p>
            <w:pPr>
              <w:pStyle w:val="TableParagraph"/>
              <w:spacing w:line="207" w:lineRule="exact"/>
              <w:ind w:start="153" w:end="136"/>
              <w:jc w:val="center"/>
              <w:rPr>
                <w:sz w:val="18"/>
              </w:rPr>
            </w:pPr>
            <w:r>
              <w:rPr>
                <w:sz w:val="18"/>
              </w:rPr>
              <w:t xml:space="preserve">N=10</w:t>
            </w:r>
          </w:p>
          <w:p>
            <w:pPr>
              <w:pStyle w:val="TableParagraph"/>
              <w:ind w:start="204" w:end="185" w:hanging="3"/>
              <w:jc w:val="center"/>
              <w:rPr>
                <w:sz w:val="18"/>
              </w:rPr>
            </w:pPr>
            <w:r>
              <w:rPr>
                <w:sz w:val="18"/>
              </w:rPr>
              <w:t xml:space="preserve">Moyenne (SD) </w:t>
            </w:r>
            <w:r>
              <w:rPr>
                <w:sz w:val="18"/>
              </w:rPr>
              <w:t xml:space="preserve">98,5 </w:t>
            </w:r>
            <w:r>
              <w:rPr>
                <w:sz w:val="18"/>
              </w:rPr>
              <w:t xml:space="preserve">(15,9)</w:t>
            </w:r>
          </w:p>
        </w:tc>
        <w:tc>
          <w:tcPr>
            <w:tcW w:w="2836"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51" w:end="139"/>
              <w:jc w:val="center"/>
              <w:rPr>
                <w:sz w:val="18"/>
              </w:rPr>
            </w:pPr>
            <w:r>
              <w:rPr>
                <w:sz w:val="18"/>
              </w:rPr>
              <w:t xml:space="preserve">NR</w:t>
            </w:r>
          </w:p>
        </w:tc>
        <w:tc>
          <w:tcPr>
            <w:tcW w:w="1421"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Temps de </w:t>
            </w:r>
            <w:r>
              <w:rPr>
                <w:b/>
                <w:i/>
                <w:sz w:val="20"/>
              </w:rPr>
              <w:t xml:space="preserve">réaction </w:t>
            </w:r>
            <w:r>
              <w:rPr>
                <w:b/>
                <w:i/>
                <w:sz w:val="20"/>
              </w:rPr>
              <w:t xml:space="preserve">à </w:t>
            </w:r>
            <w:r>
              <w:rPr>
                <w:b/>
                <w:i/>
                <w:sz w:val="20"/>
              </w:rPr>
              <w:t xml:space="preserve">un </w:t>
            </w:r>
            <w:r>
              <w:rPr>
                <w:b/>
                <w:i/>
                <w:sz w:val="20"/>
              </w:rPr>
              <w:t xml:space="preserve">seul </w:t>
            </w:r>
            <w:r>
              <w:rPr>
                <w:b/>
                <w:i/>
                <w:sz w:val="20"/>
              </w:rPr>
              <w:t xml:space="preserve">moment </w:t>
            </w:r>
            <w:r>
              <w:rPr>
                <w:b/>
                <w:i/>
                <w:sz w:val="20"/>
              </w:rPr>
              <w:t xml:space="preserve">entre les </w:t>
            </w:r>
            <w:r>
              <w:rPr>
                <w:b/>
                <w:i/>
                <w:sz w:val="20"/>
              </w:rPr>
              <w:t xml:space="preserve">transfemmes </w:t>
            </w:r>
            <w:r>
              <w:rPr>
                <w:b/>
                <w:i/>
                <w:sz w:val="20"/>
              </w:rPr>
              <w:t xml:space="preserve">traitées aux </w:t>
            </w:r>
            <w:r>
              <w:rPr>
                <w:b/>
                <w:i/>
                <w:sz w:val="20"/>
              </w:rPr>
              <w:t xml:space="preserve">analogues de la </w:t>
            </w:r>
            <w:r>
              <w:rPr>
                <w:b/>
                <w:i/>
                <w:sz w:val="20"/>
              </w:rPr>
              <w:t xml:space="preserve">GnRH </w:t>
            </w:r>
            <w:r>
              <w:rPr>
                <w:b/>
                <w:i/>
                <w:sz w:val="20"/>
              </w:rPr>
              <w:t xml:space="preserve">et les </w:t>
            </w:r>
            <w:r>
              <w:rPr>
                <w:b/>
                <w:i/>
                <w:sz w:val="20"/>
              </w:rPr>
              <w:t xml:space="preserve">transfemmes </w:t>
            </w:r>
            <w:r>
              <w:rPr>
                <w:b/>
                <w:i/>
                <w:sz w:val="20"/>
              </w:rPr>
              <w:t xml:space="preserve">non traitées</w:t>
            </w:r>
          </w:p>
        </w:tc>
      </w:tr>
      <w:tr w:rsidR="00432386">
        <w:trPr>
          <w:trHeight w:val="1241"/>
        </w:trPr>
        <w:tc>
          <w:tcPr>
            <w:tcW w:w="1133" w:type="dxa"/>
          </w:tcPr>
          <w:p>
            <w:pPr>
              <w:pStyle w:val="TableParagraph"/>
              <w:ind w:start="107" w:end="135"/>
              <w:rPr>
                <w:sz w:val="18"/>
              </w:rPr>
            </w:pPr>
            <w:r>
              <w:rPr>
                <w:sz w:val="18"/>
              </w:rPr>
              <w:t xml:space="preserve">1 </w:t>
            </w:r>
            <w:r>
              <w:rPr>
                <w:sz w:val="18"/>
              </w:rPr>
              <w:t xml:space="preserve">Étude </w:t>
            </w:r>
            <w:r>
              <w:rPr>
                <w:sz w:val="18"/>
              </w:rPr>
              <w:t xml:space="preserve">transversale </w:t>
            </w:r>
            <w:r>
              <w:rPr>
                <w:sz w:val="18"/>
              </w:rPr>
              <w:t xml:space="preserve">Staphorsiu </w:t>
            </w:r>
            <w:r>
              <w:rPr>
                <w:sz w:val="18"/>
              </w:rPr>
              <w:t xml:space="preserve">s </w:t>
            </w:r>
            <w:r>
              <w:rPr>
                <w:sz w:val="18"/>
              </w:rPr>
              <w:t xml:space="preserve">et </w:t>
            </w:r>
            <w:r>
              <w:rPr>
                <w:sz w:val="18"/>
              </w:rPr>
              <w:t xml:space="preserve">al.</w:t>
            </w:r>
          </w:p>
          <w:p>
            <w:pPr>
              <w:pStyle w:val="TableParagraph"/>
              <w:spacing w:line="187" w:lineRule="exact"/>
              <w:ind w:start="107"/>
              <w:rPr>
                <w:sz w:val="18"/>
              </w:rPr>
            </w:pPr>
            <w:r>
              <w:rPr>
                <w:sz w:val="18"/>
              </w:rPr>
              <w:t xml:space="preserve">2015</w:t>
            </w:r>
          </w:p>
        </w:tc>
        <w:tc>
          <w:tcPr>
            <w:tcW w:w="1135" w:type="dxa"/>
          </w:tcPr>
          <w:p w:rsidR="00432386" w:rsidRDefault="00432386">
            <w:pPr>
              <w:pStyle w:val="TableParagraph"/>
              <w:rPr>
                <w:b/>
                <w:sz w:val="20"/>
              </w:rPr>
            </w:pPr>
          </w:p>
          <w:p w:rsidR="00432386" w:rsidRDefault="00432386">
            <w:pPr>
              <w:pStyle w:val="TableParagraph"/>
              <w:spacing w:before="9"/>
              <w:rPr>
                <w:b/>
                <w:sz w:val="15"/>
              </w:rPr>
            </w:pPr>
          </w:p>
          <w:p>
            <w:pPr>
              <w:pStyle w:val="TableParagraph"/>
              <w:spacing w:before="1"/>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0"/>
              </w:rPr>
            </w:pPr>
          </w:p>
          <w:p w:rsidR="00432386" w:rsidRDefault="00432386">
            <w:pPr>
              <w:pStyle w:val="TableParagraph"/>
              <w:spacing w:before="9"/>
              <w:rPr>
                <w:b/>
                <w:sz w:val="15"/>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0"/>
              </w:rPr>
            </w:pPr>
          </w:p>
          <w:p w:rsidR="00432386" w:rsidRDefault="00432386">
            <w:pPr>
              <w:pStyle w:val="TableParagraph"/>
              <w:spacing w:before="9"/>
              <w:rPr>
                <w:b/>
                <w:sz w:val="15"/>
              </w:rPr>
            </w:pPr>
          </w:p>
          <w:p>
            <w:pPr>
              <w:pStyle w:val="TableParagraph"/>
              <w:spacing w:before="1"/>
              <w:ind w:start="108" w:end="193"/>
              <w:rPr>
                <w:sz w:val="18"/>
              </w:rPr>
            </w:pPr>
            <w:r>
              <w:rPr>
                <w:sz w:val="18"/>
              </w:rPr>
              <w:t xml:space="preserve">Non </w:t>
            </w:r>
            <w:r>
              <w:rPr>
                <w:sz w:val="18"/>
              </w:rPr>
              <w:t xml:space="preserve">calculable</w:t>
            </w:r>
          </w:p>
        </w:tc>
        <w:tc>
          <w:tcPr>
            <w:tcW w:w="1132" w:type="dxa"/>
          </w:tcPr>
          <w:p w:rsidR="00432386" w:rsidRDefault="00432386">
            <w:pPr>
              <w:pStyle w:val="TableParagraph"/>
              <w:spacing w:before="9"/>
              <w:rPr>
                <w:b/>
                <w:sz w:val="17"/>
              </w:rPr>
            </w:pPr>
          </w:p>
          <w:p>
            <w:pPr>
              <w:pStyle w:val="TableParagraph"/>
              <w:spacing w:before="1"/>
              <w:ind w:start="88" w:end="75"/>
              <w:jc w:val="center"/>
              <w:rPr>
                <w:sz w:val="18"/>
              </w:rPr>
            </w:pPr>
            <w:r>
              <w:rPr>
                <w:sz w:val="18"/>
              </w:rPr>
              <w:t xml:space="preserve">N=8</w:t>
            </w:r>
          </w:p>
          <w:p>
            <w:pPr>
              <w:pStyle w:val="TableParagraph"/>
              <w:ind w:start="89" w:end="75"/>
              <w:jc w:val="center"/>
              <w:rPr>
                <w:sz w:val="18"/>
              </w:rPr>
            </w:pPr>
            <w:r>
              <w:rPr>
                <w:sz w:val="18"/>
              </w:rPr>
              <w:t xml:space="preserve">Moyenne (SD) </w:t>
            </w:r>
            <w:r>
              <w:rPr>
                <w:sz w:val="18"/>
              </w:rPr>
              <w:t xml:space="preserve">10,9 </w:t>
            </w:r>
            <w:r>
              <w:rPr>
                <w:sz w:val="18"/>
              </w:rPr>
              <w:t xml:space="preserve">(4,1)</w:t>
            </w:r>
          </w:p>
        </w:tc>
        <w:tc>
          <w:tcPr>
            <w:tcW w:w="1274" w:type="dxa"/>
          </w:tcPr>
          <w:p w:rsidR="00432386" w:rsidRDefault="00432386">
            <w:pPr>
              <w:pStyle w:val="TableParagraph"/>
              <w:spacing w:before="9"/>
              <w:rPr>
                <w:b/>
                <w:sz w:val="26"/>
              </w:rPr>
            </w:pPr>
          </w:p>
          <w:p>
            <w:pPr>
              <w:pStyle w:val="TableParagraph"/>
              <w:ind w:start="153" w:end="136"/>
              <w:jc w:val="center"/>
              <w:rPr>
                <w:sz w:val="18"/>
              </w:rPr>
            </w:pPr>
            <w:r>
              <w:rPr>
                <w:sz w:val="18"/>
              </w:rPr>
              <w:t xml:space="preserve">N=10</w:t>
            </w:r>
          </w:p>
          <w:p>
            <w:pPr>
              <w:pStyle w:val="TableParagraph"/>
              <w:ind w:start="153" w:end="136"/>
              <w:jc w:val="center"/>
              <w:rPr>
                <w:sz w:val="18"/>
              </w:rPr>
            </w:pPr>
            <w:r>
              <w:rPr>
                <w:spacing w:val="-1"/>
                <w:sz w:val="18"/>
              </w:rPr>
              <w:t xml:space="preserve">Moyenne </w:t>
            </w:r>
            <w:r>
              <w:rPr>
                <w:sz w:val="18"/>
              </w:rPr>
              <w:t xml:space="preserve">(SD) </w:t>
            </w:r>
            <w:r>
              <w:rPr>
                <w:sz w:val="18"/>
              </w:rPr>
              <w:t xml:space="preserve">9,9 </w:t>
            </w:r>
            <w:r>
              <w:rPr>
                <w:sz w:val="18"/>
              </w:rPr>
              <w:t xml:space="preserve">(3,1)</w:t>
            </w:r>
          </w:p>
        </w:tc>
        <w:tc>
          <w:tcPr>
            <w:tcW w:w="2836" w:type="dxa"/>
          </w:tcPr>
          <w:p w:rsidR="00432386" w:rsidRDefault="00432386">
            <w:pPr>
              <w:pStyle w:val="TableParagraph"/>
              <w:rPr>
                <w:b/>
                <w:sz w:val="20"/>
              </w:rPr>
            </w:pPr>
          </w:p>
          <w:p w:rsidR="00432386" w:rsidRDefault="00432386">
            <w:pPr>
              <w:pStyle w:val="TableParagraph"/>
              <w:spacing w:before="9"/>
              <w:rPr>
                <w:b/>
                <w:sz w:val="15"/>
              </w:rPr>
            </w:pPr>
          </w:p>
          <w:p>
            <w:pPr>
              <w:pStyle w:val="TableParagraph"/>
              <w:spacing w:before="1"/>
              <w:ind w:start="151" w:end="139"/>
              <w:jc w:val="center"/>
              <w:rPr>
                <w:sz w:val="18"/>
              </w:rPr>
            </w:pPr>
            <w:r>
              <w:rPr>
                <w:sz w:val="18"/>
              </w:rPr>
              <w:t xml:space="preserve">NR</w:t>
            </w:r>
          </w:p>
        </w:tc>
        <w:tc>
          <w:tcPr>
            <w:tcW w:w="1421"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spacing w:before="9"/>
              <w:rPr>
                <w:b/>
                <w:sz w:val="24"/>
              </w:rPr>
            </w:pPr>
          </w:p>
          <w:p>
            <w:pPr>
              <w:pStyle w:val="TableParagraph"/>
              <w:ind w:start="104" w:end="88"/>
              <w:jc w:val="center"/>
              <w:rPr>
                <w:sz w:val="18"/>
              </w:rPr>
            </w:pPr>
            <w:r>
              <w:rPr>
                <w:sz w:val="18"/>
              </w:rPr>
              <w:t xml:space="preserve">TRES </w:t>
            </w:r>
            <w:r>
              <w:rPr>
                <w:sz w:val="18"/>
              </w:rPr>
              <w:t xml:space="preserve">FAIBLE</w:t>
            </w:r>
          </w:p>
        </w:tc>
      </w:tr>
      <w:tr w:rsidR="00432386">
        <w:trPr>
          <w:trHeight w:val="417"/>
        </w:trPr>
        <w:tc>
          <w:tcPr>
            <w:tcW w:w="13950" w:type="dxa"/>
            <w:gridSpan w:val="10"/>
            <w:shd w:val="clear" w:color="auto" w:fill="C5D9F0"/>
          </w:tcPr>
          <w:p>
            <w:pPr>
              <w:pStyle w:val="TableParagraph"/>
              <w:spacing w:line="229" w:lineRule="exact"/>
              <w:ind w:start="107"/>
              <w:rPr>
                <w:b/>
                <w:i/>
                <w:sz w:val="20"/>
              </w:rPr>
            </w:pPr>
            <w:r>
              <w:rPr>
                <w:b/>
                <w:i/>
                <w:sz w:val="20"/>
              </w:rPr>
              <w:t xml:space="preserve">Temps de </w:t>
            </w:r>
            <w:r>
              <w:rPr>
                <w:b/>
                <w:i/>
                <w:sz w:val="20"/>
              </w:rPr>
              <w:t xml:space="preserve">réaction </w:t>
            </w:r>
            <w:r>
              <w:rPr>
                <w:b/>
                <w:i/>
                <w:sz w:val="20"/>
              </w:rPr>
              <w:t xml:space="preserve">à </w:t>
            </w:r>
            <w:r>
              <w:rPr>
                <w:b/>
                <w:i/>
                <w:sz w:val="20"/>
              </w:rPr>
              <w:t xml:space="preserve">un </w:t>
            </w:r>
            <w:r>
              <w:rPr>
                <w:b/>
                <w:i/>
                <w:sz w:val="20"/>
              </w:rPr>
              <w:t xml:space="preserve">seul </w:t>
            </w:r>
            <w:r>
              <w:rPr>
                <w:b/>
                <w:i/>
                <w:sz w:val="20"/>
              </w:rPr>
              <w:t xml:space="preserve">moment </w:t>
            </w:r>
            <w:r>
              <w:rPr>
                <w:b/>
                <w:i/>
                <w:sz w:val="20"/>
              </w:rPr>
              <w:t xml:space="preserve">entre les </w:t>
            </w:r>
            <w:r>
              <w:rPr>
                <w:b/>
                <w:i/>
                <w:sz w:val="20"/>
              </w:rPr>
              <w:t xml:space="preserve">transmales </w:t>
            </w:r>
            <w:r>
              <w:rPr>
                <w:b/>
                <w:i/>
                <w:sz w:val="20"/>
              </w:rPr>
              <w:t xml:space="preserve">traités aux </w:t>
            </w:r>
            <w:r>
              <w:rPr>
                <w:b/>
                <w:i/>
                <w:sz w:val="20"/>
              </w:rPr>
              <w:t xml:space="preserve">analogues de la </w:t>
            </w:r>
            <w:r>
              <w:rPr>
                <w:b/>
                <w:i/>
                <w:sz w:val="20"/>
              </w:rPr>
              <w:t xml:space="preserve">GnRH </w:t>
            </w:r>
            <w:r>
              <w:rPr>
                <w:b/>
                <w:i/>
                <w:sz w:val="20"/>
              </w:rPr>
              <w:t xml:space="preserve">et les </w:t>
            </w:r>
            <w:r>
              <w:rPr>
                <w:b/>
                <w:i/>
                <w:sz w:val="20"/>
              </w:rPr>
              <w:t xml:space="preserve">transmales </w:t>
            </w:r>
            <w:r>
              <w:rPr>
                <w:b/>
                <w:i/>
                <w:sz w:val="20"/>
              </w:rPr>
              <w:t xml:space="preserve">non traités</w:t>
            </w:r>
          </w:p>
        </w:tc>
      </w:tr>
      <w:tr w:rsidR="00432386">
        <w:trPr>
          <w:trHeight w:val="827"/>
        </w:trPr>
        <w:tc>
          <w:tcPr>
            <w:tcW w:w="1133" w:type="dxa"/>
          </w:tcPr>
          <w:p>
            <w:pPr>
              <w:pStyle w:val="TableParagraph"/>
              <w:spacing w:before="102"/>
              <w:ind w:start="107" w:end="301"/>
              <w:jc w:val="both"/>
              <w:rPr>
                <w:sz w:val="18"/>
              </w:rPr>
            </w:pPr>
            <w:r>
              <w:rPr>
                <w:sz w:val="18"/>
              </w:rPr>
              <w:t xml:space="preserve">1 </w:t>
            </w:r>
            <w:r>
              <w:rPr>
                <w:sz w:val="18"/>
              </w:rPr>
              <w:t xml:space="preserve">Étude </w:t>
            </w:r>
            <w:r>
              <w:rPr>
                <w:sz w:val="18"/>
              </w:rPr>
              <w:t xml:space="preserve">transversale</w:t>
            </w:r>
          </w:p>
        </w:tc>
        <w:tc>
          <w:tcPr>
            <w:tcW w:w="1135" w:type="dxa"/>
          </w:tcPr>
          <w:p w:rsidR="00432386" w:rsidRDefault="00432386">
            <w:pPr>
              <w:pStyle w:val="TableParagraph"/>
              <w:spacing w:before="1"/>
              <w:rPr>
                <w:b/>
                <w:sz w:val="18"/>
              </w:rPr>
            </w:pPr>
          </w:p>
          <w:p>
            <w:pPr>
              <w:pStyle w:val="TableParagraph"/>
              <w:spacing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spacing w:before="9"/>
              <w:rPr>
                <w:b/>
                <w:sz w:val="17"/>
              </w:rPr>
            </w:pPr>
          </w:p>
          <w:p>
            <w:pPr>
              <w:pStyle w:val="TableParagraph"/>
              <w:spacing w:before="1"/>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spacing w:before="9"/>
              <w:rPr>
                <w:b/>
                <w:sz w:val="26"/>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spacing w:before="9"/>
              <w:rPr>
                <w:b/>
                <w:sz w:val="17"/>
              </w:rPr>
            </w:pPr>
          </w:p>
          <w:p>
            <w:pPr>
              <w:pStyle w:val="TableParagraph"/>
              <w:spacing w:before="1"/>
              <w:ind w:start="108" w:end="193"/>
              <w:rPr>
                <w:sz w:val="18"/>
              </w:rPr>
            </w:pPr>
            <w:r>
              <w:rPr>
                <w:sz w:val="18"/>
              </w:rPr>
              <w:t xml:space="preserve">Non </w:t>
            </w:r>
            <w:r>
              <w:rPr>
                <w:sz w:val="18"/>
              </w:rPr>
              <w:t xml:space="preserve">calculable</w:t>
            </w:r>
          </w:p>
        </w:tc>
        <w:tc>
          <w:tcPr>
            <w:tcW w:w="1132" w:type="dxa"/>
          </w:tcPr>
          <w:p>
            <w:pPr>
              <w:pStyle w:val="TableParagraph"/>
              <w:spacing w:line="206" w:lineRule="exact"/>
              <w:ind w:start="88" w:end="75"/>
              <w:jc w:val="center"/>
              <w:rPr>
                <w:sz w:val="18"/>
              </w:rPr>
            </w:pPr>
            <w:r>
              <w:rPr>
                <w:sz w:val="18"/>
              </w:rPr>
              <w:t xml:space="preserve">N=12</w:t>
            </w:r>
          </w:p>
          <w:p>
            <w:pPr>
              <w:pStyle w:val="TableParagraph"/>
              <w:ind w:start="89" w:end="75"/>
              <w:jc w:val="center"/>
              <w:rPr>
                <w:sz w:val="18"/>
              </w:rPr>
            </w:pPr>
            <w:r>
              <w:rPr>
                <w:sz w:val="18"/>
              </w:rPr>
              <w:t xml:space="preserve">Moyenne (SD) </w:t>
            </w:r>
            <w:r>
              <w:rPr>
                <w:sz w:val="18"/>
              </w:rPr>
              <w:t xml:space="preserve">9,9 </w:t>
            </w:r>
            <w:r>
              <w:rPr>
                <w:sz w:val="18"/>
              </w:rPr>
              <w:t xml:space="preserve">(3,1)</w:t>
            </w:r>
          </w:p>
        </w:tc>
        <w:tc>
          <w:tcPr>
            <w:tcW w:w="1274" w:type="dxa"/>
          </w:tcPr>
          <w:p>
            <w:pPr>
              <w:pStyle w:val="TableParagraph"/>
              <w:spacing w:before="102" w:line="207" w:lineRule="exact"/>
              <w:ind w:start="153" w:end="136"/>
              <w:jc w:val="center"/>
              <w:rPr>
                <w:sz w:val="18"/>
              </w:rPr>
            </w:pPr>
            <w:r>
              <w:rPr>
                <w:sz w:val="18"/>
              </w:rPr>
              <w:t xml:space="preserve">N=10</w:t>
            </w:r>
          </w:p>
          <w:p>
            <w:pPr>
              <w:pStyle w:val="TableParagraph"/>
              <w:ind w:start="153" w:end="136"/>
              <w:jc w:val="center"/>
              <w:rPr>
                <w:sz w:val="18"/>
              </w:rPr>
            </w:pPr>
            <w:r>
              <w:rPr>
                <w:spacing w:val="-1"/>
                <w:sz w:val="18"/>
              </w:rPr>
              <w:t xml:space="preserve">Moyenne </w:t>
            </w:r>
            <w:r>
              <w:rPr>
                <w:sz w:val="18"/>
              </w:rPr>
              <w:t xml:space="preserve">(SD) </w:t>
            </w:r>
            <w:r>
              <w:rPr>
                <w:sz w:val="18"/>
              </w:rPr>
              <w:t xml:space="preserve">10,0 </w:t>
            </w:r>
            <w:r>
              <w:rPr>
                <w:sz w:val="18"/>
              </w:rPr>
              <w:t xml:space="preserve">(2,0)</w:t>
            </w:r>
          </w:p>
        </w:tc>
        <w:tc>
          <w:tcPr>
            <w:tcW w:w="2836" w:type="dxa"/>
          </w:tcPr>
          <w:p w:rsidR="00432386" w:rsidRDefault="00432386">
            <w:pPr>
              <w:pStyle w:val="TableParagraph"/>
              <w:spacing w:before="9"/>
              <w:rPr>
                <w:b/>
                <w:sz w:val="17"/>
              </w:rPr>
            </w:pPr>
          </w:p>
          <w:p>
            <w:pPr>
              <w:pStyle w:val="TableParagraph"/>
              <w:spacing w:before="1"/>
              <w:ind w:start="151" w:end="139"/>
              <w:jc w:val="center"/>
              <w:rPr>
                <w:sz w:val="18"/>
              </w:rPr>
            </w:pPr>
            <w:r>
              <w:rPr>
                <w:sz w:val="18"/>
              </w:rPr>
              <w:t xml:space="preserve">NR</w:t>
            </w:r>
          </w:p>
        </w:tc>
        <w:tc>
          <w:tcPr>
            <w:tcW w:w="1421" w:type="dxa"/>
          </w:tcPr>
          <w:p w:rsidR="00432386" w:rsidRDefault="00432386">
            <w:pPr>
              <w:pStyle w:val="TableParagraph"/>
              <w:spacing w:before="9"/>
              <w:rPr>
                <w:b/>
                <w:sz w:val="26"/>
              </w:rPr>
            </w:pPr>
          </w:p>
          <w:p>
            <w:pPr>
              <w:pStyle w:val="TableParagraph"/>
              <w:ind w:start="184"/>
              <w:rPr>
                <w:sz w:val="18"/>
              </w:rPr>
            </w:pPr>
            <w:r>
              <w:rPr>
                <w:sz w:val="18"/>
              </w:rPr>
              <w:t xml:space="preserve">IMPORTANT</w:t>
            </w:r>
          </w:p>
        </w:tc>
        <w:tc>
          <w:tcPr>
            <w:tcW w:w="1192" w:type="dxa"/>
          </w:tcPr>
          <w:p w:rsidR="00432386" w:rsidRDefault="00432386">
            <w:pPr>
              <w:pStyle w:val="TableParagraph"/>
              <w:spacing w:before="9"/>
              <w:rPr>
                <w:b/>
                <w:sz w:val="26"/>
              </w:rPr>
            </w:pPr>
          </w:p>
          <w:p>
            <w:pPr>
              <w:pStyle w:val="TableParagraph"/>
              <w:ind w:start="104" w:end="88"/>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3"/>
        <w:gridCol w:w="1135"/>
        <w:gridCol w:w="1274"/>
        <w:gridCol w:w="1421"/>
        <w:gridCol w:w="1132"/>
        <w:gridCol w:w="1132"/>
        <w:gridCol w:w="1274"/>
        <w:gridCol w:w="2836"/>
        <w:gridCol w:w="1421"/>
        <w:gridCol w:w="1192"/>
      </w:tblGrid>
      <w:tr w:rsidR="00432386">
        <w:trPr>
          <w:trHeight w:val="299"/>
        </w:trPr>
        <w:tc>
          <w:tcPr>
            <w:tcW w:w="6095" w:type="dxa"/>
            <w:gridSpan w:val="5"/>
            <w:vMerge w:val="restart"/>
            <w:shd w:val="clear" w:color="auto" w:fill="D9D9D9"/>
          </w:tcPr>
          <w:p w:rsidR="00432386" w:rsidRDefault="00432386">
            <w:pPr>
              <w:pStyle w:val="TableParagraph"/>
              <w:spacing w:before="6"/>
              <w:rPr>
                <w:b/>
                <w:sz w:val="21"/>
              </w:rPr>
            </w:pPr>
          </w:p>
          <w:p>
            <w:pPr>
              <w:pStyle w:val="TableParagraph"/>
              <w:ind w:start="2676" w:end="2666"/>
              <w:jc w:val="center"/>
              <w:rPr>
                <w:b/>
                <w:sz w:val="16"/>
              </w:rPr>
            </w:pPr>
            <w:r>
              <w:rPr>
                <w:b/>
                <w:sz w:val="16"/>
              </w:rPr>
              <w:t xml:space="preserve">QUALITÉ</w:t>
            </w:r>
          </w:p>
        </w:tc>
        <w:tc>
          <w:tcPr>
            <w:tcW w:w="5242" w:type="dxa"/>
            <w:gridSpan w:val="3"/>
            <w:shd w:val="clear" w:color="auto" w:fill="D9D9D9"/>
          </w:tcPr>
          <w:p>
            <w:pPr>
              <w:pStyle w:val="TableParagraph"/>
              <w:spacing w:before="58"/>
              <w:ind w:start="1811" w:end="1794"/>
              <w:jc w:val="center"/>
              <w:rPr>
                <w:b/>
                <w:sz w:val="16"/>
              </w:rPr>
            </w:pPr>
            <w:r>
              <w:rPr>
                <w:b/>
                <w:sz w:val="16"/>
              </w:rPr>
              <w:t xml:space="preserve">Résumé </w:t>
            </w:r>
            <w:r>
              <w:rPr>
                <w:b/>
                <w:sz w:val="16"/>
              </w:rPr>
              <w:t xml:space="preserve">des </w:t>
            </w:r>
            <w:r>
              <w:rPr>
                <w:b/>
                <w:sz w:val="16"/>
              </w:rPr>
              <w:t xml:space="preserve">conclusions</w:t>
            </w:r>
          </w:p>
        </w:tc>
        <w:tc>
          <w:tcPr>
            <w:tcW w:w="1421" w:type="dxa"/>
            <w:vMerge w:val="restart"/>
            <w:shd w:val="clear" w:color="auto" w:fill="D9D9D9"/>
          </w:tcPr>
          <w:p w:rsidR="00432386" w:rsidRDefault="00432386">
            <w:pPr>
              <w:pStyle w:val="TableParagraph"/>
              <w:rPr>
                <w:b/>
                <w:sz w:val="18"/>
              </w:rPr>
            </w:pPr>
          </w:p>
          <w:p w:rsidR="00432386" w:rsidRDefault="00432386">
            <w:pPr>
              <w:pStyle w:val="TableParagraph"/>
              <w:spacing w:before="9"/>
              <w:rPr>
                <w:b/>
                <w:sz w:val="19"/>
              </w:rPr>
            </w:pPr>
          </w:p>
          <w:p>
            <w:pPr>
              <w:pStyle w:val="TableParagraph"/>
              <w:spacing w:before="1"/>
              <w:ind w:start="112"/>
              <w:rPr>
                <w:b/>
                <w:sz w:val="16"/>
              </w:rPr>
            </w:pPr>
            <w:r>
              <w:rPr>
                <w:b/>
                <w:sz w:val="16"/>
              </w:rPr>
              <w:t xml:space="preserve">IMPORTANCE</w:t>
            </w:r>
          </w:p>
        </w:tc>
        <w:tc>
          <w:tcPr>
            <w:tcW w:w="1192" w:type="dxa"/>
            <w:vMerge w:val="restart"/>
            <w:shd w:val="clear" w:color="auto" w:fill="D9D9D9"/>
          </w:tcPr>
          <w:p w:rsidR="00432386" w:rsidRDefault="00432386">
            <w:pPr>
              <w:pStyle w:val="TableParagraph"/>
              <w:rPr>
                <w:b/>
                <w:sz w:val="18"/>
              </w:rPr>
            </w:pPr>
          </w:p>
          <w:p w:rsidR="00432386" w:rsidRDefault="00432386">
            <w:pPr>
              <w:pStyle w:val="TableParagraph"/>
              <w:spacing w:before="9"/>
              <w:rPr>
                <w:b/>
                <w:sz w:val="19"/>
              </w:rPr>
            </w:pPr>
          </w:p>
          <w:p>
            <w:pPr>
              <w:pStyle w:val="TableParagraph"/>
              <w:spacing w:before="1"/>
              <w:ind w:start="141"/>
              <w:rPr>
                <w:b/>
                <w:sz w:val="16"/>
              </w:rPr>
            </w:pPr>
            <w:r>
              <w:rPr>
                <w:b/>
                <w:sz w:val="16"/>
              </w:rPr>
              <w:t xml:space="preserve">CERTIFICAT</w:t>
            </w:r>
          </w:p>
        </w:tc>
      </w:tr>
      <w:tr w:rsidR="00432386">
        <w:trPr>
          <w:trHeight w:val="369"/>
        </w:trPr>
        <w:tc>
          <w:tcPr>
            <w:tcW w:w="6095" w:type="dxa"/>
            <w:gridSpan w:val="5"/>
            <w:vMerge/>
            <w:tcBorders>
              <w:top w:val="nil"/>
            </w:tcBorders>
            <w:shd w:val="clear" w:color="auto" w:fill="D9D9D9"/>
          </w:tcPr>
          <w:p w:rsidR="00432386" w:rsidRDefault="00432386">
            <w:pPr>
              <w:rPr>
                <w:sz w:val="2"/>
                <w:szCs w:val="2"/>
              </w:rPr>
            </w:pPr>
          </w:p>
        </w:tc>
        <w:tc>
          <w:tcPr>
            <w:tcW w:w="2406" w:type="dxa"/>
            <w:gridSpan w:val="2"/>
            <w:shd w:val="clear" w:color="auto" w:fill="D9D9D9"/>
          </w:tcPr>
          <w:p>
            <w:pPr>
              <w:pStyle w:val="TableParagraph"/>
              <w:spacing w:line="180" w:lineRule="atLeast"/>
              <w:ind w:start="551" w:end="464" w:hanging="53"/>
              <w:rPr>
                <w:b/>
                <w:sz w:val="16"/>
              </w:rPr>
            </w:pPr>
            <w:r>
              <w:rPr>
                <w:b/>
                <w:sz w:val="16"/>
              </w:rPr>
              <w:t xml:space="preserve">Nombre d'événements/Nombre de </w:t>
            </w:r>
            <w:r>
              <w:rPr>
                <w:b/>
                <w:sz w:val="16"/>
              </w:rPr>
              <w:t xml:space="preserve">patients% </w:t>
            </w:r>
            <w:r>
              <w:rPr>
                <w:b/>
                <w:sz w:val="16"/>
              </w:rPr>
              <w:t xml:space="preserve">(n/N%)</w:t>
            </w:r>
          </w:p>
        </w:tc>
        <w:tc>
          <w:tcPr>
            <w:tcW w:w="2836" w:type="dxa"/>
            <w:shd w:val="clear" w:color="auto" w:fill="D9D9D9"/>
          </w:tcPr>
          <w:p>
            <w:pPr>
              <w:pStyle w:val="TableParagraph"/>
              <w:spacing w:before="92"/>
              <w:ind w:start="151" w:end="136"/>
              <w:jc w:val="center"/>
              <w:rPr>
                <w:b/>
                <w:sz w:val="16"/>
              </w:rPr>
            </w:pPr>
            <w:r>
              <w:rPr>
                <w:b/>
                <w:sz w:val="16"/>
              </w:rPr>
              <w:t xml:space="preserve">Effet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366"/>
        </w:trPr>
        <w:tc>
          <w:tcPr>
            <w:tcW w:w="1133" w:type="dxa"/>
            <w:shd w:val="clear" w:color="auto" w:fill="D9D9D9"/>
          </w:tcPr>
          <w:p>
            <w:pPr>
              <w:pStyle w:val="TableParagraph"/>
              <w:spacing w:line="183" w:lineRule="exact"/>
              <w:ind w:start="343"/>
              <w:rPr>
                <w:b/>
                <w:sz w:val="16"/>
              </w:rPr>
            </w:pPr>
            <w:r>
              <w:rPr>
                <w:b/>
                <w:sz w:val="16"/>
              </w:rPr>
              <w:t xml:space="preserve">Étude</w:t>
            </w:r>
          </w:p>
        </w:tc>
        <w:tc>
          <w:tcPr>
            <w:tcW w:w="1135" w:type="dxa"/>
            <w:shd w:val="clear" w:color="auto" w:fill="D9D9D9"/>
          </w:tcPr>
          <w:p>
            <w:pPr>
              <w:pStyle w:val="TableParagraph"/>
              <w:spacing w:before="92"/>
              <w:ind w:start="117"/>
              <w:rPr>
                <w:b/>
                <w:sz w:val="16"/>
              </w:rPr>
            </w:pPr>
            <w:r>
              <w:rPr>
                <w:b/>
                <w:sz w:val="16"/>
              </w:rPr>
              <w:t xml:space="preserve">Risque </w:t>
            </w:r>
            <w:r>
              <w:rPr>
                <w:b/>
                <w:sz w:val="16"/>
              </w:rPr>
              <w:t xml:space="preserve">de </w:t>
            </w:r>
            <w:r>
              <w:rPr>
                <w:b/>
                <w:sz w:val="16"/>
              </w:rPr>
              <w:t xml:space="preserve">partialité</w:t>
            </w:r>
          </w:p>
        </w:tc>
        <w:tc>
          <w:tcPr>
            <w:tcW w:w="1274" w:type="dxa"/>
            <w:shd w:val="clear" w:color="auto" w:fill="D9D9D9"/>
          </w:tcPr>
          <w:p>
            <w:pPr>
              <w:pStyle w:val="TableParagraph"/>
              <w:spacing w:before="92"/>
              <w:ind w:start="163"/>
              <w:rPr>
                <w:b/>
                <w:sz w:val="16"/>
              </w:rPr>
            </w:pPr>
            <w:r>
              <w:rPr>
                <w:b/>
                <w:sz w:val="16"/>
              </w:rPr>
              <w:t xml:space="preserve">Indirectness</w:t>
            </w:r>
          </w:p>
        </w:tc>
        <w:tc>
          <w:tcPr>
            <w:tcW w:w="1421" w:type="dxa"/>
            <w:shd w:val="clear" w:color="auto" w:fill="D9D9D9"/>
          </w:tcPr>
          <w:p>
            <w:pPr>
              <w:pStyle w:val="TableParagraph"/>
              <w:spacing w:before="92"/>
              <w:ind w:start="91" w:end="82"/>
              <w:jc w:val="center"/>
              <w:rPr>
                <w:b/>
                <w:sz w:val="16"/>
              </w:rPr>
            </w:pPr>
            <w:r>
              <w:rPr>
                <w:b/>
                <w:sz w:val="16"/>
              </w:rPr>
              <w:t xml:space="preserve">Incohérence</w:t>
            </w:r>
          </w:p>
        </w:tc>
        <w:tc>
          <w:tcPr>
            <w:tcW w:w="1132" w:type="dxa"/>
            <w:shd w:val="clear" w:color="auto" w:fill="D9D9D9"/>
          </w:tcPr>
          <w:p>
            <w:pPr>
              <w:pStyle w:val="TableParagraph"/>
              <w:spacing w:before="92"/>
              <w:ind w:start="118"/>
              <w:rPr>
                <w:b/>
                <w:sz w:val="16"/>
              </w:rPr>
            </w:pPr>
            <w:r>
              <w:rPr>
                <w:b/>
                <w:sz w:val="16"/>
              </w:rPr>
              <w:t xml:space="preserve">Imprécision</w:t>
            </w:r>
          </w:p>
        </w:tc>
        <w:tc>
          <w:tcPr>
            <w:tcW w:w="1132" w:type="dxa"/>
            <w:shd w:val="clear" w:color="auto" w:fill="D9D9D9"/>
          </w:tcPr>
          <w:p>
            <w:pPr>
              <w:pStyle w:val="TableParagraph"/>
              <w:spacing w:before="92"/>
              <w:ind w:start="109"/>
              <w:rPr>
                <w:b/>
                <w:sz w:val="16"/>
              </w:rPr>
            </w:pPr>
            <w:r>
              <w:rPr>
                <w:b/>
                <w:sz w:val="16"/>
              </w:rPr>
              <w:t xml:space="preserve">Intervention</w:t>
            </w:r>
          </w:p>
        </w:tc>
        <w:tc>
          <w:tcPr>
            <w:tcW w:w="1274" w:type="dxa"/>
            <w:shd w:val="clear" w:color="auto" w:fill="D9D9D9"/>
          </w:tcPr>
          <w:p>
            <w:pPr>
              <w:pStyle w:val="TableParagraph"/>
              <w:spacing w:before="92"/>
              <w:ind w:start="184"/>
              <w:rPr>
                <w:b/>
                <w:sz w:val="16"/>
              </w:rPr>
            </w:pPr>
            <w:r>
              <w:rPr>
                <w:b/>
                <w:sz w:val="16"/>
              </w:rPr>
              <w:t xml:space="preserve">Comparateur</w:t>
            </w:r>
          </w:p>
        </w:tc>
        <w:tc>
          <w:tcPr>
            <w:tcW w:w="2836" w:type="dxa"/>
            <w:shd w:val="clear" w:color="auto" w:fill="D9D9D9"/>
          </w:tcPr>
          <w:p>
            <w:pPr>
              <w:pStyle w:val="TableParagraph"/>
              <w:spacing w:before="92"/>
              <w:ind w:start="151" w:end="138"/>
              <w:jc w:val="center"/>
              <w:rPr>
                <w:b/>
                <w:sz w:val="16"/>
              </w:rPr>
            </w:pPr>
            <w:r>
              <w:rPr>
                <w:b/>
                <w:sz w:val="16"/>
              </w:rPr>
              <w:t xml:space="preserve">Résultat</w:t>
            </w:r>
          </w:p>
        </w:tc>
        <w:tc>
          <w:tcPr>
            <w:tcW w:w="1421" w:type="dxa"/>
            <w:vMerge/>
            <w:tcBorders>
              <w:top w:val="nil"/>
            </w:tcBorders>
            <w:shd w:val="clear" w:color="auto" w:fill="D9D9D9"/>
          </w:tcPr>
          <w:p w:rsidR="00432386" w:rsidRDefault="00432386">
            <w:pPr>
              <w:rPr>
                <w:sz w:val="2"/>
                <w:szCs w:val="2"/>
              </w:rPr>
            </w:pPr>
          </w:p>
        </w:tc>
        <w:tc>
          <w:tcPr>
            <w:tcW w:w="1192" w:type="dxa"/>
            <w:vMerge/>
            <w:tcBorders>
              <w:top w:val="nil"/>
            </w:tcBorders>
            <w:shd w:val="clear" w:color="auto" w:fill="D9D9D9"/>
          </w:tcPr>
          <w:p w:rsidR="00432386" w:rsidRDefault="00432386">
            <w:pPr>
              <w:rPr>
                <w:sz w:val="2"/>
                <w:szCs w:val="2"/>
              </w:rPr>
            </w:pPr>
          </w:p>
        </w:tc>
      </w:tr>
      <w:tr w:rsidR="00432386">
        <w:trPr>
          <w:trHeight w:val="611"/>
        </w:trPr>
        <w:tc>
          <w:tcPr>
            <w:tcW w:w="1133" w:type="dxa"/>
          </w:tcPr>
          <w:p>
            <w:pPr>
              <w:pStyle w:val="TableParagraph"/>
              <w:ind w:start="107" w:end="135"/>
              <w:rPr>
                <w:sz w:val="18"/>
              </w:rPr>
            </w:pPr>
            <w:r>
              <w:rPr>
                <w:sz w:val="18"/>
              </w:rPr>
              <w:t xml:space="preserve">Staphorsiu </w:t>
            </w:r>
            <w:r>
              <w:rPr>
                <w:sz w:val="18"/>
              </w:rPr>
              <w:t xml:space="preserve">s </w:t>
            </w:r>
            <w:r>
              <w:rPr>
                <w:sz w:val="18"/>
              </w:rPr>
              <w:t xml:space="preserve">et </w:t>
            </w:r>
            <w:r>
              <w:rPr>
                <w:sz w:val="18"/>
              </w:rPr>
              <w:t xml:space="preserve">al.</w:t>
            </w:r>
          </w:p>
          <w:p>
            <w:pPr>
              <w:pStyle w:val="TableParagraph"/>
              <w:spacing w:line="187" w:lineRule="exact"/>
              <w:ind w:start="107"/>
              <w:rPr>
                <w:sz w:val="18"/>
              </w:rPr>
            </w:pPr>
            <w:r>
              <w:rPr>
                <w:sz w:val="18"/>
              </w:rPr>
              <w:t xml:space="preserve">2015</w:t>
            </w:r>
          </w:p>
        </w:tc>
        <w:tc>
          <w:tcPr>
            <w:tcW w:w="1135"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132" w:type="dxa"/>
          </w:tcPr>
          <w:p w:rsidR="00432386" w:rsidRDefault="00432386">
            <w:pPr>
              <w:pStyle w:val="TableParagraph"/>
              <w:rPr>
                <w:rFonts w:ascii="Times New Roman"/>
                <w:sz w:val="18"/>
              </w:rPr>
            </w:pPr>
          </w:p>
        </w:tc>
        <w:tc>
          <w:tcPr>
            <w:tcW w:w="1274" w:type="dxa"/>
          </w:tcPr>
          <w:p w:rsidR="00432386" w:rsidRDefault="00432386">
            <w:pPr>
              <w:pStyle w:val="TableParagraph"/>
              <w:rPr>
                <w:rFonts w:ascii="Times New Roman"/>
                <w:sz w:val="18"/>
              </w:rPr>
            </w:pPr>
          </w:p>
        </w:tc>
        <w:tc>
          <w:tcPr>
            <w:tcW w:w="2836" w:type="dxa"/>
          </w:tcPr>
          <w:p w:rsidR="00432386" w:rsidRDefault="00432386">
            <w:pPr>
              <w:pStyle w:val="TableParagraph"/>
              <w:rPr>
                <w:rFonts w:ascii="Times New Roman"/>
                <w:sz w:val="18"/>
              </w:rPr>
            </w:pPr>
          </w:p>
        </w:tc>
        <w:tc>
          <w:tcPr>
            <w:tcW w:w="1421" w:type="dxa"/>
          </w:tcPr>
          <w:p w:rsidR="00432386" w:rsidRDefault="00432386">
            <w:pPr>
              <w:pStyle w:val="TableParagraph"/>
              <w:rPr>
                <w:rFonts w:ascii="Times New Roman"/>
                <w:sz w:val="18"/>
              </w:rPr>
            </w:pPr>
          </w:p>
        </w:tc>
        <w:tc>
          <w:tcPr>
            <w:tcW w:w="1192" w:type="dxa"/>
          </w:tcPr>
          <w:p w:rsidR="00432386" w:rsidRDefault="00432386">
            <w:pPr>
              <w:pStyle w:val="TableParagraph"/>
              <w:rPr>
                <w:rFonts w:ascii="Times New Roman"/>
                <w:sz w:val="18"/>
              </w:rPr>
            </w:pPr>
          </w:p>
        </w:tc>
      </w:tr>
      <w:tr w:rsidR="00432386">
        <w:trPr>
          <w:trHeight w:val="415"/>
        </w:trPr>
        <w:tc>
          <w:tcPr>
            <w:tcW w:w="13950" w:type="dxa"/>
            <w:gridSpan w:val="10"/>
            <w:shd w:val="clear" w:color="auto" w:fill="C5D9F0"/>
          </w:tcPr>
          <w:p>
            <w:pPr>
              <w:pStyle w:val="TableParagraph"/>
              <w:spacing w:line="229" w:lineRule="exact"/>
              <w:ind w:start="107"/>
              <w:rPr>
                <w:b/>
                <w:i/>
                <w:sz w:val="20"/>
              </w:rPr>
            </w:pPr>
            <w:r>
              <w:rPr>
                <w:b/>
                <w:i/>
                <w:sz w:val="20"/>
              </w:rPr>
              <w:t xml:space="preserve">Précision </w:t>
            </w:r>
            <w:r>
              <w:rPr>
                <w:b/>
                <w:i/>
                <w:sz w:val="20"/>
              </w:rPr>
              <w:t xml:space="preserve">à </w:t>
            </w:r>
            <w:r>
              <w:rPr>
                <w:b/>
                <w:i/>
                <w:sz w:val="20"/>
              </w:rPr>
              <w:t xml:space="preserve">un </w:t>
            </w:r>
            <w:r>
              <w:rPr>
                <w:b/>
                <w:i/>
                <w:sz w:val="20"/>
              </w:rPr>
              <w:t xml:space="preserve">seul </w:t>
            </w:r>
            <w:r>
              <w:rPr>
                <w:b/>
                <w:i/>
                <w:sz w:val="20"/>
              </w:rPr>
              <w:t xml:space="preserve">point </w:t>
            </w:r>
            <w:r>
              <w:rPr>
                <w:b/>
                <w:i/>
                <w:sz w:val="20"/>
              </w:rPr>
              <w:t xml:space="preserve">temporel </w:t>
            </w:r>
            <w:r>
              <w:rPr>
                <w:b/>
                <w:i/>
                <w:sz w:val="20"/>
              </w:rPr>
              <w:t xml:space="preserve">entre les </w:t>
            </w:r>
            <w:r>
              <w:rPr>
                <w:b/>
                <w:i/>
                <w:sz w:val="20"/>
              </w:rPr>
              <w:t xml:space="preserve">transfemmes </w:t>
            </w:r>
            <w:r>
              <w:rPr>
                <w:b/>
                <w:i/>
                <w:sz w:val="20"/>
              </w:rPr>
              <w:t xml:space="preserve">traitées aux </w:t>
            </w:r>
            <w:r>
              <w:rPr>
                <w:b/>
                <w:i/>
                <w:sz w:val="20"/>
              </w:rPr>
              <w:t xml:space="preserve">analogues de la </w:t>
            </w:r>
            <w:r>
              <w:rPr>
                <w:b/>
                <w:i/>
                <w:sz w:val="20"/>
              </w:rPr>
              <w:t xml:space="preserve">GnRH </w:t>
            </w:r>
            <w:r>
              <w:rPr>
                <w:b/>
                <w:i/>
                <w:sz w:val="20"/>
              </w:rPr>
              <w:t xml:space="preserve">et celles </w:t>
            </w:r>
            <w:r>
              <w:rPr>
                <w:b/>
                <w:i/>
                <w:sz w:val="20"/>
              </w:rPr>
              <w:t xml:space="preserve">non traitées</w:t>
            </w:r>
          </w:p>
        </w:tc>
      </w:tr>
      <w:tr w:rsidR="00432386">
        <w:trPr>
          <w:trHeight w:val="1036"/>
        </w:trPr>
        <w:tc>
          <w:tcPr>
            <w:tcW w:w="1133" w:type="dxa"/>
          </w:tcPr>
          <w:p>
            <w:pPr>
              <w:pStyle w:val="TableParagraph"/>
              <w:spacing w:before="1"/>
              <w:ind w:start="107" w:end="135"/>
              <w:rPr>
                <w:sz w:val="18"/>
              </w:rPr>
            </w:pPr>
            <w:r>
              <w:rPr>
                <w:sz w:val="18"/>
              </w:rPr>
              <w:t xml:space="preserve">1 </w:t>
            </w:r>
            <w:r>
              <w:rPr>
                <w:sz w:val="18"/>
              </w:rPr>
              <w:t xml:space="preserve">étude de </w:t>
            </w:r>
            <w:r>
              <w:rPr>
                <w:sz w:val="18"/>
              </w:rPr>
              <w:t xml:space="preserve">cohorte </w:t>
            </w:r>
            <w:r>
              <w:rPr>
                <w:sz w:val="18"/>
              </w:rPr>
              <w:t xml:space="preserve">Staphorsiu </w:t>
            </w:r>
            <w:r>
              <w:rPr>
                <w:sz w:val="18"/>
              </w:rPr>
              <w:t xml:space="preserve">s </w:t>
            </w:r>
            <w:r>
              <w:rPr>
                <w:sz w:val="18"/>
              </w:rPr>
              <w:t xml:space="preserve">et </w:t>
            </w:r>
            <w:r>
              <w:rPr>
                <w:sz w:val="18"/>
              </w:rPr>
              <w:t xml:space="preserve">al.</w:t>
            </w:r>
          </w:p>
          <w:p>
            <w:pPr>
              <w:pStyle w:val="TableParagraph"/>
              <w:spacing w:line="187" w:lineRule="exact"/>
              <w:ind w:start="107"/>
              <w:rPr>
                <w:sz w:val="18"/>
              </w:rPr>
            </w:pPr>
            <w:r>
              <w:rPr>
                <w:sz w:val="18"/>
              </w:rPr>
              <w:t xml:space="preserve">2015</w:t>
            </w:r>
          </w:p>
        </w:tc>
        <w:tc>
          <w:tcPr>
            <w:tcW w:w="1135" w:type="dxa"/>
          </w:tcPr>
          <w:p w:rsidR="00432386" w:rsidRDefault="00432386">
            <w:pPr>
              <w:pStyle w:val="TableParagraph"/>
              <w:spacing w:before="3"/>
              <w:rPr>
                <w:b/>
                <w:sz w:val="27"/>
              </w:rPr>
            </w:pPr>
          </w:p>
          <w:p>
            <w:pPr>
              <w:pStyle w:val="TableParagraph"/>
              <w:spacing w:before="1"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7"/>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7"/>
              </w:rPr>
            </w:pPr>
          </w:p>
          <w:p>
            <w:pPr>
              <w:pStyle w:val="TableParagraph"/>
              <w:ind w:start="108" w:end="193"/>
              <w:rPr>
                <w:sz w:val="18"/>
              </w:rPr>
            </w:pPr>
            <w:r>
              <w:rPr>
                <w:sz w:val="18"/>
              </w:rPr>
              <w:t xml:space="preserve">Non </w:t>
            </w:r>
            <w:r>
              <w:rPr>
                <w:sz w:val="18"/>
              </w:rPr>
              <w:t xml:space="preserve">calculable</w:t>
            </w:r>
          </w:p>
        </w:tc>
        <w:tc>
          <w:tcPr>
            <w:tcW w:w="1132" w:type="dxa"/>
          </w:tcPr>
          <w:p>
            <w:pPr>
              <w:pStyle w:val="TableParagraph"/>
              <w:spacing w:before="104" w:line="207" w:lineRule="exact"/>
              <w:ind w:start="88" w:end="75"/>
              <w:jc w:val="center"/>
              <w:rPr>
                <w:sz w:val="18"/>
              </w:rPr>
            </w:pPr>
            <w:r>
              <w:rPr>
                <w:sz w:val="18"/>
              </w:rPr>
              <w:t xml:space="preserve">N=8</w:t>
            </w:r>
          </w:p>
          <w:p>
            <w:pPr>
              <w:pStyle w:val="TableParagraph"/>
              <w:ind w:start="89" w:end="75"/>
              <w:jc w:val="center"/>
              <w:rPr>
                <w:sz w:val="18"/>
              </w:rPr>
            </w:pPr>
            <w:r>
              <w:rPr>
                <w:sz w:val="18"/>
              </w:rPr>
              <w:t xml:space="preserve">Moyenne (SD) </w:t>
            </w:r>
            <w:r>
              <w:rPr>
                <w:sz w:val="18"/>
              </w:rPr>
              <w:t xml:space="preserve">73,9 </w:t>
            </w:r>
            <w:r>
              <w:rPr>
                <w:sz w:val="18"/>
              </w:rPr>
              <w:t xml:space="preserve">(9,1)</w:t>
            </w:r>
          </w:p>
        </w:tc>
        <w:tc>
          <w:tcPr>
            <w:tcW w:w="1274" w:type="dxa"/>
          </w:tcPr>
          <w:p w:rsidR="00432386" w:rsidRDefault="00432386">
            <w:pPr>
              <w:pStyle w:val="TableParagraph"/>
              <w:rPr>
                <w:b/>
                <w:sz w:val="18"/>
              </w:rPr>
            </w:pPr>
          </w:p>
          <w:p>
            <w:pPr>
              <w:pStyle w:val="TableParagraph"/>
              <w:spacing w:line="207" w:lineRule="exact"/>
              <w:ind w:start="153" w:end="136"/>
              <w:jc w:val="center"/>
              <w:rPr>
                <w:sz w:val="18"/>
              </w:rPr>
            </w:pPr>
            <w:r>
              <w:rPr>
                <w:sz w:val="18"/>
              </w:rPr>
              <w:t xml:space="preserve">N=10</w:t>
            </w:r>
          </w:p>
          <w:p>
            <w:pPr>
              <w:pStyle w:val="TableParagraph"/>
              <w:ind w:start="153" w:end="136"/>
              <w:jc w:val="center"/>
              <w:rPr>
                <w:sz w:val="18"/>
              </w:rPr>
            </w:pPr>
            <w:r>
              <w:rPr>
                <w:spacing w:val="-1"/>
                <w:sz w:val="18"/>
              </w:rPr>
              <w:t xml:space="preserve">Moyenne </w:t>
            </w:r>
            <w:r>
              <w:rPr>
                <w:sz w:val="18"/>
              </w:rPr>
              <w:t xml:space="preserve">(SD) </w:t>
            </w:r>
            <w:r>
              <w:rPr>
                <w:sz w:val="18"/>
              </w:rPr>
              <w:t xml:space="preserve">83,4 </w:t>
            </w:r>
            <w:r>
              <w:rPr>
                <w:sz w:val="18"/>
              </w:rPr>
              <w:t xml:space="preserve">(9,5)</w:t>
            </w:r>
          </w:p>
        </w:tc>
        <w:tc>
          <w:tcPr>
            <w:tcW w:w="2836" w:type="dxa"/>
          </w:tcPr>
          <w:p w:rsidR="00432386" w:rsidRDefault="00432386">
            <w:pPr>
              <w:pStyle w:val="TableParagraph"/>
              <w:rPr>
                <w:b/>
                <w:sz w:val="20"/>
              </w:rPr>
            </w:pPr>
          </w:p>
          <w:p w:rsidR="00432386" w:rsidRDefault="00432386">
            <w:pPr>
              <w:pStyle w:val="TableParagraph"/>
              <w:rPr>
                <w:b/>
                <w:sz w:val="16"/>
              </w:rPr>
            </w:pPr>
          </w:p>
          <w:p>
            <w:pPr>
              <w:pStyle w:val="TableParagraph"/>
              <w:ind w:start="151" w:end="139"/>
              <w:jc w:val="center"/>
              <w:rPr>
                <w:sz w:val="18"/>
              </w:rPr>
            </w:pPr>
            <w:r>
              <w:rPr>
                <w:sz w:val="18"/>
              </w:rPr>
              <w:t xml:space="preserve">NR</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16"/>
              </w:rPr>
            </w:pPr>
          </w:p>
          <w:p>
            <w:pPr>
              <w:pStyle w:val="TableParagraph"/>
              <w:ind w:start="104" w:end="88"/>
              <w:jc w:val="center"/>
              <w:rPr>
                <w:sz w:val="18"/>
              </w:rPr>
            </w:pPr>
            <w:r>
              <w:rPr>
                <w:sz w:val="18"/>
              </w:rPr>
              <w:t xml:space="preserve">TRES </w:t>
            </w:r>
            <w:r>
              <w:rPr>
                <w:sz w:val="18"/>
              </w:rPr>
              <w:t xml:space="preserve">FAIBLE</w:t>
            </w:r>
          </w:p>
        </w:tc>
      </w:tr>
      <w:tr w:rsidR="00432386">
        <w:trPr>
          <w:trHeight w:val="414"/>
        </w:trPr>
        <w:tc>
          <w:tcPr>
            <w:tcW w:w="13950" w:type="dxa"/>
            <w:gridSpan w:val="10"/>
            <w:shd w:val="clear" w:color="auto" w:fill="C5D9F0"/>
          </w:tcPr>
          <w:p>
            <w:pPr>
              <w:pStyle w:val="TableParagraph"/>
              <w:spacing w:line="229" w:lineRule="exact"/>
              <w:ind w:start="107"/>
              <w:rPr>
                <w:b/>
                <w:i/>
                <w:sz w:val="20"/>
              </w:rPr>
            </w:pPr>
            <w:r>
              <w:rPr>
                <w:b/>
                <w:i/>
                <w:sz w:val="20"/>
              </w:rPr>
              <w:t xml:space="preserve">Précision </w:t>
            </w:r>
            <w:r>
              <w:rPr>
                <w:b/>
                <w:i/>
                <w:sz w:val="20"/>
              </w:rPr>
              <w:t xml:space="preserve">à </w:t>
            </w:r>
            <w:r>
              <w:rPr>
                <w:b/>
                <w:i/>
                <w:sz w:val="20"/>
              </w:rPr>
              <w:t xml:space="preserve">un </w:t>
            </w:r>
            <w:r>
              <w:rPr>
                <w:b/>
                <w:i/>
                <w:sz w:val="20"/>
              </w:rPr>
              <w:t xml:space="preserve">seul </w:t>
            </w:r>
            <w:r>
              <w:rPr>
                <w:b/>
                <w:i/>
                <w:sz w:val="20"/>
              </w:rPr>
              <w:t xml:space="preserve">moment </w:t>
            </w:r>
            <w:r>
              <w:rPr>
                <w:b/>
                <w:i/>
                <w:sz w:val="20"/>
              </w:rPr>
              <w:t xml:space="preserve">entre les </w:t>
            </w:r>
            <w:r>
              <w:rPr>
                <w:b/>
                <w:i/>
                <w:sz w:val="20"/>
              </w:rPr>
              <w:t xml:space="preserve">transmales </w:t>
            </w:r>
            <w:r>
              <w:rPr>
                <w:b/>
                <w:i/>
                <w:sz w:val="20"/>
              </w:rPr>
              <w:t xml:space="preserve">traités aux </w:t>
            </w:r>
            <w:r>
              <w:rPr>
                <w:b/>
                <w:i/>
                <w:sz w:val="20"/>
              </w:rPr>
              <w:t xml:space="preserve">analogues de la </w:t>
            </w:r>
            <w:r>
              <w:rPr>
                <w:b/>
                <w:i/>
                <w:sz w:val="20"/>
              </w:rPr>
              <w:t xml:space="preserve">GnRH </w:t>
            </w:r>
            <w:r>
              <w:rPr>
                <w:b/>
                <w:i/>
                <w:sz w:val="20"/>
              </w:rPr>
              <w:t xml:space="preserve">et les </w:t>
            </w:r>
            <w:r>
              <w:rPr>
                <w:b/>
                <w:i/>
                <w:sz w:val="20"/>
              </w:rPr>
              <w:t xml:space="preserve">transmales </w:t>
            </w:r>
            <w:r>
              <w:rPr>
                <w:b/>
                <w:i/>
                <w:sz w:val="20"/>
              </w:rPr>
              <w:t xml:space="preserve">non traités</w:t>
            </w:r>
          </w:p>
        </w:tc>
      </w:tr>
      <w:tr w:rsidR="00432386">
        <w:trPr>
          <w:trHeight w:val="1036"/>
        </w:trPr>
        <w:tc>
          <w:tcPr>
            <w:tcW w:w="1133" w:type="dxa"/>
          </w:tcPr>
          <w:p>
            <w:pPr>
              <w:pStyle w:val="TableParagraph"/>
              <w:ind w:start="107" w:end="135"/>
              <w:rPr>
                <w:sz w:val="18"/>
              </w:rPr>
            </w:pPr>
            <w:r>
              <w:rPr>
                <w:sz w:val="18"/>
              </w:rPr>
              <w:t xml:space="preserve">1 </w:t>
            </w:r>
            <w:r>
              <w:rPr>
                <w:sz w:val="18"/>
              </w:rPr>
              <w:t xml:space="preserve">étude de </w:t>
            </w:r>
            <w:r>
              <w:rPr>
                <w:sz w:val="18"/>
              </w:rPr>
              <w:t xml:space="preserve">cohorte </w:t>
            </w:r>
            <w:r>
              <w:rPr>
                <w:sz w:val="18"/>
              </w:rPr>
              <w:t xml:space="preserve">Staphorsiu </w:t>
            </w:r>
            <w:r>
              <w:rPr>
                <w:sz w:val="18"/>
              </w:rPr>
              <w:t xml:space="preserve">s </w:t>
            </w:r>
            <w:r>
              <w:rPr>
                <w:sz w:val="18"/>
              </w:rPr>
              <w:t xml:space="preserve">et </w:t>
            </w:r>
            <w:r>
              <w:rPr>
                <w:sz w:val="18"/>
              </w:rPr>
              <w:t xml:space="preserve">al.</w:t>
            </w:r>
          </w:p>
          <w:p>
            <w:pPr>
              <w:pStyle w:val="TableParagraph"/>
              <w:spacing w:line="189" w:lineRule="exact"/>
              <w:ind w:start="107"/>
              <w:rPr>
                <w:sz w:val="18"/>
              </w:rPr>
            </w:pPr>
            <w:r>
              <w:rPr>
                <w:sz w:val="18"/>
              </w:rPr>
              <w:t xml:space="preserve">2015</w:t>
            </w:r>
          </w:p>
        </w:tc>
        <w:tc>
          <w:tcPr>
            <w:tcW w:w="1135" w:type="dxa"/>
          </w:tcPr>
          <w:p w:rsidR="00432386" w:rsidRDefault="00432386">
            <w:pPr>
              <w:pStyle w:val="TableParagraph"/>
              <w:spacing w:before="3"/>
              <w:rPr>
                <w:b/>
                <w:sz w:val="27"/>
              </w:rPr>
            </w:pPr>
          </w:p>
          <w:p>
            <w:pPr>
              <w:pStyle w:val="TableParagraph"/>
              <w:spacing w:before="1" w:line="235" w:lineRule="auto"/>
              <w:ind w:start="108" w:end="130"/>
              <w:rPr>
                <w:sz w:val="12"/>
              </w:rPr>
            </w:pPr>
            <w:r>
              <w:rPr>
                <w:sz w:val="18"/>
              </w:rPr>
              <w:t xml:space="preserve">De sérieuses </w:t>
            </w:r>
            <w:r>
              <w:rPr>
                <w:sz w:val="18"/>
              </w:rPr>
              <w:t xml:space="preserve">limitations1</w:t>
            </w:r>
          </w:p>
        </w:tc>
        <w:tc>
          <w:tcPr>
            <w:tcW w:w="1274" w:type="dxa"/>
          </w:tcPr>
          <w:p w:rsidR="00432386" w:rsidRDefault="00432386">
            <w:pPr>
              <w:pStyle w:val="TableParagraph"/>
              <w:rPr>
                <w:b/>
                <w:sz w:val="27"/>
              </w:rPr>
            </w:pPr>
          </w:p>
          <w:p>
            <w:pPr>
              <w:pStyle w:val="TableParagraph"/>
              <w:ind w:start="108" w:end="187"/>
              <w:rPr>
                <w:sz w:val="18"/>
              </w:rPr>
            </w:pPr>
            <w:r>
              <w:rPr>
                <w:sz w:val="18"/>
              </w:rPr>
              <w:t xml:space="preserve">Pas de </w:t>
            </w:r>
            <w:r>
              <w:rPr>
                <w:spacing w:val="-1"/>
                <w:sz w:val="18"/>
              </w:rPr>
              <w:t xml:space="preserve">caractère indirect </w:t>
            </w:r>
            <w:r>
              <w:rPr>
                <w:sz w:val="18"/>
              </w:rPr>
              <w:t xml:space="preserve">grave</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61" w:end="112"/>
              <w:jc w:val="center"/>
              <w:rPr>
                <w:sz w:val="18"/>
              </w:rPr>
            </w:pPr>
            <w:r>
              <w:rPr>
                <w:sz w:val="18"/>
              </w:rPr>
              <w:t xml:space="preserve">Non </w:t>
            </w:r>
            <w:r>
              <w:rPr>
                <w:sz w:val="18"/>
              </w:rPr>
              <w:t xml:space="preserve">applicable</w:t>
            </w:r>
          </w:p>
        </w:tc>
        <w:tc>
          <w:tcPr>
            <w:tcW w:w="1132" w:type="dxa"/>
          </w:tcPr>
          <w:p w:rsidR="00432386" w:rsidRDefault="00432386">
            <w:pPr>
              <w:pStyle w:val="TableParagraph"/>
              <w:rPr>
                <w:b/>
                <w:sz w:val="27"/>
              </w:rPr>
            </w:pPr>
          </w:p>
          <w:p>
            <w:pPr>
              <w:pStyle w:val="TableParagraph"/>
              <w:ind w:start="108" w:end="193"/>
              <w:rPr>
                <w:sz w:val="18"/>
              </w:rPr>
            </w:pPr>
            <w:r>
              <w:rPr>
                <w:sz w:val="18"/>
              </w:rPr>
              <w:t xml:space="preserve">Non </w:t>
            </w:r>
            <w:r>
              <w:rPr>
                <w:sz w:val="18"/>
              </w:rPr>
              <w:t xml:space="preserve">calculable</w:t>
            </w:r>
          </w:p>
        </w:tc>
        <w:tc>
          <w:tcPr>
            <w:tcW w:w="1132" w:type="dxa"/>
          </w:tcPr>
          <w:p>
            <w:pPr>
              <w:pStyle w:val="TableParagraph"/>
              <w:spacing w:before="104" w:line="207" w:lineRule="exact"/>
              <w:ind w:start="88" w:end="75"/>
              <w:jc w:val="center"/>
              <w:rPr>
                <w:sz w:val="18"/>
              </w:rPr>
            </w:pPr>
            <w:r>
              <w:rPr>
                <w:sz w:val="18"/>
              </w:rPr>
              <w:t xml:space="preserve">N=12</w:t>
            </w:r>
          </w:p>
          <w:p>
            <w:pPr>
              <w:pStyle w:val="TableParagraph"/>
              <w:ind w:start="131" w:end="115" w:hanging="3"/>
              <w:jc w:val="center"/>
              <w:rPr>
                <w:sz w:val="18"/>
              </w:rPr>
            </w:pPr>
            <w:r>
              <w:rPr>
                <w:sz w:val="18"/>
              </w:rPr>
              <w:t xml:space="preserve">Moyenne (SD) </w:t>
            </w:r>
            <w:r>
              <w:rPr>
                <w:sz w:val="18"/>
              </w:rPr>
              <w:t xml:space="preserve">85,7 </w:t>
            </w:r>
            <w:r>
              <w:rPr>
                <w:sz w:val="18"/>
              </w:rPr>
              <w:t xml:space="preserve">(10,5)</w:t>
            </w:r>
          </w:p>
        </w:tc>
        <w:tc>
          <w:tcPr>
            <w:tcW w:w="1274" w:type="dxa"/>
          </w:tcPr>
          <w:p w:rsidR="00432386" w:rsidRDefault="00432386">
            <w:pPr>
              <w:pStyle w:val="TableParagraph"/>
              <w:rPr>
                <w:b/>
                <w:sz w:val="18"/>
              </w:rPr>
            </w:pPr>
          </w:p>
          <w:p>
            <w:pPr>
              <w:pStyle w:val="TableParagraph"/>
              <w:spacing w:line="207" w:lineRule="exact"/>
              <w:ind w:start="153" w:end="136"/>
              <w:jc w:val="center"/>
              <w:rPr>
                <w:sz w:val="18"/>
              </w:rPr>
            </w:pPr>
            <w:r>
              <w:rPr>
                <w:sz w:val="18"/>
              </w:rPr>
              <w:t xml:space="preserve">N=10</w:t>
            </w:r>
          </w:p>
          <w:p>
            <w:pPr>
              <w:pStyle w:val="TableParagraph"/>
              <w:ind w:start="153" w:end="136"/>
              <w:jc w:val="center"/>
              <w:rPr>
                <w:sz w:val="18"/>
              </w:rPr>
            </w:pPr>
            <w:r>
              <w:rPr>
                <w:spacing w:val="-1"/>
                <w:sz w:val="18"/>
              </w:rPr>
              <w:t xml:space="preserve">Moyenne </w:t>
            </w:r>
            <w:r>
              <w:rPr>
                <w:sz w:val="18"/>
              </w:rPr>
              <w:t xml:space="preserve">(SD) </w:t>
            </w:r>
            <w:r>
              <w:rPr>
                <w:sz w:val="18"/>
              </w:rPr>
              <w:t xml:space="preserve">88,8 </w:t>
            </w:r>
            <w:r>
              <w:rPr>
                <w:sz w:val="18"/>
              </w:rPr>
              <w:t xml:space="preserve">(9,7)</w:t>
            </w:r>
          </w:p>
        </w:tc>
        <w:tc>
          <w:tcPr>
            <w:tcW w:w="2836" w:type="dxa"/>
          </w:tcPr>
          <w:p w:rsidR="00432386" w:rsidRDefault="00432386">
            <w:pPr>
              <w:pStyle w:val="TableParagraph"/>
              <w:rPr>
                <w:b/>
                <w:sz w:val="20"/>
              </w:rPr>
            </w:pPr>
          </w:p>
          <w:p w:rsidR="00432386" w:rsidRDefault="00432386">
            <w:pPr>
              <w:pStyle w:val="TableParagraph"/>
              <w:rPr>
                <w:b/>
                <w:sz w:val="16"/>
              </w:rPr>
            </w:pPr>
          </w:p>
          <w:p>
            <w:pPr>
              <w:pStyle w:val="TableParagraph"/>
              <w:ind w:start="151" w:end="139"/>
              <w:jc w:val="center"/>
              <w:rPr>
                <w:sz w:val="18"/>
              </w:rPr>
            </w:pPr>
            <w:r>
              <w:rPr>
                <w:sz w:val="18"/>
              </w:rPr>
              <w:t xml:space="preserve">NR</w:t>
            </w:r>
          </w:p>
        </w:tc>
        <w:tc>
          <w:tcPr>
            <w:tcW w:w="1421" w:type="dxa"/>
          </w:tcPr>
          <w:p w:rsidR="00432386" w:rsidRDefault="00432386">
            <w:pPr>
              <w:pStyle w:val="TableParagraph"/>
              <w:rPr>
                <w:b/>
                <w:sz w:val="20"/>
              </w:rPr>
            </w:pPr>
          </w:p>
          <w:p w:rsidR="00432386" w:rsidRDefault="00432386">
            <w:pPr>
              <w:pStyle w:val="TableParagraph"/>
              <w:rPr>
                <w:b/>
                <w:sz w:val="16"/>
              </w:rPr>
            </w:pPr>
          </w:p>
          <w:p>
            <w:pPr>
              <w:pStyle w:val="TableParagraph"/>
              <w:ind w:start="184"/>
              <w:rPr>
                <w:sz w:val="18"/>
              </w:rPr>
            </w:pPr>
            <w:r>
              <w:rPr>
                <w:sz w:val="18"/>
              </w:rPr>
              <w:t xml:space="preserve">IMPORTANT</w:t>
            </w:r>
          </w:p>
        </w:tc>
        <w:tc>
          <w:tcPr>
            <w:tcW w:w="1192" w:type="dxa"/>
          </w:tcPr>
          <w:p w:rsidR="00432386" w:rsidRDefault="00432386">
            <w:pPr>
              <w:pStyle w:val="TableParagraph"/>
              <w:rPr>
                <w:b/>
                <w:sz w:val="20"/>
              </w:rPr>
            </w:pPr>
          </w:p>
          <w:p w:rsidR="00432386" w:rsidRDefault="00432386">
            <w:pPr>
              <w:pStyle w:val="TableParagraph"/>
              <w:rPr>
                <w:b/>
                <w:sz w:val="16"/>
              </w:rPr>
            </w:pPr>
          </w:p>
          <w:p>
            <w:pPr>
              <w:pStyle w:val="TableParagraph"/>
              <w:ind w:start="104" w:end="88"/>
              <w:jc w:val="center"/>
              <w:rPr>
                <w:sz w:val="18"/>
              </w:rPr>
            </w:pPr>
            <w:r>
              <w:rPr>
                <w:sz w:val="18"/>
              </w:rPr>
              <w:t xml:space="preserve">TRES </w:t>
            </w:r>
            <w:r>
              <w:rPr>
                <w:sz w:val="18"/>
              </w:rPr>
              <w:t xml:space="preserve">FAIBLE</w:t>
            </w:r>
          </w:p>
        </w:tc>
      </w:tr>
    </w:tbl>
    <w:p>
      <w:pPr>
        <w:spacing w:before="4"/>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sz w:val="20"/>
        </w:rPr>
        <w:t xml:space="preserve">NR, </w:t>
      </w:r>
      <w:r>
        <w:rPr>
          <w:sz w:val="20"/>
        </w:rPr>
        <w:t xml:space="preserve">non </w:t>
      </w:r>
      <w:r>
        <w:rPr>
          <w:sz w:val="20"/>
        </w:rPr>
        <w:t xml:space="preserve">rapporté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9"/>
        <w:ind w:start="0"/>
        <w:rPr>
          <w:sz w:val="19"/>
        </w:rPr>
      </w:pPr>
    </w:p>
    <w:p>
      <w:pPr>
        <w:ind w:start="120"/>
        <w:rPr>
          <w:i/>
          <w:sz w:val="18"/>
        </w:rPr>
      </w:pPr>
      <w:r>
        <w:rPr>
          <w:i/>
          <w:sz w:val="18"/>
        </w:rPr>
        <w:t xml:space="preserve">1 </w:t>
      </w: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w:t>
      </w:r>
      <w:r>
        <w:rPr>
          <w:i/>
          <w:sz w:val="18"/>
        </w:rPr>
        <w:t xml:space="preserve">Staphorsius et </w:t>
      </w:r>
      <w:r>
        <w:rPr>
          <w:i/>
          <w:sz w:val="18"/>
        </w:rPr>
        <w:t xml:space="preserve">al. </w:t>
      </w:r>
      <w:r>
        <w:rPr>
          <w:i/>
          <w:sz w:val="18"/>
        </w:rPr>
        <w:t xml:space="preserve">(2015) </w:t>
      </w:r>
      <w:r>
        <w:rPr>
          <w:i/>
          <w:sz w:val="18"/>
        </w:rPr>
        <w:t xml:space="preserve">a été </w:t>
      </w:r>
      <w:r>
        <w:rPr>
          <w:i/>
          <w:sz w:val="18"/>
        </w:rPr>
        <w:t xml:space="preserve">évaluée </w:t>
      </w:r>
      <w:r>
        <w:rPr>
          <w:i/>
          <w:sz w:val="18"/>
        </w:rPr>
        <w:t xml:space="preserve">comme </w:t>
      </w:r>
      <w:r>
        <w:rPr>
          <w:i/>
          <w:sz w:val="18"/>
        </w:rPr>
        <w:t xml:space="preserve">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randomisation).</w:t>
      </w:r>
    </w:p>
    <w:p w:rsidR="00432386" w:rsidRDefault="00432386">
      <w:pPr>
        <w:pStyle w:val="Corpsdetexte"/>
        <w:spacing w:before="0"/>
        <w:ind w:start="0"/>
        <w:rPr>
          <w:i/>
          <w:sz w:val="20"/>
        </w:rPr>
      </w:pPr>
    </w:p>
    <w:p w:rsidR="00432386" w:rsidRDefault="00432386">
      <w:pPr>
        <w:pStyle w:val="Corpsdetexte"/>
        <w:spacing w:before="11"/>
        <w:ind w:start="0"/>
        <w:rPr>
          <w:i/>
          <w:sz w:val="24"/>
        </w:rPr>
      </w:pPr>
    </w:p>
    <w:p>
      <w:pPr>
        <w:pStyle w:val="Titre1"/>
        <w:ind w:start="120" w:end="163"/>
      </w:pPr>
      <w:r>
        <w:t xml:space="preserve">Tableau 10 : Question 2 : Chez les enfants et les adolescents souffrant de dysphorie de genre, quelle est la sécurité à court et à long terme des </w:t>
      </w:r>
      <w:r>
        <w:t xml:space="preserve">analogues de la </w:t>
      </w:r>
      <w:r>
        <w:t xml:space="preserve">GnRH par </w:t>
      </w:r>
      <w:r>
        <w:t xml:space="preserve">rapport </w:t>
      </w:r>
      <w:r>
        <w:t xml:space="preserve">à </w:t>
      </w:r>
      <w:r>
        <w:t xml:space="preserve">une </w:t>
      </w:r>
      <w:r>
        <w:t xml:space="preserve">ou </w:t>
      </w:r>
      <w:r>
        <w:t xml:space="preserve">une </w:t>
      </w:r>
      <w:r>
        <w:t xml:space="preserve">combinaison </w:t>
      </w:r>
      <w:r>
        <w:t xml:space="preserve">de </w:t>
      </w:r>
      <w:r>
        <w:t xml:space="preserve">soutien </w:t>
      </w:r>
      <w:r>
        <w:t xml:space="preserve">psychologique</w:t>
      </w:r>
      <w:r>
        <w:t xml:space="preserve">, de </w:t>
      </w:r>
      <w:r>
        <w:t xml:space="preserve">transition </w:t>
      </w:r>
      <w:r>
        <w:t xml:space="preserve">sociale </w:t>
      </w:r>
      <w:r>
        <w:t xml:space="preserve">vers </w:t>
      </w:r>
      <w:r>
        <w:t xml:space="preserve">le </w:t>
      </w:r>
      <w:r>
        <w:t xml:space="preserve">genre </w:t>
      </w:r>
      <w:r>
        <w:t xml:space="preserve">désiré </w:t>
      </w:r>
      <w:r>
        <w:t xml:space="preserve">ou à l'</w:t>
      </w:r>
      <w:r>
        <w:t xml:space="preserve">absence d'intervention ? - </w:t>
      </w:r>
      <w:r>
        <w:t xml:space="preserve">autres résultats de sécurité</w:t>
      </w: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6"/>
        <w:gridCol w:w="1138"/>
        <w:gridCol w:w="1277"/>
        <w:gridCol w:w="1424"/>
        <w:gridCol w:w="1133"/>
        <w:gridCol w:w="1138"/>
        <w:gridCol w:w="1278"/>
        <w:gridCol w:w="2842"/>
        <w:gridCol w:w="1419"/>
        <w:gridCol w:w="1190"/>
      </w:tblGrid>
      <w:tr w:rsidR="00432386">
        <w:trPr>
          <w:trHeight w:val="299"/>
        </w:trPr>
        <w:tc>
          <w:tcPr>
            <w:tcW w:w="6108" w:type="dxa"/>
            <w:gridSpan w:val="5"/>
            <w:vMerge w:val="restart"/>
            <w:shd w:val="clear" w:color="auto" w:fill="D9D9D9"/>
          </w:tcPr>
          <w:p w:rsidR="00432386" w:rsidRDefault="00432386">
            <w:pPr>
              <w:pStyle w:val="TableParagraph"/>
              <w:spacing w:before="6"/>
              <w:rPr>
                <w:b/>
                <w:sz w:val="21"/>
              </w:rPr>
            </w:pPr>
          </w:p>
          <w:p>
            <w:pPr>
              <w:pStyle w:val="TableParagraph"/>
              <w:ind w:start="2681" w:end="2674"/>
              <w:jc w:val="center"/>
              <w:rPr>
                <w:b/>
                <w:sz w:val="16"/>
              </w:rPr>
            </w:pPr>
            <w:r>
              <w:rPr>
                <w:b/>
                <w:sz w:val="16"/>
              </w:rPr>
              <w:t xml:space="preserve">QUALITÉ</w:t>
            </w:r>
          </w:p>
        </w:tc>
        <w:tc>
          <w:tcPr>
            <w:tcW w:w="5258" w:type="dxa"/>
            <w:gridSpan w:val="3"/>
            <w:shd w:val="clear" w:color="auto" w:fill="D9D9D9"/>
          </w:tcPr>
          <w:p>
            <w:pPr>
              <w:pStyle w:val="TableParagraph"/>
              <w:spacing w:before="58"/>
              <w:ind w:start="1812" w:end="1808"/>
              <w:jc w:val="center"/>
              <w:rPr>
                <w:b/>
                <w:sz w:val="16"/>
              </w:rPr>
            </w:pPr>
            <w:r>
              <w:rPr>
                <w:b/>
                <w:sz w:val="16"/>
              </w:rPr>
              <w:t xml:space="preserve">Résumé </w:t>
            </w:r>
            <w:r>
              <w:rPr>
                <w:b/>
                <w:sz w:val="16"/>
              </w:rPr>
              <w:t xml:space="preserve">des </w:t>
            </w:r>
            <w:r>
              <w:rPr>
                <w:b/>
                <w:sz w:val="16"/>
              </w:rPr>
              <w:t xml:space="preserve">conclusions</w:t>
            </w:r>
          </w:p>
        </w:tc>
        <w:tc>
          <w:tcPr>
            <w:tcW w:w="1419"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04"/>
              <w:rPr>
                <w:b/>
                <w:sz w:val="16"/>
              </w:rPr>
            </w:pPr>
            <w:r>
              <w:rPr>
                <w:b/>
                <w:sz w:val="16"/>
              </w:rPr>
              <w:t xml:space="preserve">IMPORTANCE</w:t>
            </w:r>
          </w:p>
        </w:tc>
        <w:tc>
          <w:tcPr>
            <w:tcW w:w="1190"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33"/>
              <w:rPr>
                <w:b/>
                <w:sz w:val="16"/>
              </w:rPr>
            </w:pPr>
            <w:r>
              <w:rPr>
                <w:b/>
                <w:sz w:val="16"/>
              </w:rPr>
              <w:t xml:space="preserve">CERTIFICAT</w:t>
            </w:r>
          </w:p>
        </w:tc>
      </w:tr>
      <w:tr w:rsidR="00432386">
        <w:trPr>
          <w:trHeight w:val="366"/>
        </w:trPr>
        <w:tc>
          <w:tcPr>
            <w:tcW w:w="6108" w:type="dxa"/>
            <w:gridSpan w:val="5"/>
            <w:vMerge/>
            <w:tcBorders>
              <w:top w:val="nil"/>
            </w:tcBorders>
            <w:shd w:val="clear" w:color="auto" w:fill="D9D9D9"/>
          </w:tcPr>
          <w:p w:rsidR="00432386" w:rsidRDefault="00432386">
            <w:pPr>
              <w:rPr>
                <w:sz w:val="2"/>
                <w:szCs w:val="2"/>
              </w:rPr>
            </w:pPr>
          </w:p>
        </w:tc>
        <w:tc>
          <w:tcPr>
            <w:tcW w:w="2416" w:type="dxa"/>
            <w:gridSpan w:val="2"/>
            <w:shd w:val="clear" w:color="auto" w:fill="D9D9D9"/>
          </w:tcPr>
          <w:p>
            <w:pPr>
              <w:pStyle w:val="TableParagraph"/>
              <w:spacing w:line="182" w:lineRule="exact"/>
              <w:ind w:start="550" w:end="475" w:hanging="53"/>
              <w:rPr>
                <w:b/>
                <w:sz w:val="16"/>
              </w:rPr>
            </w:pPr>
            <w:r>
              <w:rPr>
                <w:b/>
                <w:sz w:val="16"/>
              </w:rPr>
              <w:t xml:space="preserve">Nombre d'événements/Nombre de </w:t>
            </w:r>
            <w:r>
              <w:rPr>
                <w:b/>
                <w:sz w:val="16"/>
              </w:rPr>
              <w:t xml:space="preserve">patients% </w:t>
            </w:r>
            <w:r>
              <w:rPr>
                <w:b/>
                <w:sz w:val="16"/>
              </w:rPr>
              <w:t xml:space="preserve">(n/N%)</w:t>
            </w:r>
          </w:p>
        </w:tc>
        <w:tc>
          <w:tcPr>
            <w:tcW w:w="2842" w:type="dxa"/>
            <w:shd w:val="clear" w:color="auto" w:fill="D9D9D9"/>
          </w:tcPr>
          <w:p>
            <w:pPr>
              <w:pStyle w:val="TableParagraph"/>
              <w:spacing w:before="92"/>
              <w:ind w:start="1194"/>
              <w:rPr>
                <w:b/>
                <w:sz w:val="16"/>
              </w:rPr>
            </w:pPr>
            <w:r>
              <w:rPr>
                <w:b/>
                <w:sz w:val="16"/>
              </w:rPr>
              <w:t xml:space="preserve">Effet</w:t>
            </w:r>
          </w:p>
        </w:tc>
        <w:tc>
          <w:tcPr>
            <w:tcW w:w="1419" w:type="dxa"/>
            <w:vMerge/>
            <w:tcBorders>
              <w:top w:val="nil"/>
            </w:tcBorders>
            <w:shd w:val="clear" w:color="auto" w:fill="D9D9D9"/>
          </w:tcPr>
          <w:p w:rsidR="00432386" w:rsidRDefault="00432386">
            <w:pPr>
              <w:rPr>
                <w:sz w:val="2"/>
                <w:szCs w:val="2"/>
              </w:rPr>
            </w:pPr>
          </w:p>
        </w:tc>
        <w:tc>
          <w:tcPr>
            <w:tcW w:w="1190" w:type="dxa"/>
            <w:vMerge/>
            <w:tcBorders>
              <w:top w:val="nil"/>
            </w:tcBorders>
            <w:shd w:val="clear" w:color="auto" w:fill="D9D9D9"/>
          </w:tcPr>
          <w:p w:rsidR="00432386" w:rsidRDefault="00432386">
            <w:pPr>
              <w:rPr>
                <w:sz w:val="2"/>
                <w:szCs w:val="2"/>
              </w:rPr>
            </w:pPr>
          </w:p>
        </w:tc>
      </w:tr>
      <w:tr w:rsidR="00432386">
        <w:trPr>
          <w:trHeight w:val="302"/>
        </w:trPr>
        <w:tc>
          <w:tcPr>
            <w:tcW w:w="1136" w:type="dxa"/>
            <w:shd w:val="clear" w:color="auto" w:fill="D9D9D9"/>
          </w:tcPr>
          <w:p>
            <w:pPr>
              <w:pStyle w:val="TableParagraph"/>
              <w:spacing w:before="58"/>
              <w:ind w:start="343"/>
              <w:rPr>
                <w:b/>
                <w:sz w:val="16"/>
              </w:rPr>
            </w:pPr>
            <w:r>
              <w:rPr>
                <w:b/>
                <w:sz w:val="16"/>
              </w:rPr>
              <w:t xml:space="preserve">Étude</w:t>
            </w:r>
          </w:p>
        </w:tc>
        <w:tc>
          <w:tcPr>
            <w:tcW w:w="1138" w:type="dxa"/>
            <w:shd w:val="clear" w:color="auto" w:fill="D9D9D9"/>
          </w:tcPr>
          <w:p>
            <w:pPr>
              <w:pStyle w:val="TableParagraph"/>
              <w:spacing w:before="58"/>
              <w:ind w:start="119"/>
              <w:rPr>
                <w:b/>
                <w:sz w:val="16"/>
              </w:rPr>
            </w:pPr>
            <w:r>
              <w:rPr>
                <w:b/>
                <w:sz w:val="16"/>
              </w:rPr>
              <w:t xml:space="preserve">Risque </w:t>
            </w:r>
            <w:r>
              <w:rPr>
                <w:b/>
                <w:sz w:val="16"/>
              </w:rPr>
              <w:t xml:space="preserve">de </w:t>
            </w:r>
            <w:r>
              <w:rPr>
                <w:b/>
                <w:sz w:val="16"/>
              </w:rPr>
              <w:t xml:space="preserve">partialité</w:t>
            </w:r>
          </w:p>
        </w:tc>
        <w:tc>
          <w:tcPr>
            <w:tcW w:w="1277" w:type="dxa"/>
            <w:shd w:val="clear" w:color="auto" w:fill="D9D9D9"/>
          </w:tcPr>
          <w:p>
            <w:pPr>
              <w:pStyle w:val="TableParagraph"/>
              <w:spacing w:before="58"/>
              <w:ind w:start="164"/>
              <w:rPr>
                <w:b/>
                <w:sz w:val="16"/>
              </w:rPr>
            </w:pPr>
            <w:r>
              <w:rPr>
                <w:b/>
                <w:sz w:val="16"/>
              </w:rPr>
              <w:t xml:space="preserve">Indirectness</w:t>
            </w:r>
          </w:p>
        </w:tc>
        <w:tc>
          <w:tcPr>
            <w:tcW w:w="1424" w:type="dxa"/>
            <w:shd w:val="clear" w:color="auto" w:fill="D9D9D9"/>
          </w:tcPr>
          <w:p>
            <w:pPr>
              <w:pStyle w:val="TableParagraph"/>
              <w:spacing w:before="58"/>
              <w:ind w:start="176"/>
              <w:rPr>
                <w:b/>
                <w:sz w:val="16"/>
              </w:rPr>
            </w:pPr>
            <w:r>
              <w:rPr>
                <w:b/>
                <w:sz w:val="16"/>
              </w:rPr>
              <w:t xml:space="preserve">Incohérence</w:t>
            </w:r>
          </w:p>
        </w:tc>
        <w:tc>
          <w:tcPr>
            <w:tcW w:w="1133" w:type="dxa"/>
            <w:shd w:val="clear" w:color="auto" w:fill="D9D9D9"/>
          </w:tcPr>
          <w:p>
            <w:pPr>
              <w:pStyle w:val="TableParagraph"/>
              <w:spacing w:before="58"/>
              <w:ind w:start="116"/>
              <w:rPr>
                <w:b/>
                <w:sz w:val="16"/>
              </w:rPr>
            </w:pPr>
            <w:r>
              <w:rPr>
                <w:b/>
                <w:sz w:val="16"/>
              </w:rPr>
              <w:t xml:space="preserve">Imprécision</w:t>
            </w:r>
          </w:p>
        </w:tc>
        <w:tc>
          <w:tcPr>
            <w:tcW w:w="1138" w:type="dxa"/>
            <w:shd w:val="clear" w:color="auto" w:fill="D9D9D9"/>
          </w:tcPr>
          <w:p>
            <w:pPr>
              <w:pStyle w:val="TableParagraph"/>
              <w:spacing w:before="58"/>
              <w:ind w:start="108"/>
              <w:rPr>
                <w:b/>
                <w:sz w:val="16"/>
              </w:rPr>
            </w:pPr>
            <w:r>
              <w:rPr>
                <w:b/>
                <w:sz w:val="16"/>
              </w:rPr>
              <w:t xml:space="preserve">Intervention</w:t>
            </w:r>
          </w:p>
        </w:tc>
        <w:tc>
          <w:tcPr>
            <w:tcW w:w="1278" w:type="dxa"/>
            <w:shd w:val="clear" w:color="auto" w:fill="D9D9D9"/>
          </w:tcPr>
          <w:p>
            <w:pPr>
              <w:pStyle w:val="TableParagraph"/>
              <w:spacing w:before="58"/>
              <w:ind w:start="182"/>
              <w:rPr>
                <w:b/>
                <w:sz w:val="16"/>
              </w:rPr>
            </w:pPr>
            <w:r>
              <w:rPr>
                <w:b/>
                <w:sz w:val="16"/>
              </w:rPr>
              <w:t xml:space="preserve">Comparateur</w:t>
            </w:r>
          </w:p>
        </w:tc>
        <w:tc>
          <w:tcPr>
            <w:tcW w:w="2842" w:type="dxa"/>
            <w:shd w:val="clear" w:color="auto" w:fill="D9D9D9"/>
          </w:tcPr>
          <w:p>
            <w:pPr>
              <w:pStyle w:val="TableParagraph"/>
              <w:spacing w:before="58"/>
              <w:ind w:start="1173"/>
              <w:rPr>
                <w:b/>
                <w:sz w:val="16"/>
              </w:rPr>
            </w:pPr>
            <w:r>
              <w:rPr>
                <w:b/>
                <w:sz w:val="16"/>
              </w:rPr>
              <w:t xml:space="preserve">Résultat</w:t>
            </w:r>
          </w:p>
        </w:tc>
        <w:tc>
          <w:tcPr>
            <w:tcW w:w="1419" w:type="dxa"/>
            <w:vMerge/>
            <w:tcBorders>
              <w:top w:val="nil"/>
            </w:tcBorders>
            <w:shd w:val="clear" w:color="auto" w:fill="D9D9D9"/>
          </w:tcPr>
          <w:p w:rsidR="00432386" w:rsidRDefault="00432386">
            <w:pPr>
              <w:rPr>
                <w:sz w:val="2"/>
                <w:szCs w:val="2"/>
              </w:rPr>
            </w:pPr>
          </w:p>
        </w:tc>
        <w:tc>
          <w:tcPr>
            <w:tcW w:w="1190" w:type="dxa"/>
            <w:vMerge/>
            <w:tcBorders>
              <w:top w:val="nil"/>
            </w:tcBorders>
            <w:shd w:val="clear" w:color="auto" w:fill="D9D9D9"/>
          </w:tcPr>
          <w:p w:rsidR="00432386" w:rsidRDefault="00432386">
            <w:pPr>
              <w:rPr>
                <w:sz w:val="2"/>
                <w:szCs w:val="2"/>
              </w:rPr>
            </w:pPr>
          </w:p>
        </w:tc>
      </w:tr>
      <w:tr w:rsidR="00432386">
        <w:trPr>
          <w:trHeight w:val="299"/>
        </w:trPr>
        <w:tc>
          <w:tcPr>
            <w:tcW w:w="13975" w:type="dxa"/>
            <w:gridSpan w:val="10"/>
            <w:shd w:val="clear" w:color="auto" w:fill="8DB3E1"/>
          </w:tcPr>
          <w:p>
            <w:pPr>
              <w:pStyle w:val="TableParagraph"/>
              <w:spacing w:line="229" w:lineRule="exact"/>
              <w:ind w:start="107"/>
              <w:rPr>
                <w:b/>
                <w:i/>
                <w:sz w:val="20"/>
              </w:rPr>
            </w:pPr>
            <w:r>
              <w:rPr>
                <w:b/>
                <w:i/>
                <w:sz w:val="20"/>
              </w:rPr>
              <w:t xml:space="preserve">Autres </w:t>
            </w:r>
            <w:r>
              <w:rPr>
                <w:b/>
                <w:i/>
                <w:sz w:val="20"/>
              </w:rPr>
              <w:t xml:space="preserve">critères de </w:t>
            </w:r>
            <w:r>
              <w:rPr>
                <w:b/>
                <w:i/>
                <w:sz w:val="20"/>
              </w:rPr>
              <w:t xml:space="preserve">sécurité </w:t>
            </w:r>
            <w:r>
              <w:rPr>
                <w:b/>
                <w:i/>
                <w:sz w:val="20"/>
              </w:rPr>
              <w:t xml:space="preserve">: </w:t>
            </w:r>
            <w:r>
              <w:rPr>
                <w:b/>
                <w:i/>
                <w:sz w:val="20"/>
              </w:rPr>
              <w:t xml:space="preserve">modification de </w:t>
            </w:r>
            <w:r>
              <w:rPr>
                <w:b/>
                <w:i/>
                <w:sz w:val="20"/>
              </w:rPr>
              <w:t xml:space="preserve">la </w:t>
            </w:r>
            <w:r>
              <w:rPr>
                <w:b/>
                <w:i/>
                <w:sz w:val="20"/>
              </w:rPr>
              <w:t xml:space="preserve">créatinine </w:t>
            </w:r>
            <w:r>
              <w:rPr>
                <w:b/>
                <w:i/>
                <w:sz w:val="20"/>
              </w:rPr>
              <w:t xml:space="preserve">sérique.</w:t>
            </w:r>
          </w:p>
        </w:tc>
      </w:tr>
      <w:tr w:rsidR="00432386">
        <w:trPr>
          <w:trHeight w:val="414"/>
        </w:trPr>
        <w:tc>
          <w:tcPr>
            <w:tcW w:w="13975" w:type="dxa"/>
            <w:gridSpan w:val="10"/>
            <w:shd w:val="clear" w:color="auto" w:fill="C5D9F0"/>
          </w:tcPr>
          <w:p>
            <w:pPr>
              <w:pStyle w:val="TableParagraph"/>
              <w:spacing w:line="229" w:lineRule="exact"/>
              <w:ind w:start="107"/>
              <w:rPr>
                <w:b/>
                <w:i/>
                <w:sz w:val="20"/>
              </w:rPr>
            </w:pPr>
            <w:r>
              <w:rPr>
                <w:b/>
                <w:i/>
                <w:sz w:val="20"/>
              </w:rPr>
              <w:t xml:space="preserve">Variation de </w:t>
            </w:r>
            <w:r>
              <w:rPr>
                <w:b/>
                <w:i/>
                <w:sz w:val="20"/>
              </w:rPr>
              <w:t xml:space="preserve">la </w:t>
            </w:r>
            <w:r>
              <w:rPr>
                <w:b/>
                <w:i/>
                <w:sz w:val="20"/>
              </w:rPr>
              <w:t xml:space="preserve">créatinine </w:t>
            </w:r>
            <w:r>
              <w:rPr>
                <w:b/>
                <w:i/>
                <w:sz w:val="20"/>
              </w:rPr>
              <w:t xml:space="preserve">sérique </w:t>
            </w:r>
            <w:r>
              <w:rPr>
                <w:b/>
                <w:i/>
                <w:sz w:val="20"/>
              </w:rPr>
              <w:t xml:space="preserve">(micromol/l) </w:t>
            </w:r>
            <w:r>
              <w:rPr>
                <w:b/>
                <w:i/>
                <w:sz w:val="20"/>
              </w:rPr>
              <w:t xml:space="preserve">entre le </w:t>
            </w:r>
            <w:r>
              <w:rPr>
                <w:b/>
                <w:i/>
                <w:sz w:val="20"/>
              </w:rPr>
              <w:t xml:space="preserve">début de l'étude </w:t>
            </w:r>
            <w:r>
              <w:rPr>
                <w:b/>
                <w:i/>
                <w:sz w:val="20"/>
              </w:rPr>
              <w:t xml:space="preserve">et </w:t>
            </w:r>
            <w:r>
              <w:rPr>
                <w:b/>
                <w:i/>
                <w:sz w:val="20"/>
              </w:rPr>
              <w:t xml:space="preserve">1 </w:t>
            </w:r>
            <w:r>
              <w:rPr>
                <w:b/>
                <w:i/>
                <w:sz w:val="20"/>
              </w:rPr>
              <w:t xml:space="preserve">an </w:t>
            </w:r>
            <w:r>
              <w:rPr>
                <w:b/>
                <w:i/>
                <w:sz w:val="20"/>
              </w:rPr>
              <w:t xml:space="preserve">chez les </w:t>
            </w:r>
            <w:r>
              <w:rPr>
                <w:b/>
                <w:i/>
                <w:sz w:val="20"/>
              </w:rPr>
              <w:t xml:space="preserve">femmes transfemmes</w:t>
            </w:r>
          </w:p>
        </w:tc>
      </w:tr>
    </w:tbl>
    <w:p w:rsidR="00432386" w:rsidRDefault="00432386">
      <w:pPr>
        <w:spacing w:line="229" w:lineRule="exact"/>
        <w:rPr>
          <w:sz w:val="20"/>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136"/>
        <w:gridCol w:w="1138"/>
        <w:gridCol w:w="1277"/>
        <w:gridCol w:w="1424"/>
        <w:gridCol w:w="1133"/>
        <w:gridCol w:w="1138"/>
        <w:gridCol w:w="1278"/>
        <w:gridCol w:w="2842"/>
        <w:gridCol w:w="1419"/>
        <w:gridCol w:w="1190"/>
      </w:tblGrid>
      <w:tr w:rsidR="00432386">
        <w:trPr>
          <w:trHeight w:val="299"/>
        </w:trPr>
        <w:tc>
          <w:tcPr>
            <w:tcW w:w="6108" w:type="dxa"/>
            <w:gridSpan w:val="5"/>
            <w:vMerge w:val="restart"/>
            <w:shd w:val="clear" w:color="auto" w:fill="D9D9D9"/>
          </w:tcPr>
          <w:p w:rsidR="00432386" w:rsidRDefault="00432386">
            <w:pPr>
              <w:pStyle w:val="TableParagraph"/>
              <w:spacing w:before="6"/>
              <w:rPr>
                <w:b/>
                <w:sz w:val="21"/>
              </w:rPr>
            </w:pPr>
          </w:p>
          <w:p>
            <w:pPr>
              <w:pStyle w:val="TableParagraph"/>
              <w:ind w:start="2681" w:end="2674"/>
              <w:jc w:val="center"/>
              <w:rPr>
                <w:b/>
                <w:sz w:val="16"/>
              </w:rPr>
            </w:pPr>
            <w:r>
              <w:rPr>
                <w:b/>
                <w:sz w:val="16"/>
              </w:rPr>
              <w:t xml:space="preserve">QUALITÉ</w:t>
            </w:r>
          </w:p>
        </w:tc>
        <w:tc>
          <w:tcPr>
            <w:tcW w:w="5258" w:type="dxa"/>
            <w:gridSpan w:val="3"/>
            <w:shd w:val="clear" w:color="auto" w:fill="D9D9D9"/>
          </w:tcPr>
          <w:p>
            <w:pPr>
              <w:pStyle w:val="TableParagraph"/>
              <w:spacing w:before="58"/>
              <w:ind w:start="1812" w:end="1808"/>
              <w:jc w:val="center"/>
              <w:rPr>
                <w:b/>
                <w:sz w:val="16"/>
              </w:rPr>
            </w:pPr>
            <w:r>
              <w:rPr>
                <w:b/>
                <w:sz w:val="16"/>
              </w:rPr>
              <w:t xml:space="preserve">Résumé </w:t>
            </w:r>
            <w:r>
              <w:rPr>
                <w:b/>
                <w:sz w:val="16"/>
              </w:rPr>
              <w:t xml:space="preserve">des </w:t>
            </w:r>
            <w:r>
              <w:rPr>
                <w:b/>
                <w:sz w:val="16"/>
              </w:rPr>
              <w:t xml:space="preserve">conclusions</w:t>
            </w:r>
          </w:p>
        </w:tc>
        <w:tc>
          <w:tcPr>
            <w:tcW w:w="1419"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04"/>
              <w:rPr>
                <w:b/>
                <w:sz w:val="16"/>
              </w:rPr>
            </w:pPr>
            <w:r>
              <w:rPr>
                <w:b/>
                <w:sz w:val="16"/>
              </w:rPr>
              <w:t xml:space="preserve">IMPORTANCE</w:t>
            </w:r>
          </w:p>
        </w:tc>
        <w:tc>
          <w:tcPr>
            <w:tcW w:w="1190" w:type="dxa"/>
            <w:vMerge w:val="restart"/>
            <w:shd w:val="clear" w:color="auto" w:fill="D9D9D9"/>
          </w:tcPr>
          <w:p w:rsidR="00432386" w:rsidRDefault="00432386">
            <w:pPr>
              <w:pStyle w:val="TableParagraph"/>
              <w:rPr>
                <w:b/>
                <w:sz w:val="18"/>
              </w:rPr>
            </w:pPr>
          </w:p>
          <w:p w:rsidR="00432386" w:rsidRDefault="00432386">
            <w:pPr>
              <w:pStyle w:val="TableParagraph"/>
              <w:spacing w:before="10"/>
              <w:rPr>
                <w:b/>
                <w:sz w:val="16"/>
              </w:rPr>
            </w:pPr>
          </w:p>
          <w:p>
            <w:pPr>
              <w:pStyle w:val="TableParagraph"/>
              <w:ind w:start="133"/>
              <w:rPr>
                <w:b/>
                <w:sz w:val="16"/>
              </w:rPr>
            </w:pPr>
            <w:r>
              <w:rPr>
                <w:b/>
                <w:sz w:val="16"/>
              </w:rPr>
              <w:t xml:space="preserve">CERTIFICAT</w:t>
            </w:r>
          </w:p>
        </w:tc>
      </w:tr>
      <w:tr w:rsidR="00432386">
        <w:trPr>
          <w:trHeight w:val="369"/>
        </w:trPr>
        <w:tc>
          <w:tcPr>
            <w:tcW w:w="6108" w:type="dxa"/>
            <w:gridSpan w:val="5"/>
            <w:vMerge/>
            <w:tcBorders>
              <w:top w:val="nil"/>
            </w:tcBorders>
            <w:shd w:val="clear" w:color="auto" w:fill="D9D9D9"/>
          </w:tcPr>
          <w:p w:rsidR="00432386" w:rsidRDefault="00432386">
            <w:pPr>
              <w:rPr>
                <w:sz w:val="2"/>
                <w:szCs w:val="2"/>
              </w:rPr>
            </w:pPr>
          </w:p>
        </w:tc>
        <w:tc>
          <w:tcPr>
            <w:tcW w:w="2416" w:type="dxa"/>
            <w:gridSpan w:val="2"/>
            <w:shd w:val="clear" w:color="auto" w:fill="D9D9D9"/>
          </w:tcPr>
          <w:p>
            <w:pPr>
              <w:pStyle w:val="TableParagraph"/>
              <w:spacing w:line="180" w:lineRule="atLeast"/>
              <w:ind w:start="550" w:end="475" w:hanging="53"/>
              <w:rPr>
                <w:b/>
                <w:sz w:val="16"/>
              </w:rPr>
            </w:pPr>
            <w:r>
              <w:rPr>
                <w:b/>
                <w:sz w:val="16"/>
              </w:rPr>
              <w:t xml:space="preserve">Nombre d'événements/Nombre de </w:t>
            </w:r>
            <w:r>
              <w:rPr>
                <w:b/>
                <w:sz w:val="16"/>
              </w:rPr>
              <w:t xml:space="preserve">patients% </w:t>
            </w:r>
            <w:r>
              <w:rPr>
                <w:b/>
                <w:sz w:val="16"/>
              </w:rPr>
              <w:t xml:space="preserve">(n/N%)</w:t>
            </w:r>
          </w:p>
        </w:tc>
        <w:tc>
          <w:tcPr>
            <w:tcW w:w="2842" w:type="dxa"/>
            <w:shd w:val="clear" w:color="auto" w:fill="D9D9D9"/>
          </w:tcPr>
          <w:p>
            <w:pPr>
              <w:pStyle w:val="TableParagraph"/>
              <w:spacing w:before="92"/>
              <w:ind w:start="160" w:end="158"/>
              <w:jc w:val="center"/>
              <w:rPr>
                <w:b/>
                <w:sz w:val="16"/>
              </w:rPr>
            </w:pPr>
            <w:r>
              <w:rPr>
                <w:b/>
                <w:sz w:val="16"/>
              </w:rPr>
              <w:t xml:space="preserve">Effet</w:t>
            </w:r>
          </w:p>
        </w:tc>
        <w:tc>
          <w:tcPr>
            <w:tcW w:w="1419" w:type="dxa"/>
            <w:vMerge/>
            <w:tcBorders>
              <w:top w:val="nil"/>
            </w:tcBorders>
            <w:shd w:val="clear" w:color="auto" w:fill="D9D9D9"/>
          </w:tcPr>
          <w:p w:rsidR="00432386" w:rsidRDefault="00432386">
            <w:pPr>
              <w:rPr>
                <w:sz w:val="2"/>
                <w:szCs w:val="2"/>
              </w:rPr>
            </w:pPr>
          </w:p>
        </w:tc>
        <w:tc>
          <w:tcPr>
            <w:tcW w:w="1190" w:type="dxa"/>
            <w:vMerge/>
            <w:tcBorders>
              <w:top w:val="nil"/>
            </w:tcBorders>
            <w:shd w:val="clear" w:color="auto" w:fill="D9D9D9"/>
          </w:tcPr>
          <w:p w:rsidR="00432386" w:rsidRDefault="00432386">
            <w:pPr>
              <w:rPr>
                <w:sz w:val="2"/>
                <w:szCs w:val="2"/>
              </w:rPr>
            </w:pPr>
          </w:p>
        </w:tc>
      </w:tr>
      <w:tr w:rsidR="00432386">
        <w:trPr>
          <w:trHeight w:val="299"/>
        </w:trPr>
        <w:tc>
          <w:tcPr>
            <w:tcW w:w="1136" w:type="dxa"/>
            <w:shd w:val="clear" w:color="auto" w:fill="D9D9D9"/>
          </w:tcPr>
          <w:p>
            <w:pPr>
              <w:pStyle w:val="TableParagraph"/>
              <w:spacing w:before="58"/>
              <w:ind w:start="343"/>
              <w:rPr>
                <w:b/>
                <w:sz w:val="16"/>
              </w:rPr>
            </w:pPr>
            <w:r>
              <w:rPr>
                <w:b/>
                <w:sz w:val="16"/>
              </w:rPr>
              <w:t xml:space="preserve">Étude</w:t>
            </w:r>
          </w:p>
        </w:tc>
        <w:tc>
          <w:tcPr>
            <w:tcW w:w="1138" w:type="dxa"/>
            <w:shd w:val="clear" w:color="auto" w:fill="D9D9D9"/>
          </w:tcPr>
          <w:p>
            <w:pPr>
              <w:pStyle w:val="TableParagraph"/>
              <w:spacing w:before="58"/>
              <w:ind w:start="119"/>
              <w:rPr>
                <w:b/>
                <w:sz w:val="16"/>
              </w:rPr>
            </w:pPr>
            <w:r>
              <w:rPr>
                <w:b/>
                <w:sz w:val="16"/>
              </w:rPr>
              <w:t xml:space="preserve">Risque </w:t>
            </w:r>
            <w:r>
              <w:rPr>
                <w:b/>
                <w:sz w:val="16"/>
              </w:rPr>
              <w:t xml:space="preserve">de </w:t>
            </w:r>
            <w:r>
              <w:rPr>
                <w:b/>
                <w:sz w:val="16"/>
              </w:rPr>
              <w:t xml:space="preserve">partialité</w:t>
            </w:r>
          </w:p>
        </w:tc>
        <w:tc>
          <w:tcPr>
            <w:tcW w:w="1277" w:type="dxa"/>
            <w:shd w:val="clear" w:color="auto" w:fill="D9D9D9"/>
          </w:tcPr>
          <w:p>
            <w:pPr>
              <w:pStyle w:val="TableParagraph"/>
              <w:spacing w:before="58"/>
              <w:ind w:start="164"/>
              <w:rPr>
                <w:b/>
                <w:sz w:val="16"/>
              </w:rPr>
            </w:pPr>
            <w:r>
              <w:rPr>
                <w:b/>
                <w:sz w:val="16"/>
              </w:rPr>
              <w:t xml:space="preserve">Indirectness</w:t>
            </w:r>
          </w:p>
        </w:tc>
        <w:tc>
          <w:tcPr>
            <w:tcW w:w="1424" w:type="dxa"/>
            <w:shd w:val="clear" w:color="auto" w:fill="D9D9D9"/>
          </w:tcPr>
          <w:p>
            <w:pPr>
              <w:pStyle w:val="TableParagraph"/>
              <w:spacing w:before="58"/>
              <w:ind w:start="90" w:end="83"/>
              <w:jc w:val="center"/>
              <w:rPr>
                <w:b/>
                <w:sz w:val="16"/>
              </w:rPr>
            </w:pPr>
            <w:r>
              <w:rPr>
                <w:b/>
                <w:sz w:val="16"/>
              </w:rPr>
              <w:t xml:space="preserve">Incohérence</w:t>
            </w:r>
          </w:p>
        </w:tc>
        <w:tc>
          <w:tcPr>
            <w:tcW w:w="1133" w:type="dxa"/>
            <w:shd w:val="clear" w:color="auto" w:fill="D9D9D9"/>
          </w:tcPr>
          <w:p>
            <w:pPr>
              <w:pStyle w:val="TableParagraph"/>
              <w:spacing w:before="58"/>
              <w:ind w:start="116"/>
              <w:rPr>
                <w:b/>
                <w:sz w:val="16"/>
              </w:rPr>
            </w:pPr>
            <w:r>
              <w:rPr>
                <w:b/>
                <w:sz w:val="16"/>
              </w:rPr>
              <w:t xml:space="preserve">Imprécision</w:t>
            </w:r>
          </w:p>
        </w:tc>
        <w:tc>
          <w:tcPr>
            <w:tcW w:w="1138" w:type="dxa"/>
            <w:shd w:val="clear" w:color="auto" w:fill="D9D9D9"/>
          </w:tcPr>
          <w:p>
            <w:pPr>
              <w:pStyle w:val="TableParagraph"/>
              <w:spacing w:before="58"/>
              <w:ind w:start="90" w:end="82"/>
              <w:jc w:val="center"/>
              <w:rPr>
                <w:b/>
                <w:sz w:val="16"/>
              </w:rPr>
            </w:pPr>
            <w:r>
              <w:rPr>
                <w:b/>
                <w:sz w:val="16"/>
              </w:rPr>
              <w:t xml:space="preserve">Intervention</w:t>
            </w:r>
          </w:p>
        </w:tc>
        <w:tc>
          <w:tcPr>
            <w:tcW w:w="1278" w:type="dxa"/>
            <w:shd w:val="clear" w:color="auto" w:fill="D9D9D9"/>
          </w:tcPr>
          <w:p>
            <w:pPr>
              <w:pStyle w:val="TableParagraph"/>
              <w:spacing w:before="58"/>
              <w:ind w:start="163" w:end="157"/>
              <w:jc w:val="center"/>
              <w:rPr>
                <w:b/>
                <w:sz w:val="16"/>
              </w:rPr>
            </w:pPr>
            <w:r>
              <w:rPr>
                <w:b/>
                <w:sz w:val="16"/>
              </w:rPr>
              <w:t xml:space="preserve">Comparateur</w:t>
            </w:r>
          </w:p>
        </w:tc>
        <w:tc>
          <w:tcPr>
            <w:tcW w:w="2842" w:type="dxa"/>
            <w:shd w:val="clear" w:color="auto" w:fill="D9D9D9"/>
          </w:tcPr>
          <w:p>
            <w:pPr>
              <w:pStyle w:val="TableParagraph"/>
              <w:spacing w:before="58"/>
              <w:ind w:start="160" w:end="156"/>
              <w:jc w:val="center"/>
              <w:rPr>
                <w:b/>
                <w:sz w:val="16"/>
              </w:rPr>
            </w:pPr>
            <w:r>
              <w:rPr>
                <w:b/>
                <w:sz w:val="16"/>
              </w:rPr>
              <w:t xml:space="preserve">Résultat</w:t>
            </w:r>
          </w:p>
        </w:tc>
        <w:tc>
          <w:tcPr>
            <w:tcW w:w="1419" w:type="dxa"/>
            <w:vMerge/>
            <w:tcBorders>
              <w:top w:val="nil"/>
            </w:tcBorders>
            <w:shd w:val="clear" w:color="auto" w:fill="D9D9D9"/>
          </w:tcPr>
          <w:p w:rsidR="00432386" w:rsidRDefault="00432386">
            <w:pPr>
              <w:rPr>
                <w:sz w:val="2"/>
                <w:szCs w:val="2"/>
              </w:rPr>
            </w:pPr>
          </w:p>
        </w:tc>
        <w:tc>
          <w:tcPr>
            <w:tcW w:w="1190" w:type="dxa"/>
            <w:vMerge/>
            <w:tcBorders>
              <w:top w:val="nil"/>
            </w:tcBorders>
            <w:shd w:val="clear" w:color="auto" w:fill="D9D9D9"/>
          </w:tcPr>
          <w:p w:rsidR="00432386" w:rsidRDefault="00432386">
            <w:pPr>
              <w:rPr>
                <w:sz w:val="2"/>
                <w:szCs w:val="2"/>
              </w:rPr>
            </w:pPr>
          </w:p>
        </w:tc>
      </w:tr>
      <w:tr w:rsidR="00432386">
        <w:trPr>
          <w:trHeight w:val="1034"/>
        </w:trPr>
        <w:tc>
          <w:tcPr>
            <w:tcW w:w="1136" w:type="dxa"/>
          </w:tcPr>
          <w:p>
            <w:pPr>
              <w:pStyle w:val="TableParagraph"/>
              <w:spacing w:line="206" w:lineRule="exact"/>
              <w:ind w:start="107"/>
              <w:rPr>
                <w:sz w:val="18"/>
              </w:rPr>
            </w:pPr>
            <w:r>
              <w:rPr>
                <w:sz w:val="18"/>
              </w:rPr>
              <w:t xml:space="preserve">1</w:t>
            </w:r>
          </w:p>
          <w:p>
            <w:pPr>
              <w:pStyle w:val="TableParagraph"/>
              <w:ind w:start="107" w:end="100"/>
              <w:rPr>
                <w:sz w:val="18"/>
              </w:rPr>
            </w:pPr>
            <w:r>
              <w:rPr>
                <w:sz w:val="18"/>
              </w:rPr>
              <w:t xml:space="preserve">étude d'</w:t>
            </w:r>
            <w:r>
              <w:rPr>
                <w:sz w:val="18"/>
              </w:rPr>
              <w:t xml:space="preserve">observation </w:t>
            </w:r>
            <w:r>
              <w:rPr>
                <w:sz w:val="18"/>
              </w:rPr>
              <w:t xml:space="preserve">Schagen </w:t>
            </w:r>
            <w:r>
              <w:rPr>
                <w:sz w:val="18"/>
              </w:rPr>
              <w:t xml:space="preserve">et</w:t>
            </w:r>
          </w:p>
          <w:p>
            <w:pPr>
              <w:pStyle w:val="TableParagraph"/>
              <w:spacing w:line="188" w:lineRule="exact"/>
              <w:ind w:start="107"/>
              <w:rPr>
                <w:sz w:val="18"/>
              </w:rPr>
            </w:pPr>
            <w:r>
              <w:rPr>
                <w:sz w:val="18"/>
              </w:rPr>
              <w:t xml:space="preserve">al. </w:t>
            </w:r>
            <w:r>
              <w:rPr>
                <w:sz w:val="18"/>
              </w:rPr>
              <w:t xml:space="preserve">2016</w:t>
            </w:r>
          </w:p>
        </w:tc>
        <w:tc>
          <w:tcPr>
            <w:tcW w:w="1138" w:type="dxa"/>
          </w:tcPr>
          <w:p w:rsidR="00432386" w:rsidRDefault="00432386">
            <w:pPr>
              <w:pStyle w:val="TableParagraph"/>
              <w:spacing w:before="9"/>
              <w:rPr>
                <w:b/>
                <w:sz w:val="26"/>
              </w:rPr>
            </w:pPr>
          </w:p>
          <w:p>
            <w:pPr>
              <w:pStyle w:val="TableParagraph"/>
              <w:ind w:start="107" w:end="134"/>
              <w:rPr>
                <w:sz w:val="12"/>
              </w:rPr>
            </w:pPr>
            <w:r>
              <w:rPr>
                <w:sz w:val="18"/>
              </w:rPr>
              <w:t xml:space="preserve">De sérieuses </w:t>
            </w:r>
            <w:r>
              <w:rPr>
                <w:sz w:val="18"/>
              </w:rPr>
              <w:t xml:space="preserve">limitations1</w:t>
            </w:r>
          </w:p>
        </w:tc>
        <w:tc>
          <w:tcPr>
            <w:tcW w:w="1277" w:type="dxa"/>
          </w:tcPr>
          <w:p w:rsidR="00432386" w:rsidRDefault="00432386">
            <w:pPr>
              <w:pStyle w:val="TableParagraph"/>
              <w:spacing w:before="9"/>
              <w:rPr>
                <w:b/>
                <w:sz w:val="26"/>
              </w:rPr>
            </w:pPr>
          </w:p>
          <w:p>
            <w:pPr>
              <w:pStyle w:val="TableParagraph"/>
              <w:ind w:start="106" w:end="180"/>
              <w:rPr>
                <w:sz w:val="18"/>
              </w:rPr>
            </w:pPr>
            <w:r>
              <w:rPr>
                <w:sz w:val="18"/>
              </w:rPr>
              <w:t xml:space="preserve">Pas de </w:t>
            </w:r>
            <w:r>
              <w:rPr>
                <w:sz w:val="18"/>
              </w:rPr>
              <w:t xml:space="preserve">caractère indirect </w:t>
            </w:r>
            <w:r>
              <w:rPr>
                <w:sz w:val="18"/>
              </w:rPr>
              <w:t xml:space="preserve">grave</w:t>
            </w:r>
          </w:p>
        </w:tc>
        <w:tc>
          <w:tcPr>
            <w:tcW w:w="1424"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90" w:end="147"/>
              <w:jc w:val="center"/>
              <w:rPr>
                <w:sz w:val="18"/>
              </w:rPr>
            </w:pPr>
            <w:r>
              <w:rPr>
                <w:sz w:val="18"/>
              </w:rPr>
              <w:t xml:space="preserve">Non </w:t>
            </w:r>
            <w:r>
              <w:rPr>
                <w:sz w:val="18"/>
              </w:rPr>
              <w:t xml:space="preserve">applicable</w:t>
            </w:r>
          </w:p>
        </w:tc>
        <w:tc>
          <w:tcPr>
            <w:tcW w:w="1133" w:type="dxa"/>
          </w:tcPr>
          <w:p w:rsidR="00432386" w:rsidRDefault="00432386">
            <w:pPr>
              <w:pStyle w:val="TableParagraph"/>
              <w:spacing w:before="9"/>
              <w:rPr>
                <w:b/>
                <w:sz w:val="26"/>
              </w:rPr>
            </w:pPr>
          </w:p>
          <w:p>
            <w:pPr>
              <w:pStyle w:val="TableParagraph"/>
              <w:ind w:start="106" w:end="196"/>
              <w:rPr>
                <w:sz w:val="18"/>
              </w:rPr>
            </w:pPr>
            <w:r>
              <w:rPr>
                <w:sz w:val="18"/>
              </w:rPr>
              <w:t xml:space="preserve">Non </w:t>
            </w:r>
            <w:r>
              <w:rPr>
                <w:sz w:val="18"/>
              </w:rPr>
              <w:t xml:space="preserve">calculable</w:t>
            </w:r>
          </w:p>
        </w:tc>
        <w:tc>
          <w:tcPr>
            <w:tcW w:w="1138"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87" w:end="82"/>
              <w:jc w:val="center"/>
              <w:rPr>
                <w:sz w:val="18"/>
              </w:rPr>
            </w:pPr>
            <w:r>
              <w:rPr>
                <w:sz w:val="18"/>
              </w:rPr>
              <w:t xml:space="preserve">N=28</w:t>
            </w:r>
          </w:p>
        </w:tc>
        <w:tc>
          <w:tcPr>
            <w:tcW w:w="1278"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60" w:end="157"/>
              <w:jc w:val="center"/>
              <w:rPr>
                <w:sz w:val="18"/>
              </w:rPr>
            </w:pPr>
            <w:r>
              <w:rPr>
                <w:sz w:val="18"/>
              </w:rPr>
              <w:t xml:space="preserve">Aucun</w:t>
            </w:r>
          </w:p>
        </w:tc>
        <w:tc>
          <w:tcPr>
            <w:tcW w:w="2842" w:type="dxa"/>
          </w:tcPr>
          <w:p>
            <w:pPr>
              <w:pStyle w:val="TableParagraph"/>
              <w:spacing w:before="102"/>
              <w:ind w:start="736" w:end="261" w:firstLine="244"/>
              <w:rPr>
                <w:sz w:val="18"/>
              </w:rPr>
            </w:pPr>
            <w:r>
              <w:rPr>
                <w:sz w:val="18"/>
              </w:rPr>
              <w:t xml:space="preserve">Moyenne (SD) </w:t>
            </w:r>
            <w:r>
              <w:rPr>
                <w:sz w:val="18"/>
              </w:rPr>
              <w:t xml:space="preserve">Ligne de base : </w:t>
            </w:r>
            <w:r>
              <w:rPr>
                <w:sz w:val="18"/>
              </w:rPr>
              <w:t xml:space="preserve">70 </w:t>
            </w:r>
            <w:r>
              <w:rPr>
                <w:sz w:val="18"/>
              </w:rPr>
              <w:t xml:space="preserve">(12)</w:t>
            </w:r>
          </w:p>
          <w:p>
            <w:pPr>
              <w:pStyle w:val="TableParagraph"/>
              <w:spacing w:before="1" w:line="207" w:lineRule="exact"/>
              <w:ind w:start="832"/>
              <w:rPr>
                <w:sz w:val="18"/>
              </w:rPr>
            </w:pPr>
            <w:r>
              <w:rPr>
                <w:sz w:val="18"/>
              </w:rPr>
              <w:t xml:space="preserve">1 </w:t>
            </w:r>
            <w:r>
              <w:rPr>
                <w:sz w:val="18"/>
              </w:rPr>
              <w:t xml:space="preserve">an : 66 </w:t>
            </w:r>
            <w:r>
              <w:rPr>
                <w:sz w:val="18"/>
              </w:rPr>
              <w:t xml:space="preserve">(13)</w:t>
            </w:r>
          </w:p>
          <w:p>
            <w:pPr>
              <w:pStyle w:val="TableParagraph"/>
              <w:spacing w:line="207" w:lineRule="exact"/>
              <w:ind w:start="897"/>
              <w:rPr>
                <w:sz w:val="18"/>
              </w:rPr>
            </w:pPr>
            <w:r>
              <w:rPr>
                <w:sz w:val="18"/>
              </w:rPr>
              <w:t xml:space="preserve">p-value : </w:t>
            </w:r>
            <w:r>
              <w:rPr>
                <w:sz w:val="18"/>
              </w:rPr>
              <w:t xml:space="preserve">0,20</w:t>
            </w:r>
          </w:p>
        </w:tc>
        <w:tc>
          <w:tcPr>
            <w:tcW w:w="1419"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54" w:end="154"/>
              <w:jc w:val="center"/>
              <w:rPr>
                <w:sz w:val="18"/>
              </w:rPr>
            </w:pPr>
            <w:r>
              <w:rPr>
                <w:sz w:val="18"/>
              </w:rPr>
              <w:t xml:space="preserve">IMPORTANT</w:t>
            </w:r>
          </w:p>
        </w:tc>
        <w:tc>
          <w:tcPr>
            <w:tcW w:w="1190"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16"/>
              <w:rPr>
                <w:sz w:val="18"/>
              </w:rPr>
            </w:pPr>
            <w:r>
              <w:rPr>
                <w:sz w:val="18"/>
              </w:rPr>
              <w:t xml:space="preserve">TRES </w:t>
            </w:r>
            <w:r>
              <w:rPr>
                <w:sz w:val="18"/>
              </w:rPr>
              <w:t xml:space="preserve">FAIBLE</w:t>
            </w:r>
          </w:p>
        </w:tc>
      </w:tr>
      <w:tr w:rsidR="00432386">
        <w:trPr>
          <w:trHeight w:val="417"/>
        </w:trPr>
        <w:tc>
          <w:tcPr>
            <w:tcW w:w="13975" w:type="dxa"/>
            <w:gridSpan w:val="10"/>
            <w:shd w:val="clear" w:color="auto" w:fill="C5D9F0"/>
          </w:tcPr>
          <w:p>
            <w:pPr>
              <w:pStyle w:val="TableParagraph"/>
              <w:spacing w:line="229" w:lineRule="exact"/>
              <w:ind w:start="107"/>
              <w:rPr>
                <w:b/>
                <w:i/>
                <w:sz w:val="20"/>
              </w:rPr>
            </w:pPr>
            <w:r>
              <w:rPr>
                <w:b/>
                <w:i/>
                <w:sz w:val="20"/>
              </w:rPr>
              <w:t xml:space="preserve">Variation de </w:t>
            </w:r>
            <w:r>
              <w:rPr>
                <w:b/>
                <w:i/>
                <w:sz w:val="20"/>
              </w:rPr>
              <w:t xml:space="preserve">la </w:t>
            </w:r>
            <w:r>
              <w:rPr>
                <w:b/>
                <w:i/>
                <w:sz w:val="20"/>
              </w:rPr>
              <w:t xml:space="preserve">créatinine </w:t>
            </w:r>
            <w:r>
              <w:rPr>
                <w:b/>
                <w:i/>
                <w:sz w:val="20"/>
              </w:rPr>
              <w:t xml:space="preserve">sérique </w:t>
            </w:r>
            <w:r>
              <w:rPr>
                <w:b/>
                <w:i/>
                <w:sz w:val="20"/>
              </w:rPr>
              <w:t xml:space="preserve">(µmol/l) </w:t>
            </w:r>
            <w:r>
              <w:rPr>
                <w:b/>
                <w:i/>
                <w:sz w:val="20"/>
              </w:rPr>
              <w:t xml:space="preserve">entre la </w:t>
            </w:r>
            <w:r>
              <w:rPr>
                <w:b/>
                <w:i/>
                <w:sz w:val="20"/>
              </w:rPr>
              <w:t xml:space="preserve">ligne de base </w:t>
            </w:r>
            <w:r>
              <w:rPr>
                <w:b/>
                <w:i/>
                <w:sz w:val="20"/>
              </w:rPr>
              <w:t xml:space="preserve">et </w:t>
            </w:r>
            <w:r>
              <w:rPr>
                <w:b/>
                <w:i/>
                <w:sz w:val="20"/>
              </w:rPr>
              <w:t xml:space="preserve">1 </w:t>
            </w:r>
            <w:r>
              <w:rPr>
                <w:b/>
                <w:i/>
                <w:sz w:val="20"/>
              </w:rPr>
              <w:t xml:space="preserve">an </w:t>
            </w:r>
            <w:r>
              <w:rPr>
                <w:b/>
                <w:i/>
                <w:sz w:val="20"/>
              </w:rPr>
              <w:t xml:space="preserve">chez les </w:t>
            </w:r>
            <w:r>
              <w:rPr>
                <w:b/>
                <w:i/>
                <w:sz w:val="20"/>
              </w:rPr>
              <w:t xml:space="preserve">transmaliens</w:t>
            </w:r>
          </w:p>
        </w:tc>
      </w:tr>
      <w:tr w:rsidR="00432386">
        <w:trPr>
          <w:trHeight w:val="1033"/>
        </w:trPr>
        <w:tc>
          <w:tcPr>
            <w:tcW w:w="1136" w:type="dxa"/>
          </w:tcPr>
          <w:p>
            <w:pPr>
              <w:pStyle w:val="TableParagraph"/>
              <w:spacing w:line="206" w:lineRule="exact"/>
              <w:ind w:start="107"/>
              <w:rPr>
                <w:sz w:val="18"/>
              </w:rPr>
            </w:pPr>
            <w:r>
              <w:rPr>
                <w:sz w:val="18"/>
              </w:rPr>
              <w:t xml:space="preserve">1</w:t>
            </w:r>
          </w:p>
          <w:p>
            <w:pPr>
              <w:pStyle w:val="TableParagraph"/>
              <w:ind w:start="107"/>
              <w:rPr>
                <w:sz w:val="18"/>
              </w:rPr>
            </w:pPr>
            <w:r>
              <w:rPr>
                <w:sz w:val="18"/>
              </w:rPr>
              <w:t xml:space="preserve">étude </w:t>
            </w:r>
            <w:r>
              <w:rPr>
                <w:sz w:val="18"/>
              </w:rPr>
              <w:t xml:space="preserve">d'</w:t>
            </w:r>
            <w:r>
              <w:rPr>
                <w:sz w:val="18"/>
              </w:rPr>
              <w:t xml:space="preserve">observation</w:t>
            </w:r>
          </w:p>
          <w:p>
            <w:pPr>
              <w:pStyle w:val="TableParagraph"/>
              <w:spacing w:line="206" w:lineRule="exact"/>
              <w:ind w:start="107" w:end="88"/>
              <w:rPr>
                <w:sz w:val="18"/>
              </w:rPr>
            </w:pPr>
            <w:r>
              <w:rPr>
                <w:sz w:val="18"/>
              </w:rPr>
              <w:t xml:space="preserve">Schagen et </w:t>
            </w:r>
            <w:r>
              <w:rPr>
                <w:sz w:val="18"/>
              </w:rPr>
              <w:t xml:space="preserve">al. </w:t>
            </w:r>
            <w:r>
              <w:rPr>
                <w:sz w:val="18"/>
              </w:rPr>
              <w:t xml:space="preserve">2016</w:t>
            </w:r>
          </w:p>
        </w:tc>
        <w:tc>
          <w:tcPr>
            <w:tcW w:w="1138" w:type="dxa"/>
          </w:tcPr>
          <w:p w:rsidR="00432386" w:rsidRDefault="00432386">
            <w:pPr>
              <w:pStyle w:val="TableParagraph"/>
              <w:spacing w:before="1"/>
              <w:rPr>
                <w:b/>
                <w:sz w:val="27"/>
              </w:rPr>
            </w:pPr>
          </w:p>
          <w:p>
            <w:pPr>
              <w:pStyle w:val="TableParagraph"/>
              <w:spacing w:line="235" w:lineRule="auto"/>
              <w:ind w:start="107" w:end="134"/>
              <w:rPr>
                <w:sz w:val="12"/>
              </w:rPr>
            </w:pPr>
            <w:r>
              <w:rPr>
                <w:sz w:val="18"/>
              </w:rPr>
              <w:t xml:space="preserve">De sérieuses </w:t>
            </w:r>
            <w:r>
              <w:rPr>
                <w:sz w:val="18"/>
              </w:rPr>
              <w:t xml:space="preserve">limitations1</w:t>
            </w:r>
          </w:p>
        </w:tc>
        <w:tc>
          <w:tcPr>
            <w:tcW w:w="1277" w:type="dxa"/>
          </w:tcPr>
          <w:p w:rsidR="00432386" w:rsidRDefault="00432386">
            <w:pPr>
              <w:pStyle w:val="TableParagraph"/>
              <w:spacing w:before="9"/>
              <w:rPr>
                <w:b/>
                <w:sz w:val="26"/>
              </w:rPr>
            </w:pPr>
          </w:p>
          <w:p>
            <w:pPr>
              <w:pStyle w:val="TableParagraph"/>
              <w:ind w:start="106" w:end="180"/>
              <w:rPr>
                <w:sz w:val="18"/>
              </w:rPr>
            </w:pPr>
            <w:r>
              <w:rPr>
                <w:sz w:val="18"/>
              </w:rPr>
              <w:t xml:space="preserve">Pas de </w:t>
            </w:r>
            <w:r>
              <w:rPr>
                <w:sz w:val="18"/>
              </w:rPr>
              <w:t xml:space="preserve">caractère indirect </w:t>
            </w:r>
            <w:r>
              <w:rPr>
                <w:sz w:val="18"/>
              </w:rPr>
              <w:t xml:space="preserve">grave</w:t>
            </w:r>
          </w:p>
        </w:tc>
        <w:tc>
          <w:tcPr>
            <w:tcW w:w="1424"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90" w:end="147"/>
              <w:jc w:val="center"/>
              <w:rPr>
                <w:sz w:val="18"/>
              </w:rPr>
            </w:pPr>
            <w:r>
              <w:rPr>
                <w:sz w:val="18"/>
              </w:rPr>
              <w:t xml:space="preserve">Non </w:t>
            </w:r>
            <w:r>
              <w:rPr>
                <w:sz w:val="18"/>
              </w:rPr>
              <w:t xml:space="preserve">applicable</w:t>
            </w:r>
          </w:p>
        </w:tc>
        <w:tc>
          <w:tcPr>
            <w:tcW w:w="1133" w:type="dxa"/>
          </w:tcPr>
          <w:p w:rsidR="00432386" w:rsidRDefault="00432386">
            <w:pPr>
              <w:pStyle w:val="TableParagraph"/>
              <w:spacing w:before="9"/>
              <w:rPr>
                <w:b/>
                <w:sz w:val="26"/>
              </w:rPr>
            </w:pPr>
          </w:p>
          <w:p>
            <w:pPr>
              <w:pStyle w:val="TableParagraph"/>
              <w:ind w:start="106" w:end="196"/>
              <w:rPr>
                <w:sz w:val="18"/>
              </w:rPr>
            </w:pPr>
            <w:r>
              <w:rPr>
                <w:sz w:val="18"/>
              </w:rPr>
              <w:t xml:space="preserve">Non </w:t>
            </w:r>
            <w:r>
              <w:rPr>
                <w:sz w:val="18"/>
              </w:rPr>
              <w:t xml:space="preserve">calculable</w:t>
            </w:r>
          </w:p>
        </w:tc>
        <w:tc>
          <w:tcPr>
            <w:tcW w:w="1138"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87" w:end="82"/>
              <w:jc w:val="center"/>
              <w:rPr>
                <w:sz w:val="18"/>
              </w:rPr>
            </w:pPr>
            <w:r>
              <w:rPr>
                <w:sz w:val="18"/>
              </w:rPr>
              <w:t xml:space="preserve">N=29</w:t>
            </w:r>
          </w:p>
        </w:tc>
        <w:tc>
          <w:tcPr>
            <w:tcW w:w="1278"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60" w:end="157"/>
              <w:jc w:val="center"/>
              <w:rPr>
                <w:sz w:val="18"/>
              </w:rPr>
            </w:pPr>
            <w:r>
              <w:rPr>
                <w:sz w:val="18"/>
              </w:rPr>
              <w:t xml:space="preserve">Aucun</w:t>
            </w:r>
          </w:p>
        </w:tc>
        <w:tc>
          <w:tcPr>
            <w:tcW w:w="2842" w:type="dxa"/>
          </w:tcPr>
          <w:p>
            <w:pPr>
              <w:pStyle w:val="TableParagraph"/>
              <w:spacing w:before="102"/>
              <w:ind w:start="786" w:end="261" w:firstLine="194"/>
              <w:rPr>
                <w:sz w:val="18"/>
              </w:rPr>
            </w:pPr>
            <w:r>
              <w:rPr>
                <w:sz w:val="18"/>
              </w:rPr>
              <w:t xml:space="preserve">Moyenne (SD) </w:t>
            </w:r>
            <w:r>
              <w:rPr>
                <w:sz w:val="18"/>
              </w:rPr>
              <w:t xml:space="preserve">Ligne de base : </w:t>
            </w:r>
            <w:r>
              <w:rPr>
                <w:sz w:val="18"/>
              </w:rPr>
              <w:t xml:space="preserve">73 </w:t>
            </w:r>
            <w:r>
              <w:rPr>
                <w:sz w:val="18"/>
              </w:rPr>
              <w:t xml:space="preserve">(8)</w:t>
            </w:r>
          </w:p>
          <w:p>
            <w:pPr>
              <w:pStyle w:val="TableParagraph"/>
              <w:spacing w:line="206" w:lineRule="exact"/>
              <w:ind w:start="832"/>
              <w:rPr>
                <w:sz w:val="18"/>
              </w:rPr>
            </w:pPr>
            <w:r>
              <w:rPr>
                <w:sz w:val="18"/>
              </w:rPr>
              <w:t xml:space="preserve">1 </w:t>
            </w:r>
            <w:r>
              <w:rPr>
                <w:sz w:val="18"/>
              </w:rPr>
              <w:t xml:space="preserve">an : 68 </w:t>
            </w:r>
            <w:r>
              <w:rPr>
                <w:sz w:val="18"/>
              </w:rPr>
              <w:t xml:space="preserve">(13)</w:t>
            </w:r>
          </w:p>
          <w:p>
            <w:pPr>
              <w:pStyle w:val="TableParagraph"/>
              <w:spacing w:before="2"/>
              <w:ind w:start="894"/>
              <w:rPr>
                <w:sz w:val="18"/>
              </w:rPr>
            </w:pPr>
            <w:r>
              <w:rPr>
                <w:sz w:val="18"/>
              </w:rPr>
              <w:t xml:space="preserve">p-value : </w:t>
            </w:r>
            <w:r>
              <w:rPr>
                <w:sz w:val="18"/>
              </w:rPr>
              <w:t xml:space="preserve">0,01</w:t>
            </w:r>
          </w:p>
        </w:tc>
        <w:tc>
          <w:tcPr>
            <w:tcW w:w="1419"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54" w:end="154"/>
              <w:jc w:val="center"/>
              <w:rPr>
                <w:sz w:val="18"/>
              </w:rPr>
            </w:pPr>
            <w:r>
              <w:rPr>
                <w:sz w:val="18"/>
              </w:rPr>
              <w:t xml:space="preserve">IMPORTANT</w:t>
            </w:r>
          </w:p>
        </w:tc>
        <w:tc>
          <w:tcPr>
            <w:tcW w:w="1190"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116"/>
              <w:rPr>
                <w:sz w:val="18"/>
              </w:rPr>
            </w:pPr>
            <w:r>
              <w:rPr>
                <w:sz w:val="18"/>
              </w:rPr>
              <w:t xml:space="preserve">TRES </w:t>
            </w:r>
            <w:r>
              <w:rPr>
                <w:sz w:val="18"/>
              </w:rPr>
              <w:t xml:space="preserve">FAIBLE</w:t>
            </w:r>
          </w:p>
        </w:tc>
      </w:tr>
      <w:tr w:rsidR="00432386">
        <w:trPr>
          <w:trHeight w:val="299"/>
        </w:trPr>
        <w:tc>
          <w:tcPr>
            <w:tcW w:w="13975" w:type="dxa"/>
            <w:gridSpan w:val="10"/>
            <w:shd w:val="clear" w:color="auto" w:fill="8DB3E1"/>
          </w:tcPr>
          <w:p>
            <w:pPr>
              <w:pStyle w:val="TableParagraph"/>
              <w:spacing w:line="229" w:lineRule="exact"/>
              <w:ind w:start="107"/>
              <w:rPr>
                <w:b/>
                <w:i/>
                <w:sz w:val="20"/>
              </w:rPr>
            </w:pPr>
            <w:r>
              <w:rPr>
                <w:b/>
                <w:i/>
                <w:sz w:val="20"/>
              </w:rPr>
              <w:t xml:space="preserve">Autres </w:t>
            </w:r>
            <w:r>
              <w:rPr>
                <w:b/>
                <w:i/>
                <w:sz w:val="20"/>
              </w:rPr>
              <w:t xml:space="preserve">critères de </w:t>
            </w:r>
            <w:r>
              <w:rPr>
                <w:b/>
                <w:i/>
                <w:sz w:val="20"/>
              </w:rPr>
              <w:t xml:space="preserve">sécurité </w:t>
            </w:r>
            <w:r>
              <w:rPr>
                <w:b/>
                <w:i/>
                <w:sz w:val="20"/>
              </w:rPr>
              <w:t xml:space="preserve">: </w:t>
            </w:r>
            <w:r>
              <w:rPr>
                <w:b/>
                <w:i/>
                <w:sz w:val="20"/>
              </w:rPr>
              <w:t xml:space="preserve">enzymes </w:t>
            </w:r>
            <w:r>
              <w:rPr>
                <w:b/>
                <w:i/>
                <w:sz w:val="20"/>
              </w:rPr>
              <w:t xml:space="preserve">hépatiques</w:t>
            </w:r>
          </w:p>
        </w:tc>
      </w:tr>
      <w:tr w:rsidR="00432386">
        <w:trPr>
          <w:trHeight w:val="417"/>
        </w:trPr>
        <w:tc>
          <w:tcPr>
            <w:tcW w:w="13975" w:type="dxa"/>
            <w:gridSpan w:val="10"/>
            <w:shd w:val="clear" w:color="auto" w:fill="C5D9F0"/>
          </w:tcPr>
          <w:p>
            <w:pPr>
              <w:pStyle w:val="TableParagraph"/>
              <w:spacing w:line="229" w:lineRule="exact"/>
              <w:ind w:start="107"/>
              <w:rPr>
                <w:b/>
                <w:i/>
                <w:sz w:val="20"/>
              </w:rPr>
            </w:pPr>
            <w:r>
              <w:rPr>
                <w:b/>
                <w:i/>
                <w:sz w:val="20"/>
              </w:rPr>
              <w:t xml:space="preserve">Présence </w:t>
            </w:r>
            <w:r>
              <w:rPr>
                <w:b/>
                <w:i/>
                <w:sz w:val="20"/>
              </w:rPr>
              <w:t xml:space="preserve">d'une </w:t>
            </w:r>
            <w:r>
              <w:rPr>
                <w:b/>
                <w:i/>
                <w:sz w:val="20"/>
              </w:rPr>
              <w:t xml:space="preserve">élévation des </w:t>
            </w:r>
            <w:r>
              <w:rPr>
                <w:b/>
                <w:i/>
                <w:sz w:val="20"/>
              </w:rPr>
              <w:t xml:space="preserve">enzymes </w:t>
            </w:r>
            <w:r>
              <w:rPr>
                <w:b/>
                <w:i/>
                <w:sz w:val="20"/>
              </w:rPr>
              <w:t xml:space="preserve">hépatiques </w:t>
            </w:r>
            <w:r>
              <w:rPr>
                <w:b/>
                <w:i/>
                <w:sz w:val="20"/>
              </w:rPr>
              <w:t xml:space="preserve">(AST, </w:t>
            </w:r>
            <w:r>
              <w:rPr>
                <w:b/>
                <w:i/>
                <w:sz w:val="20"/>
              </w:rPr>
              <w:t xml:space="preserve">ALT </w:t>
            </w:r>
            <w:r>
              <w:rPr>
                <w:b/>
                <w:i/>
                <w:sz w:val="20"/>
              </w:rPr>
              <w:t xml:space="preserve">et </w:t>
            </w:r>
            <w:r>
              <w:rPr>
                <w:b/>
                <w:i/>
                <w:sz w:val="20"/>
              </w:rPr>
              <w:t xml:space="preserve">glutamyl-transférase) </w:t>
            </w:r>
            <w:r>
              <w:rPr>
                <w:b/>
                <w:i/>
                <w:sz w:val="20"/>
              </w:rPr>
              <w:t xml:space="preserve">entre le </w:t>
            </w:r>
            <w:r>
              <w:rPr>
                <w:b/>
                <w:i/>
                <w:sz w:val="20"/>
              </w:rPr>
              <w:t xml:space="preserve">début </w:t>
            </w:r>
            <w:r>
              <w:rPr>
                <w:b/>
                <w:i/>
                <w:sz w:val="20"/>
              </w:rPr>
              <w:t xml:space="preserve">et la fin </w:t>
            </w:r>
            <w:r>
              <w:rPr>
                <w:b/>
                <w:i/>
                <w:sz w:val="20"/>
              </w:rPr>
              <w:t xml:space="preserve">du </w:t>
            </w:r>
            <w:r>
              <w:rPr>
                <w:b/>
                <w:i/>
                <w:sz w:val="20"/>
              </w:rPr>
              <w:t xml:space="preserve">traitement.</w:t>
            </w:r>
          </w:p>
        </w:tc>
      </w:tr>
      <w:tr w:rsidR="00432386">
        <w:trPr>
          <w:trHeight w:val="2690"/>
        </w:trPr>
        <w:tc>
          <w:tcPr>
            <w:tcW w:w="1136"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pPr>
              <w:pStyle w:val="TableParagraph"/>
              <w:spacing w:before="137" w:line="207" w:lineRule="exact"/>
              <w:ind w:start="107"/>
              <w:rPr>
                <w:sz w:val="18"/>
              </w:rPr>
            </w:pPr>
            <w:r>
              <w:rPr>
                <w:sz w:val="18"/>
              </w:rPr>
              <w:t xml:space="preserve">1</w:t>
            </w:r>
          </w:p>
          <w:p>
            <w:pPr>
              <w:pStyle w:val="TableParagraph"/>
              <w:ind w:start="107" w:end="88"/>
              <w:rPr>
                <w:sz w:val="18"/>
              </w:rPr>
            </w:pPr>
            <w:r>
              <w:rPr>
                <w:sz w:val="18"/>
              </w:rPr>
              <w:t xml:space="preserve">étude d'</w:t>
            </w:r>
            <w:r>
              <w:rPr>
                <w:sz w:val="18"/>
              </w:rPr>
              <w:t xml:space="preserve">observation </w:t>
            </w:r>
            <w:r>
              <w:rPr>
                <w:sz w:val="18"/>
              </w:rPr>
              <w:t xml:space="preserve">Schagen et </w:t>
            </w:r>
            <w:r>
              <w:rPr>
                <w:sz w:val="18"/>
              </w:rPr>
              <w:t xml:space="preserve">al. </w:t>
            </w:r>
            <w:r>
              <w:rPr>
                <w:sz w:val="18"/>
              </w:rPr>
              <w:t xml:space="preserve">2016</w:t>
            </w:r>
          </w:p>
        </w:tc>
        <w:tc>
          <w:tcPr>
            <w:tcW w:w="1138"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
              <w:rPr>
                <w:b/>
                <w:sz w:val="19"/>
              </w:rPr>
            </w:pPr>
          </w:p>
          <w:p>
            <w:pPr>
              <w:pStyle w:val="TableParagraph"/>
              <w:spacing w:before="1" w:line="235" w:lineRule="auto"/>
              <w:ind w:start="107" w:end="134"/>
              <w:rPr>
                <w:sz w:val="12"/>
              </w:rPr>
            </w:pPr>
            <w:r>
              <w:rPr>
                <w:sz w:val="18"/>
              </w:rPr>
              <w:t xml:space="preserve">De sérieuses </w:t>
            </w:r>
            <w:r>
              <w:rPr>
                <w:sz w:val="18"/>
              </w:rPr>
              <w:t xml:space="preserve">limitations1</w:t>
            </w:r>
          </w:p>
        </w:tc>
        <w:tc>
          <w:tcPr>
            <w:tcW w:w="1277"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6" w:end="180"/>
              <w:rPr>
                <w:sz w:val="18"/>
              </w:rPr>
            </w:pPr>
            <w:r>
              <w:rPr>
                <w:sz w:val="18"/>
              </w:rPr>
              <w:t xml:space="preserve">Pas de </w:t>
            </w:r>
            <w:r>
              <w:rPr>
                <w:sz w:val="18"/>
              </w:rPr>
              <w:t xml:space="preserve">caractère indirect </w:t>
            </w:r>
            <w:r>
              <w:rPr>
                <w:sz w:val="18"/>
              </w:rPr>
              <w:t xml:space="preserve">grave</w:t>
            </w:r>
          </w:p>
        </w:tc>
        <w:tc>
          <w:tcPr>
            <w:tcW w:w="1424"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90" w:end="147"/>
              <w:jc w:val="center"/>
              <w:rPr>
                <w:sz w:val="18"/>
              </w:rPr>
            </w:pPr>
            <w:r>
              <w:rPr>
                <w:sz w:val="18"/>
              </w:rPr>
              <w:t xml:space="preserve">Non </w:t>
            </w:r>
            <w:r>
              <w:rPr>
                <w:sz w:val="18"/>
              </w:rPr>
              <w:t xml:space="preserve">applicable</w:t>
            </w:r>
          </w:p>
        </w:tc>
        <w:tc>
          <w:tcPr>
            <w:tcW w:w="1133"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10"/>
              <w:rPr>
                <w:b/>
                <w:sz w:val="18"/>
              </w:rPr>
            </w:pPr>
          </w:p>
          <w:p>
            <w:pPr>
              <w:pStyle w:val="TableParagraph"/>
              <w:ind w:start="106" w:end="196"/>
              <w:rPr>
                <w:sz w:val="18"/>
              </w:rPr>
            </w:pPr>
            <w:r>
              <w:rPr>
                <w:sz w:val="18"/>
              </w:rPr>
              <w:t xml:space="preserve">Non </w:t>
            </w:r>
            <w:r>
              <w:rPr>
                <w:sz w:val="18"/>
              </w:rPr>
              <w:t xml:space="preserve">calculable</w:t>
            </w:r>
          </w:p>
        </w:tc>
        <w:tc>
          <w:tcPr>
            <w:tcW w:w="1138"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88" w:end="82"/>
              <w:jc w:val="center"/>
              <w:rPr>
                <w:sz w:val="18"/>
              </w:rPr>
            </w:pPr>
            <w:r>
              <w:rPr>
                <w:sz w:val="18"/>
              </w:rPr>
              <w:t xml:space="preserve">39</w:t>
            </w:r>
          </w:p>
        </w:tc>
        <w:tc>
          <w:tcPr>
            <w:tcW w:w="1278"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60" w:end="157"/>
              <w:jc w:val="center"/>
              <w:rPr>
                <w:sz w:val="18"/>
              </w:rPr>
            </w:pPr>
            <w:r>
              <w:rPr>
                <w:sz w:val="18"/>
              </w:rPr>
              <w:t xml:space="preserve">Aucun</w:t>
            </w:r>
          </w:p>
        </w:tc>
        <w:tc>
          <w:tcPr>
            <w:tcW w:w="2842" w:type="dxa"/>
          </w:tcPr>
          <w:p>
            <w:pPr>
              <w:pStyle w:val="TableParagraph"/>
              <w:ind w:start="234" w:end="234" w:firstLine="3"/>
              <w:jc w:val="center"/>
              <w:rPr>
                <w:sz w:val="18"/>
              </w:rPr>
            </w:pPr>
            <w:r>
              <w:rPr>
                <w:sz w:val="18"/>
              </w:rPr>
              <w:t xml:space="preserve">La glutamyl transférase n'était pas </w:t>
            </w:r>
            <w:r>
              <w:rPr>
                <w:sz w:val="18"/>
              </w:rPr>
              <w:t xml:space="preserve">élevée au départ ni pendant le </w:t>
            </w:r>
            <w:r>
              <w:rPr>
                <w:sz w:val="18"/>
              </w:rPr>
              <w:t xml:space="preserve">traitement </w:t>
            </w:r>
            <w:r>
              <w:rPr>
                <w:sz w:val="18"/>
              </w:rPr>
              <w:t xml:space="preserve">chez aucun </w:t>
            </w:r>
            <w:r>
              <w:rPr>
                <w:sz w:val="18"/>
              </w:rPr>
              <w:t xml:space="preserve">sujet.</w:t>
            </w:r>
          </w:p>
          <w:p>
            <w:pPr>
              <w:pStyle w:val="TableParagraph"/>
              <w:ind w:start="141" w:end="138" w:hanging="2"/>
              <w:jc w:val="center"/>
              <w:rPr>
                <w:sz w:val="18"/>
              </w:rPr>
            </w:pPr>
            <w:r>
              <w:rPr>
                <w:sz w:val="18"/>
              </w:rPr>
              <w:t xml:space="preserve">De légères élévations de l'AST et de l'ALT </w:t>
            </w:r>
            <w:r>
              <w:rPr>
                <w:sz w:val="18"/>
              </w:rPr>
              <w:t xml:space="preserve">au-dessus de la </w:t>
            </w:r>
            <w:r>
              <w:rPr>
                <w:sz w:val="18"/>
              </w:rPr>
              <w:t xml:space="preserve">plage de </w:t>
            </w:r>
            <w:r>
              <w:rPr>
                <w:sz w:val="18"/>
              </w:rPr>
              <w:t xml:space="preserve">référence </w:t>
            </w:r>
            <w:r>
              <w:rPr>
                <w:sz w:val="18"/>
              </w:rPr>
              <w:t xml:space="preserve">étaient </w:t>
            </w:r>
            <w:r>
              <w:rPr>
                <w:sz w:val="18"/>
              </w:rPr>
              <w:t xml:space="preserve">présentes </w:t>
            </w:r>
            <w:r>
              <w:rPr>
                <w:sz w:val="18"/>
              </w:rPr>
              <w:t xml:space="preserve">au </w:t>
            </w:r>
            <w:r>
              <w:rPr>
                <w:sz w:val="18"/>
              </w:rPr>
              <w:t xml:space="preserve">départ</w:t>
            </w:r>
            <w:r>
              <w:rPr>
                <w:sz w:val="18"/>
              </w:rPr>
              <w:t xml:space="preserve">.</w:t>
            </w:r>
          </w:p>
          <w:p>
            <w:pPr>
              <w:pStyle w:val="TableParagraph"/>
              <w:ind w:start="160" w:end="159"/>
              <w:jc w:val="center"/>
              <w:rPr>
                <w:sz w:val="18"/>
              </w:rPr>
            </w:pPr>
            <w:r>
              <w:rPr>
                <w:sz w:val="18"/>
              </w:rPr>
              <w:t xml:space="preserve">mais n'étaient pas plus prévalentes </w:t>
            </w:r>
            <w:r>
              <w:rPr>
                <w:sz w:val="18"/>
              </w:rPr>
              <w:t xml:space="preserve">pendant le traitement qu'au </w:t>
            </w:r>
            <w:r>
              <w:rPr>
                <w:sz w:val="18"/>
              </w:rPr>
              <w:t xml:space="preserve">départ.</w:t>
            </w:r>
          </w:p>
          <w:p>
            <w:pPr>
              <w:pStyle w:val="TableParagraph"/>
              <w:ind w:start="160" w:end="159"/>
              <w:jc w:val="center"/>
              <w:rPr>
                <w:sz w:val="18"/>
              </w:rPr>
            </w:pPr>
            <w:r>
              <w:rPr>
                <w:sz w:val="18"/>
              </w:rPr>
              <w:t xml:space="preserve">Les taux de </w:t>
            </w:r>
            <w:r>
              <w:rPr>
                <w:sz w:val="18"/>
              </w:rPr>
              <w:t xml:space="preserve">glutamyl </w:t>
            </w:r>
            <w:r>
              <w:rPr>
                <w:sz w:val="18"/>
              </w:rPr>
              <w:t xml:space="preserve">transférase, d'</w:t>
            </w:r>
            <w:r>
              <w:rPr>
                <w:sz w:val="18"/>
              </w:rPr>
              <w:t xml:space="preserve">AST </w:t>
            </w:r>
            <w:r>
              <w:rPr>
                <w:sz w:val="18"/>
              </w:rPr>
              <w:t xml:space="preserve">et d'</w:t>
            </w:r>
            <w:r>
              <w:rPr>
                <w:sz w:val="18"/>
              </w:rPr>
              <w:t xml:space="preserve">ALT n'ont pas </w:t>
            </w:r>
            <w:r>
              <w:rPr>
                <w:sz w:val="18"/>
              </w:rPr>
              <w:t xml:space="preserve">changé de </w:t>
            </w:r>
            <w:r>
              <w:rPr>
                <w:sz w:val="18"/>
              </w:rPr>
              <w:t xml:space="preserve">manière significative </w:t>
            </w:r>
            <w:r>
              <w:rPr>
                <w:sz w:val="18"/>
              </w:rPr>
              <w:t xml:space="preserve">entre le </w:t>
            </w:r>
            <w:r>
              <w:rPr>
                <w:sz w:val="18"/>
              </w:rPr>
              <w:t xml:space="preserve">début de l'étude </w:t>
            </w:r>
            <w:r>
              <w:rPr>
                <w:sz w:val="18"/>
              </w:rPr>
              <w:t xml:space="preserve">et la </w:t>
            </w:r>
            <w:r>
              <w:rPr>
                <w:sz w:val="18"/>
              </w:rPr>
              <w:t xml:space="preserve">période de 12 ans.</w:t>
            </w:r>
          </w:p>
          <w:p>
            <w:pPr>
              <w:pStyle w:val="TableParagraph"/>
              <w:spacing w:line="187" w:lineRule="exact"/>
              <w:ind w:start="160" w:end="156"/>
              <w:jc w:val="center"/>
              <w:rPr>
                <w:sz w:val="18"/>
              </w:rPr>
            </w:pPr>
            <w:r>
              <w:rPr>
                <w:sz w:val="18"/>
              </w:rPr>
              <w:t xml:space="preserve">mois </w:t>
            </w:r>
            <w:r>
              <w:rPr>
                <w:sz w:val="18"/>
              </w:rPr>
              <w:t xml:space="preserve">de </w:t>
            </w:r>
            <w:r>
              <w:rPr>
                <w:sz w:val="18"/>
              </w:rPr>
              <w:t xml:space="preserve">traitement.</w:t>
            </w:r>
          </w:p>
        </w:tc>
        <w:tc>
          <w:tcPr>
            <w:tcW w:w="1419"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54" w:end="154"/>
              <w:jc w:val="center"/>
              <w:rPr>
                <w:sz w:val="18"/>
              </w:rPr>
            </w:pPr>
            <w:r>
              <w:rPr>
                <w:sz w:val="18"/>
              </w:rPr>
              <w:t xml:space="preserve">IMPORTANT</w:t>
            </w:r>
          </w:p>
        </w:tc>
        <w:tc>
          <w:tcPr>
            <w:tcW w:w="1190" w:type="dxa"/>
          </w:tcPr>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rPr>
                <w:b/>
                <w:sz w:val="20"/>
              </w:rPr>
            </w:pPr>
          </w:p>
          <w:p w:rsidR="00432386" w:rsidRDefault="00432386">
            <w:pPr>
              <w:pStyle w:val="TableParagraph"/>
              <w:spacing w:before="9"/>
              <w:rPr>
                <w:b/>
                <w:sz w:val="27"/>
              </w:rPr>
            </w:pPr>
          </w:p>
          <w:p>
            <w:pPr>
              <w:pStyle w:val="TableParagraph"/>
              <w:ind w:start="116"/>
              <w:rPr>
                <w:sz w:val="18"/>
              </w:rPr>
            </w:pPr>
            <w:r>
              <w:rPr>
                <w:sz w:val="18"/>
              </w:rPr>
              <w:t xml:space="preserve">TRES </w:t>
            </w:r>
            <w:r>
              <w:rPr>
                <w:sz w:val="18"/>
              </w:rPr>
              <w:t xml:space="preserve">FAIBLE</w:t>
            </w:r>
          </w:p>
        </w:tc>
      </w:tr>
      <w:tr w:rsidR="00432386">
        <w:trPr>
          <w:trHeight w:val="299"/>
        </w:trPr>
        <w:tc>
          <w:tcPr>
            <w:tcW w:w="13975" w:type="dxa"/>
            <w:gridSpan w:val="10"/>
            <w:shd w:val="clear" w:color="auto" w:fill="8DB3E1"/>
          </w:tcPr>
          <w:p>
            <w:pPr>
              <w:pStyle w:val="TableParagraph"/>
              <w:spacing w:line="229" w:lineRule="exact"/>
              <w:ind w:start="107"/>
              <w:rPr>
                <w:b/>
                <w:i/>
                <w:sz w:val="20"/>
              </w:rPr>
            </w:pPr>
            <w:r>
              <w:rPr>
                <w:b/>
                <w:i/>
                <w:sz w:val="20"/>
              </w:rPr>
              <w:t xml:space="preserve">Autres </w:t>
            </w:r>
            <w:r>
              <w:rPr>
                <w:b/>
                <w:i/>
                <w:sz w:val="20"/>
              </w:rPr>
              <w:t xml:space="preserve">critères de </w:t>
            </w:r>
            <w:r>
              <w:rPr>
                <w:b/>
                <w:i/>
                <w:sz w:val="20"/>
              </w:rPr>
              <w:t xml:space="preserve">sécurité </w:t>
            </w:r>
            <w:r>
              <w:rPr>
                <w:b/>
                <w:i/>
                <w:sz w:val="20"/>
              </w:rPr>
              <w:t xml:space="preserve">: </w:t>
            </w:r>
            <w:r>
              <w:rPr>
                <w:b/>
                <w:i/>
                <w:sz w:val="20"/>
              </w:rPr>
              <w:t xml:space="preserve">effets </w:t>
            </w:r>
            <w:r>
              <w:rPr>
                <w:b/>
                <w:i/>
                <w:sz w:val="20"/>
              </w:rPr>
              <w:t xml:space="preserve">indésirables</w:t>
            </w:r>
          </w:p>
        </w:tc>
      </w:tr>
      <w:tr w:rsidR="00432386">
        <w:trPr>
          <w:trHeight w:val="417"/>
        </w:trPr>
        <w:tc>
          <w:tcPr>
            <w:tcW w:w="13975" w:type="dxa"/>
            <w:gridSpan w:val="10"/>
            <w:shd w:val="clear" w:color="auto" w:fill="C5D9F0"/>
          </w:tcPr>
          <w:p>
            <w:pPr>
              <w:pStyle w:val="TableParagraph"/>
              <w:spacing w:line="229" w:lineRule="exact"/>
              <w:ind w:start="107"/>
              <w:rPr>
                <w:b/>
                <w:i/>
                <w:sz w:val="20"/>
              </w:rPr>
            </w:pPr>
            <w:r>
              <w:rPr>
                <w:b/>
                <w:i/>
                <w:sz w:val="20"/>
              </w:rPr>
              <w:t xml:space="preserve">Proportion </w:t>
            </w:r>
            <w:r>
              <w:rPr>
                <w:b/>
                <w:i/>
                <w:sz w:val="20"/>
              </w:rPr>
              <w:t xml:space="preserve">de </w:t>
            </w:r>
            <w:r>
              <w:rPr>
                <w:b/>
                <w:i/>
                <w:sz w:val="20"/>
              </w:rPr>
              <w:t xml:space="preserve">patients </w:t>
            </w:r>
            <w:r>
              <w:rPr>
                <w:b/>
                <w:i/>
                <w:sz w:val="20"/>
              </w:rPr>
              <w:t xml:space="preserve">signalant des </w:t>
            </w:r>
            <w:r>
              <w:rPr>
                <w:b/>
                <w:i/>
                <w:sz w:val="20"/>
              </w:rPr>
              <w:t xml:space="preserve">effets </w:t>
            </w:r>
            <w:r>
              <w:rPr>
                <w:b/>
                <w:i/>
                <w:sz w:val="20"/>
              </w:rPr>
              <w:t xml:space="preserve">indésirables</w:t>
            </w:r>
          </w:p>
        </w:tc>
      </w:tr>
      <w:tr w:rsidR="00432386">
        <w:trPr>
          <w:trHeight w:val="1033"/>
        </w:trPr>
        <w:tc>
          <w:tcPr>
            <w:tcW w:w="1136" w:type="dxa"/>
          </w:tcPr>
          <w:p>
            <w:pPr>
              <w:pStyle w:val="TableParagraph"/>
              <w:ind w:start="107" w:end="138"/>
              <w:rPr>
                <w:sz w:val="18"/>
              </w:rPr>
            </w:pPr>
            <w:r>
              <w:rPr>
                <w:sz w:val="18"/>
              </w:rPr>
              <w:t xml:space="preserve">1 </w:t>
            </w:r>
            <w:r>
              <w:rPr>
                <w:sz w:val="18"/>
              </w:rPr>
              <w:t xml:space="preserve">étude de </w:t>
            </w:r>
            <w:r>
              <w:rPr>
                <w:sz w:val="18"/>
              </w:rPr>
              <w:t xml:space="preserve">cohorte </w:t>
            </w:r>
            <w:r>
              <w:rPr>
                <w:sz w:val="18"/>
              </w:rPr>
              <w:t xml:space="preserve">Khatchado </w:t>
            </w:r>
            <w:r>
              <w:rPr>
                <w:sz w:val="18"/>
              </w:rPr>
              <w:t xml:space="preserve">urian </w:t>
            </w:r>
            <w:r>
              <w:rPr>
                <w:sz w:val="18"/>
              </w:rPr>
              <w:t xml:space="preserve">et </w:t>
            </w:r>
            <w:r>
              <w:rPr>
                <w:sz w:val="18"/>
              </w:rPr>
              <w:t xml:space="preserve">al</w:t>
            </w:r>
          </w:p>
          <w:p>
            <w:pPr>
              <w:pStyle w:val="TableParagraph"/>
              <w:spacing w:line="187" w:lineRule="exact"/>
              <w:ind w:start="107"/>
              <w:rPr>
                <w:sz w:val="18"/>
              </w:rPr>
            </w:pPr>
            <w:r>
              <w:rPr>
                <w:sz w:val="18"/>
              </w:rPr>
              <w:t xml:space="preserve">2014</w:t>
            </w:r>
          </w:p>
        </w:tc>
        <w:tc>
          <w:tcPr>
            <w:tcW w:w="1138" w:type="dxa"/>
          </w:tcPr>
          <w:p>
            <w:pPr>
              <w:pStyle w:val="TableParagraph"/>
              <w:spacing w:before="2" w:line="235" w:lineRule="auto"/>
              <w:ind w:start="107" w:end="134"/>
              <w:rPr>
                <w:sz w:val="12"/>
              </w:rPr>
            </w:pPr>
            <w:r>
              <w:rPr>
                <w:sz w:val="18"/>
              </w:rPr>
              <w:t xml:space="preserve">De sérieuses </w:t>
            </w:r>
            <w:r>
              <w:rPr>
                <w:sz w:val="18"/>
              </w:rPr>
              <w:t xml:space="preserve">limitations2</w:t>
            </w:r>
          </w:p>
        </w:tc>
        <w:tc>
          <w:tcPr>
            <w:tcW w:w="1277" w:type="dxa"/>
          </w:tcPr>
          <w:p>
            <w:pPr>
              <w:pStyle w:val="TableParagraph"/>
              <w:ind w:start="106" w:end="180"/>
              <w:rPr>
                <w:sz w:val="18"/>
              </w:rPr>
            </w:pPr>
            <w:r>
              <w:rPr>
                <w:sz w:val="18"/>
              </w:rPr>
              <w:t xml:space="preserve">Pas de </w:t>
            </w:r>
            <w:r>
              <w:rPr>
                <w:sz w:val="18"/>
              </w:rPr>
              <w:t xml:space="preserve">caractère indirect </w:t>
            </w:r>
            <w:r>
              <w:rPr>
                <w:sz w:val="18"/>
              </w:rPr>
              <w:t xml:space="preserve">grave</w:t>
            </w:r>
          </w:p>
        </w:tc>
        <w:tc>
          <w:tcPr>
            <w:tcW w:w="1424" w:type="dxa"/>
          </w:tcPr>
          <w:p>
            <w:pPr>
              <w:pStyle w:val="TableParagraph"/>
              <w:spacing w:line="206" w:lineRule="exact"/>
              <w:ind w:start="90" w:end="147"/>
              <w:jc w:val="center"/>
              <w:rPr>
                <w:sz w:val="18"/>
              </w:rPr>
            </w:pPr>
            <w:r>
              <w:rPr>
                <w:sz w:val="18"/>
              </w:rPr>
              <w:t xml:space="preserve">Non </w:t>
            </w:r>
            <w:r>
              <w:rPr>
                <w:sz w:val="18"/>
              </w:rPr>
              <w:t xml:space="preserve">applicable</w:t>
            </w:r>
          </w:p>
        </w:tc>
        <w:tc>
          <w:tcPr>
            <w:tcW w:w="1133" w:type="dxa"/>
          </w:tcPr>
          <w:p>
            <w:pPr>
              <w:pStyle w:val="TableParagraph"/>
              <w:spacing w:before="2" w:line="235" w:lineRule="auto"/>
              <w:ind w:start="106" w:end="129"/>
              <w:rPr>
                <w:sz w:val="12"/>
              </w:rPr>
            </w:pPr>
            <w:r>
              <w:rPr>
                <w:sz w:val="18"/>
              </w:rPr>
              <w:t xml:space="preserve">Non </w:t>
            </w:r>
            <w:r>
              <w:rPr>
                <w:sz w:val="18"/>
              </w:rPr>
              <w:t xml:space="preserve">calculable2</w:t>
            </w:r>
          </w:p>
        </w:tc>
        <w:tc>
          <w:tcPr>
            <w:tcW w:w="1138" w:type="dxa"/>
          </w:tcPr>
          <w:p>
            <w:pPr>
              <w:pStyle w:val="TableParagraph"/>
              <w:spacing w:line="206" w:lineRule="exact"/>
              <w:ind w:start="88" w:end="82"/>
              <w:jc w:val="center"/>
              <w:rPr>
                <w:sz w:val="18"/>
              </w:rPr>
            </w:pPr>
            <w:r>
              <w:rPr>
                <w:sz w:val="18"/>
              </w:rPr>
              <w:t xml:space="preserve">27</w:t>
            </w:r>
          </w:p>
        </w:tc>
        <w:tc>
          <w:tcPr>
            <w:tcW w:w="1278" w:type="dxa"/>
          </w:tcPr>
          <w:p>
            <w:pPr>
              <w:pStyle w:val="TableParagraph"/>
              <w:spacing w:line="206" w:lineRule="exact"/>
              <w:ind w:start="160" w:end="157"/>
              <w:jc w:val="center"/>
              <w:rPr>
                <w:sz w:val="18"/>
              </w:rPr>
            </w:pPr>
            <w:r>
              <w:rPr>
                <w:sz w:val="18"/>
              </w:rPr>
              <w:t xml:space="preserve">Aucun</w:t>
            </w:r>
          </w:p>
        </w:tc>
        <w:tc>
          <w:tcPr>
            <w:tcW w:w="2842" w:type="dxa"/>
          </w:tcPr>
          <w:p>
            <w:pPr>
              <w:pStyle w:val="TableParagraph"/>
              <w:spacing w:line="206" w:lineRule="exact"/>
              <w:ind w:start="160" w:end="157"/>
              <w:jc w:val="center"/>
              <w:rPr>
                <w:sz w:val="12"/>
              </w:rPr>
            </w:pPr>
            <w:r>
              <w:rPr>
                <w:sz w:val="18"/>
              </w:rPr>
              <w:t xml:space="preserve">3/27 </w:t>
            </w:r>
            <w:r>
              <w:rPr>
                <w:sz w:val="18"/>
              </w:rPr>
              <w:t xml:space="preserve">adolescents3</w:t>
            </w:r>
          </w:p>
        </w:tc>
        <w:tc>
          <w:tcPr>
            <w:tcW w:w="1419" w:type="dxa"/>
          </w:tcPr>
          <w:p>
            <w:pPr>
              <w:pStyle w:val="TableParagraph"/>
              <w:spacing w:line="206" w:lineRule="exact"/>
              <w:ind w:start="154" w:end="150"/>
              <w:jc w:val="center"/>
              <w:rPr>
                <w:sz w:val="18"/>
              </w:rPr>
            </w:pPr>
            <w:r>
              <w:rPr>
                <w:sz w:val="18"/>
              </w:rPr>
              <w:t xml:space="preserve">Important</w:t>
            </w:r>
          </w:p>
        </w:tc>
        <w:tc>
          <w:tcPr>
            <w:tcW w:w="1190" w:type="dxa"/>
          </w:tcPr>
          <w:p>
            <w:pPr>
              <w:pStyle w:val="TableParagraph"/>
              <w:spacing w:line="206" w:lineRule="exact"/>
              <w:ind w:start="116"/>
              <w:rPr>
                <w:sz w:val="18"/>
              </w:rPr>
            </w:pPr>
            <w:r>
              <w:rPr>
                <w:sz w:val="18"/>
              </w:rPr>
              <w:t xml:space="preserve">TRES </w:t>
            </w:r>
            <w:r>
              <w:rPr>
                <w:sz w:val="18"/>
              </w:rPr>
              <w:t xml:space="preserve">FAIBLE</w:t>
            </w:r>
          </w:p>
        </w:tc>
      </w:tr>
    </w:tbl>
    <w:p w:rsidR="00432386" w:rsidRDefault="00432386">
      <w:pPr>
        <w:spacing w:line="206" w:lineRule="exact"/>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10"/>
        <w:ind w:start="0"/>
        <w:rPr>
          <w:b/>
          <w:sz w:val="20"/>
        </w:rPr>
      </w:pPr>
    </w:p>
    <w:p>
      <w:pPr>
        <w:spacing w:before="93"/>
        <w:ind w:start="120" w:end="973"/>
        <w:rPr>
          <w:sz w:val="20"/>
        </w:rPr>
      </w:pPr>
      <w:r>
        <w:rPr>
          <w:b/>
          <w:sz w:val="20"/>
        </w:rPr>
        <w:t xml:space="preserve">Abréviations : </w:t>
      </w:r>
      <w:r>
        <w:rPr>
          <w:sz w:val="20"/>
        </w:rPr>
        <w:t xml:space="preserve">ALT, alanine aminotransférase ; AST, aspartate aminotransférase ; GnRH, gonadotrophin releasing hormone ; P, valeur P ; SD, </w:t>
      </w:r>
      <w:r>
        <w:rPr>
          <w:sz w:val="20"/>
        </w:rPr>
        <w:t xml:space="preserve">écart-type.</w:t>
      </w:r>
    </w:p>
    <w:p w:rsidR="00432386" w:rsidRDefault="00432386">
      <w:pPr>
        <w:pStyle w:val="Corpsdetexte"/>
        <w:spacing w:before="10"/>
        <w:ind w:start="0"/>
        <w:rPr>
          <w:sz w:val="19"/>
        </w:rPr>
      </w:pPr>
    </w:p>
    <w:p>
      <w:pPr>
        <w:pStyle w:val="Paragraphedeliste"/>
        <w:numPr>
          <w:ilvl w:val="0"/>
          <w:numId w:val="3"/>
        </w:numPr>
        <w:tabs>
          <w:tab w:val="left" w:pos="272"/>
        </w:tabs>
        <w:spacing w:before="0"/>
        <w:rPr>
          <w:i/>
          <w:sz w:val="18"/>
        </w:rPr>
      </w:pPr>
      <w:r>
        <w:rPr>
          <w:i/>
          <w:sz w:val="18"/>
        </w:rPr>
        <w:t xml:space="preserve">Rétrogradé de </w:t>
      </w:r>
      <w:r>
        <w:rPr>
          <w:i/>
          <w:sz w:val="18"/>
        </w:rPr>
        <w:t xml:space="preserve">1 </w:t>
      </w:r>
      <w:r>
        <w:rPr>
          <w:i/>
          <w:sz w:val="18"/>
        </w:rPr>
        <w:t xml:space="preserve">niveau </w:t>
      </w:r>
      <w:r>
        <w:rPr>
          <w:i/>
          <w:sz w:val="18"/>
        </w:rPr>
        <w:t xml:space="preserve">- </w:t>
      </w:r>
      <w:r>
        <w:rPr>
          <w:i/>
          <w:sz w:val="18"/>
        </w:rPr>
        <w:t xml:space="preserve">l'</w:t>
      </w:r>
      <w:r>
        <w:rPr>
          <w:i/>
          <w:sz w:val="18"/>
        </w:rPr>
        <w:t xml:space="preserve">étude de </w:t>
      </w:r>
      <w:r>
        <w:rPr>
          <w:i/>
          <w:sz w:val="18"/>
        </w:rPr>
        <w:t xml:space="preserve">cohorte </w:t>
      </w:r>
      <w:r>
        <w:rPr>
          <w:i/>
          <w:sz w:val="18"/>
        </w:rPr>
        <w:t xml:space="preserve">de Schagen </w:t>
      </w:r>
      <w:r>
        <w:rPr>
          <w:i/>
          <w:sz w:val="18"/>
        </w:rPr>
        <w:t xml:space="preserve">et </w:t>
      </w:r>
      <w:r>
        <w:rPr>
          <w:i/>
          <w:sz w:val="18"/>
        </w:rPr>
        <w:t xml:space="preserve">al. </w:t>
      </w:r>
      <w:r>
        <w:rPr>
          <w:i/>
          <w:sz w:val="18"/>
        </w:rPr>
        <w:t xml:space="preserve">(2016) </w:t>
      </w:r>
      <w:r>
        <w:rPr>
          <w:i/>
          <w:sz w:val="18"/>
        </w:rPr>
        <w:t xml:space="preserve">a été </w:t>
      </w:r>
      <w:r>
        <w:rPr>
          <w:i/>
          <w:sz w:val="18"/>
        </w:rPr>
        <w:t xml:space="preserve">évaluée </w:t>
      </w:r>
      <w:r>
        <w:rPr>
          <w:i/>
          <w:sz w:val="18"/>
        </w:rPr>
        <w:t xml:space="preserve">comme présentant un </w:t>
      </w:r>
      <w:r>
        <w:rPr>
          <w:i/>
          <w:sz w:val="18"/>
        </w:rPr>
        <w:t xml:space="preserve">risque </w:t>
      </w:r>
      <w:r>
        <w:rPr>
          <w:i/>
          <w:sz w:val="18"/>
        </w:rPr>
        <w:t xml:space="preserve">élevé </w:t>
      </w:r>
      <w:r>
        <w:rPr>
          <w:i/>
          <w:sz w:val="18"/>
        </w:rPr>
        <w:t xml:space="preserve">de </w:t>
      </w:r>
      <w:r>
        <w:rPr>
          <w:i/>
          <w:sz w:val="18"/>
        </w:rPr>
        <w:t xml:space="preserve">biais </w:t>
      </w:r>
      <w:r>
        <w:rPr>
          <w:i/>
          <w:sz w:val="18"/>
        </w:rPr>
        <w:t xml:space="preserve">(</w:t>
      </w:r>
      <w:r>
        <w:rPr>
          <w:i/>
          <w:sz w:val="18"/>
        </w:rPr>
        <w:t xml:space="preserve">qualité </w:t>
      </w:r>
      <w:r>
        <w:rPr>
          <w:i/>
          <w:sz w:val="18"/>
        </w:rPr>
        <w:t xml:space="preserve">générale </w:t>
      </w:r>
      <w:r>
        <w:rPr>
          <w:i/>
          <w:sz w:val="18"/>
        </w:rPr>
        <w:t xml:space="preserve">médiocre </w:t>
      </w:r>
      <w:r>
        <w:rPr>
          <w:i/>
          <w:sz w:val="18"/>
        </w:rPr>
        <w:t xml:space="preserve">; </w:t>
      </w:r>
      <w:r>
        <w:rPr>
          <w:i/>
          <w:sz w:val="18"/>
        </w:rPr>
        <w:t xml:space="preserve">absence </w:t>
      </w:r>
      <w:r>
        <w:rPr>
          <w:i/>
          <w:sz w:val="18"/>
        </w:rPr>
        <w:t xml:space="preserve">d'</w:t>
      </w:r>
      <w:r>
        <w:rPr>
          <w:i/>
          <w:sz w:val="18"/>
        </w:rPr>
        <w:t xml:space="preserve">aveugle </w:t>
      </w:r>
      <w:r>
        <w:rPr>
          <w:i/>
          <w:sz w:val="18"/>
        </w:rPr>
        <w:t xml:space="preserve">et </w:t>
      </w:r>
      <w:r>
        <w:rPr>
          <w:i/>
          <w:sz w:val="18"/>
        </w:rPr>
        <w:t xml:space="preserve">de </w:t>
      </w:r>
      <w:r>
        <w:rPr>
          <w:i/>
          <w:sz w:val="18"/>
        </w:rPr>
        <w:t xml:space="preserve">contrôle).</w:t>
      </w:r>
    </w:p>
    <w:p>
      <w:pPr>
        <w:pStyle w:val="Paragraphedeliste"/>
        <w:numPr>
          <w:ilvl w:val="0"/>
          <w:numId w:val="3"/>
        </w:numPr>
        <w:tabs>
          <w:tab w:val="left" w:pos="272"/>
        </w:tabs>
        <w:spacing w:before="33" w:line="276" w:lineRule="auto"/>
        <w:ind w:start="120" w:end="573" w:firstLine="0"/>
        <w:rPr>
          <w:i/>
          <w:sz w:val="18"/>
        </w:rPr>
      </w:pPr>
      <w:r>
        <w:rPr>
          <w:i/>
          <w:sz w:val="18"/>
        </w:rPr>
        <w:t xml:space="preserve">Rétrogradé de 1 niveau - l'étude de cohorte de Khatchadourian et al. (2014) a été évaluée comme présentant un risque élevé de biais (qualité générale médiocre ; absence d'aveugle, absence de groupe de contrôle et </w:t>
      </w:r>
      <w:r>
        <w:rPr>
          <w:i/>
          <w:sz w:val="18"/>
        </w:rPr>
        <w:t xml:space="preserve">nombre</w:t>
      </w:r>
      <w:r>
        <w:rPr>
          <w:i/>
          <w:sz w:val="18"/>
        </w:rPr>
        <w:t xml:space="preserve"> élevé </w:t>
      </w:r>
      <w:r>
        <w:rPr>
          <w:i/>
          <w:sz w:val="18"/>
        </w:rPr>
        <w:t xml:space="preserve">de </w:t>
      </w:r>
      <w:r>
        <w:rPr>
          <w:i/>
          <w:sz w:val="18"/>
        </w:rPr>
        <w:t xml:space="preserve">participants </w:t>
      </w:r>
      <w:r>
        <w:rPr>
          <w:i/>
          <w:sz w:val="18"/>
        </w:rPr>
        <w:t xml:space="preserve">perdus </w:t>
      </w:r>
      <w:r>
        <w:rPr>
          <w:i/>
          <w:sz w:val="18"/>
        </w:rPr>
        <w:t xml:space="preserve">lors du </w:t>
      </w:r>
      <w:r>
        <w:rPr>
          <w:i/>
          <w:sz w:val="18"/>
        </w:rPr>
        <w:t xml:space="preserve">suivi).</w:t>
      </w:r>
    </w:p>
    <w:p>
      <w:pPr>
        <w:pStyle w:val="Paragraphedeliste"/>
        <w:numPr>
          <w:ilvl w:val="0"/>
          <w:numId w:val="3"/>
        </w:numPr>
        <w:tabs>
          <w:tab w:val="left" w:pos="272"/>
        </w:tabs>
        <w:spacing w:before="0"/>
        <w:ind w:start="120" w:end="1137" w:firstLine="0"/>
        <w:rPr>
          <w:i/>
          <w:sz w:val="18"/>
        </w:rPr>
      </w:pPr>
      <w:r>
        <w:rPr>
          <w:i/>
          <w:sz w:val="18"/>
        </w:rPr>
        <w:t xml:space="preserve">1 transmale a développé des abcès stériles ; elle est passée de l'acétate de leuprolide à la triptoréline, qui a été bien tolérée. 1 transmale a développé des douleurs dans les jambes et des </w:t>
      </w:r>
      <w:r>
        <w:rPr>
          <w:i/>
          <w:sz w:val="18"/>
        </w:rPr>
        <w:t xml:space="preserve">maux de tête, </w:t>
      </w:r>
      <w:r>
        <w:rPr>
          <w:i/>
          <w:sz w:val="18"/>
        </w:rPr>
        <w:t xml:space="preserve">qui ont </w:t>
      </w:r>
      <w:r>
        <w:rPr>
          <w:i/>
          <w:sz w:val="18"/>
        </w:rPr>
        <w:t xml:space="preserve">fini par </w:t>
      </w:r>
      <w:r>
        <w:rPr>
          <w:i/>
          <w:sz w:val="18"/>
        </w:rPr>
        <w:t xml:space="preserve">disparaître </w:t>
      </w:r>
      <w:r>
        <w:rPr>
          <w:i/>
          <w:sz w:val="18"/>
        </w:rPr>
        <w:t xml:space="preserve">sans traitement. </w:t>
      </w:r>
      <w:r>
        <w:rPr>
          <w:i/>
          <w:sz w:val="18"/>
        </w:rPr>
        <w:t xml:space="preserve">1 </w:t>
      </w:r>
      <w:r>
        <w:rPr>
          <w:i/>
          <w:sz w:val="18"/>
        </w:rPr>
        <w:t xml:space="preserve">participant </w:t>
      </w:r>
      <w:r>
        <w:rPr>
          <w:i/>
          <w:sz w:val="18"/>
        </w:rPr>
        <w:t xml:space="preserve">a pris 19 </w:t>
      </w:r>
      <w:r>
        <w:rPr>
          <w:i/>
          <w:sz w:val="18"/>
        </w:rPr>
        <w:t xml:space="preserve">kg dans les </w:t>
      </w:r>
      <w:r>
        <w:rPr>
          <w:i/>
          <w:sz w:val="18"/>
        </w:rPr>
        <w:t xml:space="preserve">9 </w:t>
      </w:r>
      <w:r>
        <w:rPr>
          <w:i/>
          <w:sz w:val="18"/>
        </w:rPr>
        <w:t xml:space="preserve">mois </w:t>
      </w:r>
      <w:r>
        <w:rPr>
          <w:i/>
          <w:sz w:val="18"/>
        </w:rPr>
        <w:t xml:space="preserve">suivant l'</w:t>
      </w:r>
      <w:r>
        <w:rPr>
          <w:i/>
          <w:sz w:val="18"/>
        </w:rPr>
        <w:t xml:space="preserve">initiation des </w:t>
      </w:r>
      <w:r>
        <w:rPr>
          <w:i/>
          <w:sz w:val="18"/>
        </w:rPr>
        <w:t xml:space="preserve">analogues de la GnRH.</w:t>
      </w:r>
    </w:p>
    <w:p w:rsidR="00432386" w:rsidRDefault="00432386">
      <w:pPr>
        <w:pStyle w:val="Corpsdetexte"/>
        <w:spacing w:before="0"/>
        <w:ind w:start="0"/>
        <w:rPr>
          <w:i/>
          <w:sz w:val="20"/>
        </w:rPr>
      </w:pPr>
    </w:p>
    <w:p w:rsidR="00432386" w:rsidRDefault="00432386">
      <w:pPr>
        <w:pStyle w:val="Corpsdetexte"/>
        <w:spacing w:before="1"/>
        <w:ind w:start="0"/>
        <w:rPr>
          <w:i/>
          <w:sz w:val="16"/>
        </w:rPr>
      </w:pPr>
    </w:p>
    <w:p>
      <w:pPr>
        <w:pStyle w:val="Titre1"/>
        <w:ind w:start="120" w:end="811"/>
      </w:pPr>
      <w:r>
        <w:t xml:space="preserve">Tableau 11 : Question 4. D'après les preuves sélectionnées, existe-t-il des sous-groupes d'enfants et d'adolescents atteints de </w:t>
      </w:r>
      <w:r>
        <w:t xml:space="preserve">dysphorie </w:t>
      </w:r>
      <w:r>
        <w:t xml:space="preserve">de genre </w:t>
      </w:r>
      <w:r>
        <w:t xml:space="preserve">qui pourraient tirer plus (ou moins) d'avantages du traitement par les analogues de la GnRH que la population plus large d'</w:t>
      </w:r>
      <w:r>
        <w:t xml:space="preserve">enfants </w:t>
      </w:r>
      <w:r>
        <w:t xml:space="preserve">et d'adolescents atteints de </w:t>
      </w:r>
      <w:r>
        <w:t xml:space="preserve">dysphorie de </w:t>
      </w:r>
      <w:r>
        <w:t xml:space="preserve">genre </w:t>
      </w:r>
      <w:r>
        <w:t xml:space="preserve">? - </w:t>
      </w:r>
      <w:r>
        <w:t xml:space="preserve">résultats </w:t>
      </w:r>
      <w:r>
        <w:t xml:space="preserve">critiques</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136"/>
        <w:gridCol w:w="1133"/>
        <w:gridCol w:w="2271"/>
        <w:gridCol w:w="1434"/>
        <w:gridCol w:w="1258"/>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540" w:type="dxa"/>
            <w:gridSpan w:val="3"/>
            <w:shd w:val="clear" w:color="auto" w:fill="D9D9D9"/>
          </w:tcPr>
          <w:p>
            <w:pPr>
              <w:pStyle w:val="TableParagraph"/>
              <w:spacing w:before="1"/>
              <w:ind w:start="1472"/>
              <w:rPr>
                <w:b/>
                <w:sz w:val="16"/>
              </w:rPr>
            </w:pPr>
            <w:r>
              <w:rPr>
                <w:b/>
                <w:sz w:val="16"/>
              </w:rPr>
              <w:t xml:space="preserve">Résumé </w:t>
            </w:r>
            <w:r>
              <w:rPr>
                <w:b/>
                <w:sz w:val="16"/>
              </w:rPr>
              <w:t xml:space="preserve">des </w:t>
            </w:r>
            <w:r>
              <w:rPr>
                <w:b/>
                <w:sz w:val="16"/>
              </w:rPr>
              <w:t xml:space="preserve">conclusions</w:t>
            </w:r>
          </w:p>
        </w:tc>
        <w:tc>
          <w:tcPr>
            <w:tcW w:w="1434" w:type="dxa"/>
            <w:vMerge w:val="restart"/>
            <w:shd w:val="clear" w:color="auto" w:fill="D9D9D9"/>
          </w:tcPr>
          <w:p>
            <w:pPr>
              <w:pStyle w:val="TableParagraph"/>
              <w:spacing w:before="1"/>
              <w:ind w:start="175"/>
              <w:rPr>
                <w:b/>
                <w:sz w:val="16"/>
              </w:rPr>
            </w:pPr>
            <w:r>
              <w:rPr>
                <w:b/>
                <w:sz w:val="16"/>
              </w:rPr>
              <w:t xml:space="preserve">IMPORTANCE</w:t>
            </w:r>
          </w:p>
        </w:tc>
        <w:tc>
          <w:tcPr>
            <w:tcW w:w="1258" w:type="dxa"/>
            <w:vMerge w:val="restart"/>
            <w:shd w:val="clear" w:color="auto" w:fill="D9D9D9"/>
          </w:tcPr>
          <w:p>
            <w:pPr>
              <w:pStyle w:val="TableParagraph"/>
              <w:spacing w:before="1"/>
              <w:ind w:start="165"/>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269" w:type="dxa"/>
            <w:gridSpan w:val="2"/>
            <w:shd w:val="clear" w:color="auto" w:fill="D9D9D9"/>
          </w:tcPr>
          <w:p>
            <w:pPr>
              <w:pStyle w:val="TableParagraph"/>
              <w:spacing w:line="180" w:lineRule="atLeast"/>
              <w:ind w:start="551" w:end="399" w:hanging="125"/>
              <w:rPr>
                <w:b/>
                <w:sz w:val="16"/>
              </w:rPr>
            </w:pPr>
            <w:r>
              <w:rPr>
                <w:b/>
                <w:sz w:val="16"/>
              </w:rPr>
              <w:t xml:space="preserve">Nombre d'événements/Nombre de </w:t>
            </w:r>
            <w:r>
              <w:rPr>
                <w:b/>
                <w:sz w:val="16"/>
              </w:rPr>
              <w:t xml:space="preserve">patients </w:t>
            </w:r>
            <w:r>
              <w:rPr>
                <w:b/>
                <w:sz w:val="16"/>
              </w:rPr>
              <w:t xml:space="preserve">(n/N%)</w:t>
            </w:r>
          </w:p>
        </w:tc>
        <w:tc>
          <w:tcPr>
            <w:tcW w:w="2271" w:type="dxa"/>
            <w:shd w:val="clear" w:color="auto" w:fill="D9D9D9"/>
          </w:tcPr>
          <w:p>
            <w:pPr>
              <w:pStyle w:val="TableParagraph"/>
              <w:spacing w:before="1"/>
              <w:ind w:start="910"/>
              <w:rPr>
                <w:b/>
                <w:sz w:val="16"/>
              </w:rPr>
            </w:pPr>
            <w:r>
              <w:rPr>
                <w:b/>
                <w:sz w:val="16"/>
              </w:rPr>
              <w:t xml:space="preserve">Effet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734"/>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136" w:type="dxa"/>
            <w:shd w:val="clear" w:color="auto" w:fill="D9D9D9"/>
          </w:tcPr>
          <w:p>
            <w:pPr>
              <w:pStyle w:val="TableParagraph"/>
              <w:ind w:start="123" w:end="102" w:firstLine="297"/>
              <w:rPr>
                <w:b/>
                <w:sz w:val="16"/>
              </w:rPr>
            </w:pPr>
            <w:r>
              <w:rPr>
                <w:b/>
                <w:sz w:val="16"/>
              </w:rPr>
              <w:t xml:space="preserve">Sexe </w:t>
            </w:r>
            <w:r>
              <w:rPr>
                <w:b/>
                <w:sz w:val="16"/>
              </w:rPr>
              <w:t xml:space="preserve">assigné à la </w:t>
            </w:r>
            <w:r>
              <w:rPr>
                <w:b/>
                <w:sz w:val="16"/>
              </w:rPr>
              <w:t xml:space="preserve">naissance </w:t>
            </w:r>
            <w:r>
              <w:rPr>
                <w:b/>
                <w:sz w:val="16"/>
              </w:rPr>
              <w:t xml:space="preserve">: hommes</w:t>
            </w:r>
          </w:p>
        </w:tc>
        <w:tc>
          <w:tcPr>
            <w:tcW w:w="1133" w:type="dxa"/>
            <w:shd w:val="clear" w:color="auto" w:fill="D9D9D9"/>
          </w:tcPr>
          <w:p>
            <w:pPr>
              <w:pStyle w:val="TableParagraph"/>
              <w:ind w:start="123" w:end="113"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7" w:end="255" w:hanging="6"/>
              <w:jc w:val="center"/>
              <w:rPr>
                <w:b/>
                <w:sz w:val="16"/>
              </w:rPr>
            </w:pPr>
            <w:r>
              <w:rPr>
                <w:b/>
                <w:sz w:val="16"/>
              </w:rPr>
              <w:t xml:space="preserve">femelles de </w:t>
            </w:r>
            <w:r>
              <w:rPr>
                <w:b/>
                <w:sz w:val="16"/>
              </w:rPr>
              <w:t xml:space="preserve">naissance</w:t>
            </w:r>
          </w:p>
        </w:tc>
        <w:tc>
          <w:tcPr>
            <w:tcW w:w="2271" w:type="dxa"/>
            <w:shd w:val="clear" w:color="auto" w:fill="D9D9D9"/>
          </w:tcPr>
          <w:p>
            <w:pPr>
              <w:pStyle w:val="TableParagraph"/>
              <w:spacing w:line="183" w:lineRule="exact"/>
              <w:ind w:start="888"/>
              <w:rPr>
                <w:b/>
                <w:sz w:val="16"/>
              </w:rPr>
            </w:pPr>
            <w:r>
              <w:rPr>
                <w:b/>
                <w:sz w:val="16"/>
              </w:rPr>
              <w:t xml:space="preserve">Résultat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465"/>
        </w:trPr>
        <w:tc>
          <w:tcPr>
            <w:tcW w:w="14177" w:type="dxa"/>
            <w:gridSpan w:val="10"/>
            <w:shd w:val="clear" w:color="auto" w:fill="8DB3E1"/>
          </w:tcPr>
          <w:p>
            <w:pPr>
              <w:pStyle w:val="TableParagraph"/>
              <w:spacing w:before="2"/>
              <w:ind w:start="107"/>
              <w:rPr>
                <w:b/>
                <w:i/>
                <w:sz w:val="20"/>
              </w:rPr>
            </w:pPr>
            <w:r>
              <w:rPr>
                <w:b/>
                <w:i/>
                <w:sz w:val="20"/>
              </w:rPr>
              <w:t xml:space="preserve">Sous-groupes : </w:t>
            </w:r>
            <w:r>
              <w:rPr>
                <w:b/>
                <w:i/>
                <w:sz w:val="20"/>
              </w:rPr>
              <w:t xml:space="preserve">sexe </w:t>
            </w:r>
            <w:r>
              <w:rPr>
                <w:b/>
                <w:i/>
                <w:sz w:val="20"/>
              </w:rPr>
              <w:t xml:space="preserve">assigné à </w:t>
            </w:r>
            <w:r>
              <w:rPr>
                <w:b/>
                <w:i/>
                <w:sz w:val="20"/>
              </w:rPr>
              <w:t xml:space="preserve">la </w:t>
            </w:r>
            <w:r>
              <w:rPr>
                <w:b/>
                <w:i/>
                <w:sz w:val="20"/>
              </w:rPr>
              <w:t xml:space="preserve">naissance pour </w:t>
            </w:r>
            <w:r>
              <w:rPr>
                <w:b/>
                <w:i/>
                <w:sz w:val="20"/>
              </w:rPr>
              <w:t xml:space="preserve">les hommes </w:t>
            </w:r>
            <w:r>
              <w:rPr>
                <w:b/>
                <w:i/>
                <w:sz w:val="20"/>
              </w:rPr>
              <w:t xml:space="preserve">par rapport au </w:t>
            </w:r>
            <w:r>
              <w:rPr>
                <w:b/>
                <w:i/>
                <w:sz w:val="20"/>
              </w:rPr>
              <w:t xml:space="preserve">sexe </w:t>
            </w:r>
            <w:r>
              <w:rPr>
                <w:b/>
                <w:i/>
                <w:sz w:val="20"/>
              </w:rPr>
              <w:t xml:space="preserve">assigné à </w:t>
            </w:r>
            <w:r>
              <w:rPr>
                <w:b/>
                <w:i/>
                <w:sz w:val="20"/>
              </w:rPr>
              <w:t xml:space="preserve">la </w:t>
            </w:r>
            <w:r>
              <w:rPr>
                <w:b/>
                <w:i/>
                <w:sz w:val="20"/>
              </w:rPr>
              <w:t xml:space="preserve">naissance pour </w:t>
            </w:r>
            <w:r>
              <w:rPr>
                <w:b/>
                <w:i/>
                <w:sz w:val="20"/>
              </w:rPr>
              <w:t xml:space="preserve">les femmes.</w:t>
            </w:r>
          </w:p>
        </w:tc>
      </w:tr>
      <w:tr w:rsidR="00432386">
        <w:trPr>
          <w:trHeight w:val="465"/>
        </w:trPr>
        <w:tc>
          <w:tcPr>
            <w:tcW w:w="14177" w:type="dxa"/>
            <w:gridSpan w:val="10"/>
            <w:shd w:val="clear" w:color="auto" w:fill="8DB3E1"/>
          </w:tcPr>
          <w:p>
            <w:pPr>
              <w:pStyle w:val="TableParagraph"/>
              <w:spacing w:line="229" w:lineRule="exact"/>
              <w:ind w:start="107"/>
              <w:rPr>
                <w:b/>
                <w:i/>
                <w:sz w:val="20"/>
              </w:rPr>
            </w:pPr>
            <w:r>
              <w:rPr>
                <w:b/>
                <w:i/>
                <w:sz w:val="20"/>
              </w:rPr>
              <w:t xml:space="preserve">Impact </w:t>
            </w:r>
            <w:r>
              <w:rPr>
                <w:b/>
                <w:i/>
                <w:sz w:val="20"/>
              </w:rPr>
              <w:t xml:space="preserve">sur la </w:t>
            </w:r>
            <w:r>
              <w:rPr>
                <w:b/>
                <w:i/>
                <w:sz w:val="20"/>
              </w:rPr>
              <w:t xml:space="preserve">dysphorie de </w:t>
            </w:r>
            <w:r>
              <w:rPr>
                <w:b/>
                <w:i/>
                <w:sz w:val="20"/>
              </w:rPr>
              <w:t xml:space="preserve">genre</w:t>
            </w:r>
          </w:p>
        </w:tc>
      </w:tr>
      <w:tr w:rsidR="00432386">
        <w:trPr>
          <w:trHeight w:val="729"/>
        </w:trPr>
        <w:tc>
          <w:tcPr>
            <w:tcW w:w="14177" w:type="dxa"/>
            <w:gridSpan w:val="10"/>
            <w:shd w:val="clear" w:color="auto" w:fill="C5D9F0"/>
          </w:tcPr>
          <w:p>
            <w:pPr>
              <w:pStyle w:val="TableParagraph"/>
              <w:spacing w:line="276" w:lineRule="auto"/>
              <w:ind w:start="107" w:end="183"/>
              <w:rPr>
                <w:b/>
                <w:i/>
                <w:sz w:val="20"/>
              </w:rPr>
            </w:pPr>
            <w:r>
              <w:rPr>
                <w:b/>
                <w:i/>
                <w:sz w:val="20"/>
              </w:rPr>
              <w:t xml:space="preserve">Moyenne [±SD] de l'échelle de dysphorie de genre d'Utrecht (version(s) non indiquée(s)), point temporel au départ (avant GnRHa) par rapport au suivi (juste avant les </w:t>
            </w:r>
            <w:r>
              <w:rPr>
                <w:b/>
                <w:i/>
                <w:sz w:val="20"/>
              </w:rPr>
              <w:t xml:space="preserve">hormones d'affirmation du </w:t>
            </w:r>
            <w:r>
              <w:rPr>
                <w:b/>
                <w:i/>
                <w:sz w:val="20"/>
              </w:rPr>
              <w:t xml:space="preserve">genre</w:t>
            </w:r>
            <w:r>
              <w:rPr>
                <w:b/>
                <w:i/>
                <w:sz w:val="20"/>
              </w:rPr>
              <w:t xml:space="preserve">).</w:t>
            </w:r>
          </w:p>
        </w:tc>
      </w:tr>
      <w:tr w:rsidR="00432386">
        <w:trPr>
          <w:trHeight w:val="1449"/>
        </w:trPr>
        <w:tc>
          <w:tcPr>
            <w:tcW w:w="1594" w:type="dxa"/>
          </w:tcPr>
          <w:p w:rsidR="00432386" w:rsidRDefault="00432386">
            <w:pPr>
              <w:pStyle w:val="TableParagraph"/>
              <w:rPr>
                <w:b/>
                <w:sz w:val="20"/>
              </w:rPr>
            </w:pPr>
          </w:p>
          <w:p w:rsidR="00432386" w:rsidRDefault="00432386">
            <w:pPr>
              <w:pStyle w:val="TableParagraph"/>
              <w:spacing w:before="9"/>
              <w:rPr>
                <w:b/>
                <w:sz w:val="15"/>
              </w:rPr>
            </w:pPr>
          </w:p>
          <w:p>
            <w:pPr>
              <w:pStyle w:val="TableParagraph"/>
              <w:spacing w:before="1"/>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3" w:end="82"/>
              <w:jc w:val="center"/>
              <w:rPr>
                <w:sz w:val="12"/>
              </w:rPr>
            </w:pPr>
            <w:r>
              <w:rPr>
                <w:sz w:val="18"/>
              </w:rPr>
              <w:t xml:space="preserve">n-NR2</w:t>
            </w:r>
          </w:p>
          <w:p>
            <w:pPr>
              <w:pStyle w:val="TableParagraph"/>
              <w:ind w:start="87" w:end="82"/>
              <w:jc w:val="center"/>
              <w:rPr>
                <w:sz w:val="18"/>
              </w:rPr>
            </w:pPr>
            <w:r>
              <w:rPr>
                <w:sz w:val="18"/>
              </w:rPr>
              <w:t xml:space="preserve">score à T0 </w:t>
            </w:r>
            <w:r>
              <w:rPr>
                <w:sz w:val="18"/>
              </w:rPr>
              <w:t xml:space="preserve">47,95</w:t>
            </w:r>
          </w:p>
          <w:p>
            <w:pPr>
              <w:pStyle w:val="TableParagraph"/>
              <w:spacing w:before="1" w:line="207" w:lineRule="exact"/>
              <w:ind w:start="86" w:end="82"/>
              <w:jc w:val="center"/>
              <w:rPr>
                <w:sz w:val="18"/>
              </w:rPr>
            </w:pPr>
            <w:r>
              <w:rPr>
                <w:sz w:val="18"/>
              </w:rPr>
              <w:t xml:space="preserve">[±9.70]</w:t>
            </w:r>
          </w:p>
          <w:p>
            <w:pPr>
              <w:pStyle w:val="TableParagraph"/>
              <w:ind w:start="87" w:end="82"/>
              <w:jc w:val="center"/>
              <w:rPr>
                <w:sz w:val="18"/>
              </w:rPr>
            </w:pPr>
            <w:r>
              <w:rPr>
                <w:sz w:val="18"/>
              </w:rPr>
              <w:t xml:space="preserve">score à T1 </w:t>
            </w:r>
            <w:r>
              <w:rPr>
                <w:sz w:val="18"/>
              </w:rPr>
              <w:t xml:space="preserve">49,67</w:t>
            </w:r>
          </w:p>
          <w:p>
            <w:pPr>
              <w:pStyle w:val="TableParagraph"/>
              <w:spacing w:line="188" w:lineRule="exact"/>
              <w:ind w:start="86" w:end="82"/>
              <w:jc w:val="center"/>
              <w:rPr>
                <w:sz w:val="18"/>
              </w:rPr>
            </w:pPr>
            <w:r>
              <w:rPr>
                <w:sz w:val="18"/>
              </w:rPr>
              <w:t xml:space="preserve">[±9.47]</w:t>
            </w:r>
          </w:p>
        </w:tc>
        <w:tc>
          <w:tcPr>
            <w:tcW w:w="1133" w:type="dxa"/>
          </w:tcPr>
          <w:p>
            <w:pPr>
              <w:pStyle w:val="TableParagraph"/>
              <w:spacing w:line="206" w:lineRule="exact"/>
              <w:ind w:start="87" w:end="83"/>
              <w:jc w:val="center"/>
              <w:rPr>
                <w:sz w:val="12"/>
              </w:rPr>
            </w:pPr>
            <w:r>
              <w:rPr>
                <w:sz w:val="18"/>
              </w:rPr>
              <w:t xml:space="preserve">n-NR2</w:t>
            </w:r>
          </w:p>
          <w:p>
            <w:pPr>
              <w:pStyle w:val="TableParagraph"/>
              <w:ind w:start="90" w:end="83"/>
              <w:jc w:val="center"/>
              <w:rPr>
                <w:sz w:val="18"/>
              </w:rPr>
            </w:pPr>
            <w:r>
              <w:rPr>
                <w:sz w:val="18"/>
              </w:rPr>
              <w:t xml:space="preserve">score à T0 </w:t>
            </w:r>
            <w:r>
              <w:rPr>
                <w:sz w:val="18"/>
              </w:rPr>
              <w:t xml:space="preserve">56,57</w:t>
            </w:r>
          </w:p>
          <w:p>
            <w:pPr>
              <w:pStyle w:val="TableParagraph"/>
              <w:spacing w:before="1" w:line="207" w:lineRule="exact"/>
              <w:ind w:start="89" w:end="83"/>
              <w:jc w:val="center"/>
              <w:rPr>
                <w:sz w:val="18"/>
              </w:rPr>
            </w:pPr>
            <w:r>
              <w:rPr>
                <w:sz w:val="18"/>
              </w:rPr>
              <w:t xml:space="preserve">[±3.89]</w:t>
            </w:r>
          </w:p>
          <w:p>
            <w:pPr>
              <w:pStyle w:val="TableParagraph"/>
              <w:ind w:start="90" w:end="83"/>
              <w:jc w:val="center"/>
              <w:rPr>
                <w:sz w:val="18"/>
              </w:rPr>
            </w:pPr>
            <w:r>
              <w:rPr>
                <w:sz w:val="18"/>
              </w:rPr>
              <w:t xml:space="preserve">score à T1 </w:t>
            </w:r>
            <w:r>
              <w:rPr>
                <w:sz w:val="18"/>
              </w:rPr>
              <w:t xml:space="preserve">56.62</w:t>
            </w:r>
          </w:p>
          <w:p>
            <w:pPr>
              <w:pStyle w:val="TableParagraph"/>
              <w:spacing w:line="188" w:lineRule="exact"/>
              <w:ind w:start="89" w:end="83"/>
              <w:jc w:val="center"/>
              <w:rPr>
                <w:sz w:val="18"/>
              </w:rPr>
            </w:pPr>
            <w:r>
              <w:rPr>
                <w:sz w:val="18"/>
              </w:rPr>
              <w:t xml:space="preserve">[±4.0]</w:t>
            </w:r>
          </w:p>
        </w:tc>
        <w:tc>
          <w:tcPr>
            <w:tcW w:w="2271" w:type="dxa"/>
          </w:tcPr>
          <w:p>
            <w:pPr>
              <w:pStyle w:val="TableParagraph"/>
              <w:spacing w:line="276" w:lineRule="auto"/>
              <w:ind w:start="538" w:end="210" w:hanging="308"/>
              <w:rPr>
                <w:sz w:val="18"/>
              </w:rPr>
            </w:pPr>
            <w:r>
              <w:rPr>
                <w:i/>
                <w:sz w:val="18"/>
              </w:rPr>
              <w:t xml:space="preserve">F-ratio </w:t>
            </w:r>
            <w:r>
              <w:rPr>
                <w:sz w:val="18"/>
              </w:rPr>
              <w:t xml:space="preserve">15.98 (</w:t>
            </w:r>
            <w:r>
              <w:rPr>
                <w:i/>
                <w:sz w:val="18"/>
              </w:rPr>
              <w:t xml:space="preserve">df, errdf </w:t>
            </w:r>
            <w:r>
              <w:rPr>
                <w:sz w:val="18"/>
              </w:rPr>
              <w:t xml:space="preserve">: </w:t>
            </w:r>
            <w:r>
              <w:rPr>
                <w:sz w:val="18"/>
              </w:rPr>
              <w:t xml:space="preserve">1,39), </w:t>
            </w:r>
            <w:r>
              <w:rPr>
                <w:i/>
                <w:sz w:val="18"/>
              </w:rPr>
              <w:t xml:space="preserve">P&lt; 0.</w:t>
            </w:r>
            <w:r>
              <w:rPr>
                <w:sz w:val="18"/>
              </w:rPr>
              <w:t xml:space="preserve">001</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r w:rsidR="00432386">
        <w:trPr>
          <w:trHeight w:val="462"/>
        </w:trPr>
        <w:tc>
          <w:tcPr>
            <w:tcW w:w="14177" w:type="dxa"/>
            <w:gridSpan w:val="10"/>
            <w:shd w:val="clear" w:color="auto" w:fill="8DB3E1"/>
          </w:tcPr>
          <w:p>
            <w:pPr>
              <w:pStyle w:val="TableParagraph"/>
              <w:spacing w:line="229" w:lineRule="exact"/>
              <w:ind w:start="107"/>
              <w:rPr>
                <w:b/>
                <w:i/>
                <w:sz w:val="20"/>
              </w:rPr>
            </w:pPr>
            <w:r>
              <w:rPr>
                <w:b/>
                <w:i/>
                <w:sz w:val="20"/>
              </w:rPr>
              <w:t xml:space="preserve">Impact </w:t>
            </w:r>
            <w:r>
              <w:rPr>
                <w:b/>
                <w:i/>
                <w:sz w:val="20"/>
              </w:rPr>
              <w:t xml:space="preserve">sur la </w:t>
            </w:r>
            <w:r>
              <w:rPr>
                <w:b/>
                <w:i/>
                <w:sz w:val="20"/>
              </w:rPr>
              <w:t xml:space="preserve">santé </w:t>
            </w:r>
            <w:r>
              <w:rPr>
                <w:b/>
                <w:i/>
                <w:sz w:val="20"/>
              </w:rPr>
              <w:t xml:space="preserve">mentale</w:t>
            </w:r>
          </w:p>
        </w:tc>
      </w:tr>
      <w:tr w:rsidR="00432386">
        <w:trPr>
          <w:trHeight w:val="729"/>
        </w:trPr>
        <w:tc>
          <w:tcPr>
            <w:tcW w:w="14177" w:type="dxa"/>
            <w:gridSpan w:val="10"/>
            <w:shd w:val="clear" w:color="auto" w:fill="C5D9F0"/>
          </w:tcPr>
          <w:p>
            <w:pPr>
              <w:pStyle w:val="TableParagraph"/>
              <w:spacing w:line="278" w:lineRule="auto"/>
              <w:ind w:start="107"/>
              <w:rPr>
                <w:b/>
                <w:i/>
                <w:sz w:val="20"/>
              </w:rPr>
            </w:pPr>
            <w:r>
              <w:rPr>
                <w:b/>
                <w:i/>
                <w:sz w:val="20"/>
              </w:rPr>
              <w:t xml:space="preserve">Moyenne </w:t>
            </w:r>
            <w:r>
              <w:rPr>
                <w:b/>
                <w:i/>
                <w:sz w:val="20"/>
              </w:rPr>
              <w:t xml:space="preserve">[±SD] de l</w:t>
            </w:r>
            <w:r>
              <w:rPr>
                <w:b/>
                <w:i/>
                <w:sz w:val="20"/>
              </w:rPr>
              <w:t xml:space="preserve">'inventaire de </w:t>
            </w:r>
            <w:r>
              <w:rPr>
                <w:b/>
                <w:i/>
                <w:sz w:val="20"/>
              </w:rPr>
              <w:t xml:space="preserve">dépression </w:t>
            </w:r>
            <w:r>
              <w:rPr>
                <w:b/>
                <w:i/>
                <w:sz w:val="20"/>
              </w:rPr>
              <w:t xml:space="preserve">de Beck-II, </w:t>
            </w:r>
            <w:r>
              <w:rPr>
                <w:b/>
                <w:i/>
                <w:sz w:val="20"/>
              </w:rPr>
              <w:t xml:space="preserve">point de </w:t>
            </w:r>
            <w:r>
              <w:rPr>
                <w:b/>
                <w:i/>
                <w:sz w:val="20"/>
              </w:rPr>
              <w:t xml:space="preserve">temps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bl>
    <w:p w:rsidR="00432386" w:rsidRDefault="00432386">
      <w:pPr>
        <w:spacing w:line="278" w:lineRule="auto"/>
        <w:rPr>
          <w:sz w:val="20"/>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4"/>
        <w:gridCol w:w="1097"/>
        <w:gridCol w:w="1440"/>
        <w:gridCol w:w="1537"/>
        <w:gridCol w:w="1277"/>
        <w:gridCol w:w="1136"/>
        <w:gridCol w:w="1133"/>
        <w:gridCol w:w="2271"/>
        <w:gridCol w:w="1434"/>
        <w:gridCol w:w="1258"/>
      </w:tblGrid>
      <w:tr w:rsidR="00432386">
        <w:trPr>
          <w:trHeight w:val="299"/>
        </w:trPr>
        <w:tc>
          <w:tcPr>
            <w:tcW w:w="6945" w:type="dxa"/>
            <w:gridSpan w:val="5"/>
            <w:vMerge w:val="restart"/>
            <w:shd w:val="clear" w:color="auto" w:fill="D9D9D9"/>
          </w:tcPr>
          <w:p>
            <w:pPr>
              <w:pStyle w:val="TableParagraph"/>
              <w:spacing w:before="1"/>
              <w:ind w:start="3101" w:end="3091"/>
              <w:jc w:val="center"/>
              <w:rPr>
                <w:b/>
                <w:sz w:val="16"/>
              </w:rPr>
            </w:pPr>
            <w:r>
              <w:rPr>
                <w:b/>
                <w:sz w:val="16"/>
              </w:rPr>
              <w:t xml:space="preserve">QUALITÉ</w:t>
            </w:r>
          </w:p>
        </w:tc>
        <w:tc>
          <w:tcPr>
            <w:tcW w:w="4540" w:type="dxa"/>
            <w:gridSpan w:val="3"/>
            <w:shd w:val="clear" w:color="auto" w:fill="D9D9D9"/>
          </w:tcPr>
          <w:p>
            <w:pPr>
              <w:pStyle w:val="TableParagraph"/>
              <w:spacing w:before="1"/>
              <w:ind w:start="1472"/>
              <w:rPr>
                <w:b/>
                <w:sz w:val="16"/>
              </w:rPr>
            </w:pPr>
            <w:r>
              <w:rPr>
                <w:b/>
                <w:sz w:val="16"/>
              </w:rPr>
              <w:t xml:space="preserve">Résumé </w:t>
            </w:r>
            <w:r>
              <w:rPr>
                <w:b/>
                <w:sz w:val="16"/>
              </w:rPr>
              <w:t xml:space="preserve">des </w:t>
            </w:r>
            <w:r>
              <w:rPr>
                <w:b/>
                <w:sz w:val="16"/>
              </w:rPr>
              <w:t xml:space="preserve">conclusions</w:t>
            </w:r>
          </w:p>
        </w:tc>
        <w:tc>
          <w:tcPr>
            <w:tcW w:w="1434" w:type="dxa"/>
            <w:vMerge w:val="restart"/>
            <w:shd w:val="clear" w:color="auto" w:fill="D9D9D9"/>
          </w:tcPr>
          <w:p>
            <w:pPr>
              <w:pStyle w:val="TableParagraph"/>
              <w:spacing w:before="1"/>
              <w:ind w:start="175"/>
              <w:rPr>
                <w:b/>
                <w:sz w:val="16"/>
              </w:rPr>
            </w:pPr>
            <w:r>
              <w:rPr>
                <w:b/>
                <w:sz w:val="16"/>
              </w:rPr>
              <w:t xml:space="preserve">IMPORTANCE</w:t>
            </w:r>
          </w:p>
        </w:tc>
        <w:tc>
          <w:tcPr>
            <w:tcW w:w="1258" w:type="dxa"/>
            <w:vMerge w:val="restart"/>
            <w:shd w:val="clear" w:color="auto" w:fill="D9D9D9"/>
          </w:tcPr>
          <w:p>
            <w:pPr>
              <w:pStyle w:val="TableParagraph"/>
              <w:spacing w:before="1"/>
              <w:ind w:start="165"/>
              <w:rPr>
                <w:b/>
                <w:sz w:val="16"/>
              </w:rPr>
            </w:pPr>
            <w:r>
              <w:rPr>
                <w:b/>
                <w:sz w:val="16"/>
              </w:rPr>
              <w:t xml:space="preserve">CERTIFICAT</w:t>
            </w:r>
          </w:p>
        </w:tc>
      </w:tr>
      <w:tr w:rsidR="00432386">
        <w:trPr>
          <w:trHeight w:val="369"/>
        </w:trPr>
        <w:tc>
          <w:tcPr>
            <w:tcW w:w="6945" w:type="dxa"/>
            <w:gridSpan w:val="5"/>
            <w:vMerge/>
            <w:tcBorders>
              <w:top w:val="nil"/>
            </w:tcBorders>
            <w:shd w:val="clear" w:color="auto" w:fill="D9D9D9"/>
          </w:tcPr>
          <w:p w:rsidR="00432386" w:rsidRDefault="00432386">
            <w:pPr>
              <w:rPr>
                <w:sz w:val="2"/>
                <w:szCs w:val="2"/>
              </w:rPr>
            </w:pPr>
          </w:p>
        </w:tc>
        <w:tc>
          <w:tcPr>
            <w:tcW w:w="2269" w:type="dxa"/>
            <w:gridSpan w:val="2"/>
            <w:shd w:val="clear" w:color="auto" w:fill="D9D9D9"/>
          </w:tcPr>
          <w:p>
            <w:pPr>
              <w:pStyle w:val="TableParagraph"/>
              <w:spacing w:line="180" w:lineRule="atLeast"/>
              <w:ind w:start="551" w:end="399" w:hanging="125"/>
              <w:rPr>
                <w:b/>
                <w:sz w:val="16"/>
              </w:rPr>
            </w:pPr>
            <w:r>
              <w:rPr>
                <w:b/>
                <w:sz w:val="16"/>
              </w:rPr>
              <w:t xml:space="preserve">Nombre d'événements/Nombre de </w:t>
            </w:r>
            <w:r>
              <w:rPr>
                <w:b/>
                <w:sz w:val="16"/>
              </w:rPr>
              <w:t xml:space="preserve">patients </w:t>
            </w:r>
            <w:r>
              <w:rPr>
                <w:b/>
                <w:sz w:val="16"/>
              </w:rPr>
              <w:t xml:space="preserve">(n/N%)</w:t>
            </w:r>
          </w:p>
        </w:tc>
        <w:tc>
          <w:tcPr>
            <w:tcW w:w="2271" w:type="dxa"/>
            <w:shd w:val="clear" w:color="auto" w:fill="D9D9D9"/>
          </w:tcPr>
          <w:p>
            <w:pPr>
              <w:pStyle w:val="TableParagraph"/>
              <w:spacing w:before="1"/>
              <w:ind w:start="910"/>
              <w:rPr>
                <w:b/>
                <w:sz w:val="16"/>
              </w:rPr>
            </w:pPr>
            <w:r>
              <w:rPr>
                <w:b/>
                <w:sz w:val="16"/>
              </w:rPr>
              <w:t xml:space="preserve">Effet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733"/>
        </w:trPr>
        <w:tc>
          <w:tcPr>
            <w:tcW w:w="1594" w:type="dxa"/>
            <w:shd w:val="clear" w:color="auto" w:fill="D9D9D9"/>
          </w:tcPr>
          <w:p>
            <w:pPr>
              <w:pStyle w:val="TableParagraph"/>
              <w:spacing w:line="183" w:lineRule="exact"/>
              <w:ind w:start="229" w:end="219"/>
              <w:jc w:val="center"/>
              <w:rPr>
                <w:b/>
                <w:sz w:val="16"/>
              </w:rPr>
            </w:pPr>
            <w:r>
              <w:rPr>
                <w:b/>
                <w:sz w:val="16"/>
              </w:rPr>
              <w:t xml:space="preserve">Étude</w:t>
            </w:r>
          </w:p>
        </w:tc>
        <w:tc>
          <w:tcPr>
            <w:tcW w:w="1097" w:type="dxa"/>
            <w:shd w:val="clear" w:color="auto" w:fill="D9D9D9"/>
          </w:tcPr>
          <w:p>
            <w:pPr>
              <w:pStyle w:val="TableParagraph"/>
              <w:ind w:start="388" w:end="253" w:hanging="108"/>
              <w:rPr>
                <w:b/>
                <w:sz w:val="16"/>
              </w:rPr>
            </w:pPr>
            <w:r>
              <w:rPr>
                <w:b/>
                <w:sz w:val="16"/>
              </w:rPr>
              <w:t xml:space="preserve">Risque de </w:t>
            </w:r>
            <w:r>
              <w:rPr>
                <w:b/>
                <w:sz w:val="16"/>
              </w:rPr>
              <w:t xml:space="preserve">partialité</w:t>
            </w:r>
          </w:p>
        </w:tc>
        <w:tc>
          <w:tcPr>
            <w:tcW w:w="1440" w:type="dxa"/>
            <w:shd w:val="clear" w:color="auto" w:fill="D9D9D9"/>
          </w:tcPr>
          <w:p>
            <w:pPr>
              <w:pStyle w:val="TableParagraph"/>
              <w:spacing w:line="183" w:lineRule="exact"/>
              <w:ind w:start="246"/>
              <w:rPr>
                <w:b/>
                <w:sz w:val="16"/>
              </w:rPr>
            </w:pPr>
            <w:r>
              <w:rPr>
                <w:b/>
                <w:sz w:val="16"/>
              </w:rPr>
              <w:t xml:space="preserve">Indirectness</w:t>
            </w:r>
          </w:p>
        </w:tc>
        <w:tc>
          <w:tcPr>
            <w:tcW w:w="1537" w:type="dxa"/>
            <w:shd w:val="clear" w:color="auto" w:fill="D9D9D9"/>
          </w:tcPr>
          <w:p>
            <w:pPr>
              <w:pStyle w:val="TableParagraph"/>
              <w:spacing w:line="183" w:lineRule="exact"/>
              <w:ind w:start="233"/>
              <w:rPr>
                <w:b/>
                <w:sz w:val="16"/>
              </w:rPr>
            </w:pPr>
            <w:r>
              <w:rPr>
                <w:b/>
                <w:sz w:val="16"/>
              </w:rPr>
              <w:t xml:space="preserve">Incohérence</w:t>
            </w:r>
          </w:p>
        </w:tc>
        <w:tc>
          <w:tcPr>
            <w:tcW w:w="1277" w:type="dxa"/>
            <w:shd w:val="clear" w:color="auto" w:fill="D9D9D9"/>
          </w:tcPr>
          <w:p>
            <w:pPr>
              <w:pStyle w:val="TableParagraph"/>
              <w:spacing w:line="183" w:lineRule="exact"/>
              <w:ind w:start="188"/>
              <w:rPr>
                <w:b/>
                <w:sz w:val="16"/>
              </w:rPr>
            </w:pPr>
            <w:r>
              <w:rPr>
                <w:b/>
                <w:sz w:val="16"/>
              </w:rPr>
              <w:t xml:space="preserve">Imprécision</w:t>
            </w:r>
          </w:p>
        </w:tc>
        <w:tc>
          <w:tcPr>
            <w:tcW w:w="1136" w:type="dxa"/>
            <w:shd w:val="clear" w:color="auto" w:fill="D9D9D9"/>
          </w:tcPr>
          <w:p>
            <w:pPr>
              <w:pStyle w:val="TableParagraph"/>
              <w:ind w:start="123" w:end="102" w:firstLine="297"/>
              <w:rPr>
                <w:b/>
                <w:sz w:val="16"/>
              </w:rPr>
            </w:pPr>
            <w:r>
              <w:rPr>
                <w:b/>
                <w:sz w:val="16"/>
              </w:rPr>
              <w:t xml:space="preserve">Sexe </w:t>
            </w:r>
            <w:r>
              <w:rPr>
                <w:b/>
                <w:sz w:val="16"/>
              </w:rPr>
              <w:t xml:space="preserve">assigné à la </w:t>
            </w:r>
            <w:r>
              <w:rPr>
                <w:b/>
                <w:sz w:val="16"/>
              </w:rPr>
              <w:t xml:space="preserve">naissance </w:t>
            </w:r>
            <w:r>
              <w:rPr>
                <w:b/>
                <w:sz w:val="16"/>
              </w:rPr>
              <w:t xml:space="preserve">: hommes</w:t>
            </w:r>
          </w:p>
        </w:tc>
        <w:tc>
          <w:tcPr>
            <w:tcW w:w="1133" w:type="dxa"/>
            <w:shd w:val="clear" w:color="auto" w:fill="D9D9D9"/>
          </w:tcPr>
          <w:p>
            <w:pPr>
              <w:pStyle w:val="TableParagraph"/>
              <w:ind w:start="123" w:end="113"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7" w:end="255" w:hanging="6"/>
              <w:jc w:val="center"/>
              <w:rPr>
                <w:b/>
                <w:sz w:val="16"/>
              </w:rPr>
            </w:pPr>
            <w:r>
              <w:rPr>
                <w:b/>
                <w:sz w:val="16"/>
              </w:rPr>
              <w:t xml:space="preserve">femelles de </w:t>
            </w:r>
            <w:r>
              <w:rPr>
                <w:b/>
                <w:sz w:val="16"/>
              </w:rPr>
              <w:t xml:space="preserve">naissance</w:t>
            </w:r>
          </w:p>
        </w:tc>
        <w:tc>
          <w:tcPr>
            <w:tcW w:w="2271" w:type="dxa"/>
            <w:shd w:val="clear" w:color="auto" w:fill="D9D9D9"/>
          </w:tcPr>
          <w:p>
            <w:pPr>
              <w:pStyle w:val="TableParagraph"/>
              <w:spacing w:line="183" w:lineRule="exact"/>
              <w:ind w:start="888"/>
              <w:rPr>
                <w:b/>
                <w:sz w:val="16"/>
              </w:rPr>
            </w:pPr>
            <w:r>
              <w:rPr>
                <w:b/>
                <w:sz w:val="16"/>
              </w:rPr>
              <w:t xml:space="preserve">Résultat</w:t>
            </w:r>
          </w:p>
        </w:tc>
        <w:tc>
          <w:tcPr>
            <w:tcW w:w="1434" w:type="dxa"/>
            <w:vMerge/>
            <w:tcBorders>
              <w:top w:val="nil"/>
            </w:tcBorders>
            <w:shd w:val="clear" w:color="auto" w:fill="D9D9D9"/>
          </w:tcPr>
          <w:p w:rsidR="00432386" w:rsidRDefault="00432386">
            <w:pPr>
              <w:rPr>
                <w:sz w:val="2"/>
                <w:szCs w:val="2"/>
              </w:rPr>
            </w:pPr>
          </w:p>
        </w:tc>
        <w:tc>
          <w:tcPr>
            <w:tcW w:w="1258" w:type="dxa"/>
            <w:vMerge/>
            <w:tcBorders>
              <w:top w:val="nil"/>
            </w:tcBorders>
            <w:shd w:val="clear" w:color="auto" w:fill="D9D9D9"/>
          </w:tcPr>
          <w:p w:rsidR="00432386" w:rsidRDefault="00432386">
            <w:pPr>
              <w:rPr>
                <w:sz w:val="2"/>
                <w:szCs w:val="2"/>
              </w:rPr>
            </w:pPr>
          </w:p>
        </w:tc>
      </w:tr>
      <w:tr w:rsidR="00432386">
        <w:trPr>
          <w:trHeight w:val="1449"/>
        </w:trPr>
        <w:tc>
          <w:tcPr>
            <w:tcW w:w="1594" w:type="dxa"/>
          </w:tcPr>
          <w:p w:rsidR="00432386" w:rsidRDefault="00432386">
            <w:pPr>
              <w:pStyle w:val="TableParagraph"/>
              <w:rPr>
                <w:b/>
                <w:sz w:val="20"/>
              </w:rPr>
            </w:pPr>
          </w:p>
          <w:p w:rsidR="00432386" w:rsidRDefault="00432386">
            <w:pPr>
              <w:pStyle w:val="TableParagraph"/>
              <w:rPr>
                <w:b/>
                <w:sz w:val="16"/>
              </w:rPr>
            </w:pPr>
          </w:p>
          <w:p>
            <w:pPr>
              <w:pStyle w:val="TableParagraph"/>
              <w:ind w:start="229"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4"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before="1"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3"/>
              <w:ind w:start="197"/>
              <w:rPr>
                <w:sz w:val="18"/>
              </w:rPr>
            </w:pPr>
            <w:r>
              <w:rPr>
                <w:sz w:val="18"/>
              </w:rPr>
              <w:t xml:space="preserve">Non </w:t>
            </w:r>
            <w:r>
              <w:rPr>
                <w:sz w:val="18"/>
              </w:rPr>
              <w:t xml:space="preserve">applicable</w:t>
            </w:r>
          </w:p>
        </w:tc>
        <w:tc>
          <w:tcPr>
            <w:tcW w:w="1277" w:type="dxa"/>
          </w:tcPr>
          <w:p>
            <w:pPr>
              <w:pStyle w:val="TableParagraph"/>
              <w:spacing w:before="1"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8" w:lineRule="exact"/>
              <w:ind w:start="83" w:end="82"/>
              <w:jc w:val="center"/>
              <w:rPr>
                <w:sz w:val="12"/>
              </w:rPr>
            </w:pPr>
            <w:r>
              <w:rPr>
                <w:sz w:val="18"/>
              </w:rPr>
              <w:t xml:space="preserve">n-NR2</w:t>
            </w:r>
          </w:p>
          <w:p>
            <w:pPr>
              <w:pStyle w:val="TableParagraph"/>
              <w:ind w:start="87" w:end="82"/>
              <w:jc w:val="center"/>
              <w:rPr>
                <w:sz w:val="18"/>
              </w:rPr>
            </w:pPr>
            <w:r>
              <w:rPr>
                <w:sz w:val="18"/>
              </w:rPr>
              <w:t xml:space="preserve">score à T0 </w:t>
            </w:r>
            <w:r>
              <w:rPr>
                <w:sz w:val="18"/>
              </w:rPr>
              <w:t xml:space="preserve">5,71</w:t>
            </w:r>
          </w:p>
          <w:p>
            <w:pPr>
              <w:pStyle w:val="TableParagraph"/>
              <w:spacing w:line="206" w:lineRule="exact"/>
              <w:ind w:start="86" w:end="82"/>
              <w:jc w:val="center"/>
              <w:rPr>
                <w:sz w:val="18"/>
              </w:rPr>
            </w:pPr>
            <w:r>
              <w:rPr>
                <w:sz w:val="18"/>
              </w:rPr>
              <w:t xml:space="preserve">[±4.31]</w:t>
            </w:r>
          </w:p>
          <w:p>
            <w:pPr>
              <w:pStyle w:val="TableParagraph"/>
              <w:spacing w:before="1"/>
              <w:ind w:start="87" w:end="82"/>
              <w:jc w:val="center"/>
              <w:rPr>
                <w:sz w:val="18"/>
              </w:rPr>
            </w:pPr>
            <w:r>
              <w:rPr>
                <w:sz w:val="18"/>
              </w:rPr>
              <w:t xml:space="preserve">score à T1 </w:t>
            </w:r>
            <w:r>
              <w:rPr>
                <w:sz w:val="18"/>
              </w:rPr>
              <w:t xml:space="preserve">3.50</w:t>
            </w:r>
          </w:p>
          <w:p>
            <w:pPr>
              <w:pStyle w:val="TableParagraph"/>
              <w:spacing w:line="186" w:lineRule="exact"/>
              <w:ind w:start="86" w:end="82"/>
              <w:jc w:val="center"/>
              <w:rPr>
                <w:sz w:val="18"/>
              </w:rPr>
            </w:pPr>
            <w:r>
              <w:rPr>
                <w:sz w:val="18"/>
              </w:rPr>
              <w:t xml:space="preserve">[±4.58]</w:t>
            </w:r>
          </w:p>
        </w:tc>
        <w:tc>
          <w:tcPr>
            <w:tcW w:w="1133" w:type="dxa"/>
          </w:tcPr>
          <w:p>
            <w:pPr>
              <w:pStyle w:val="TableParagraph"/>
              <w:spacing w:line="208" w:lineRule="exact"/>
              <w:ind w:start="87" w:end="83"/>
              <w:jc w:val="center"/>
              <w:rPr>
                <w:sz w:val="12"/>
              </w:rPr>
            </w:pPr>
            <w:r>
              <w:rPr>
                <w:sz w:val="18"/>
              </w:rPr>
              <w:t xml:space="preserve">n-NR2</w:t>
            </w:r>
          </w:p>
          <w:p>
            <w:pPr>
              <w:pStyle w:val="TableParagraph"/>
              <w:ind w:start="90" w:end="83"/>
              <w:jc w:val="center"/>
              <w:rPr>
                <w:sz w:val="18"/>
              </w:rPr>
            </w:pPr>
            <w:r>
              <w:rPr>
                <w:sz w:val="18"/>
              </w:rPr>
              <w:t xml:space="preserve">score à T0 </w:t>
            </w:r>
            <w:r>
              <w:rPr>
                <w:sz w:val="18"/>
              </w:rPr>
              <w:t xml:space="preserve">10,34</w:t>
            </w:r>
          </w:p>
          <w:p>
            <w:pPr>
              <w:pStyle w:val="TableParagraph"/>
              <w:spacing w:line="206" w:lineRule="exact"/>
              <w:ind w:start="89" w:end="83"/>
              <w:jc w:val="center"/>
              <w:rPr>
                <w:sz w:val="18"/>
              </w:rPr>
            </w:pPr>
            <w:r>
              <w:rPr>
                <w:sz w:val="18"/>
              </w:rPr>
              <w:t xml:space="preserve">[±8.24]</w:t>
            </w:r>
          </w:p>
          <w:p>
            <w:pPr>
              <w:pStyle w:val="TableParagraph"/>
              <w:spacing w:before="1"/>
              <w:ind w:start="90" w:end="83"/>
              <w:jc w:val="center"/>
              <w:rPr>
                <w:sz w:val="18"/>
              </w:rPr>
            </w:pPr>
            <w:r>
              <w:rPr>
                <w:sz w:val="18"/>
              </w:rPr>
              <w:t xml:space="preserve">score à T1 </w:t>
            </w:r>
            <w:r>
              <w:rPr>
                <w:sz w:val="18"/>
              </w:rPr>
              <w:t xml:space="preserve">6,09</w:t>
            </w:r>
          </w:p>
          <w:p>
            <w:pPr>
              <w:pStyle w:val="TableParagraph"/>
              <w:spacing w:line="186" w:lineRule="exact"/>
              <w:ind w:start="89" w:end="83"/>
              <w:jc w:val="center"/>
              <w:rPr>
                <w:sz w:val="18"/>
              </w:rPr>
            </w:pPr>
            <w:r>
              <w:rPr>
                <w:sz w:val="18"/>
              </w:rPr>
              <w:t xml:space="preserve">[±7.93]</w:t>
            </w:r>
          </w:p>
        </w:tc>
        <w:tc>
          <w:tcPr>
            <w:tcW w:w="2271" w:type="dxa"/>
          </w:tcPr>
          <w:p>
            <w:pPr>
              <w:pStyle w:val="TableParagraph"/>
              <w:spacing w:before="1" w:line="276" w:lineRule="auto"/>
              <w:ind w:start="538" w:end="259" w:hanging="257"/>
              <w:rPr>
                <w:sz w:val="18"/>
              </w:rPr>
            </w:pPr>
            <w:r>
              <w:rPr>
                <w:i/>
                <w:sz w:val="18"/>
              </w:rPr>
              <w:t xml:space="preserve">F-ratio </w:t>
            </w:r>
            <w:r>
              <w:rPr>
                <w:sz w:val="18"/>
              </w:rPr>
              <w:t xml:space="preserve">3.85 (</w:t>
            </w:r>
            <w:r>
              <w:rPr>
                <w:i/>
                <w:sz w:val="18"/>
              </w:rPr>
              <w:t xml:space="preserve">df, errdf </w:t>
            </w:r>
            <w:r>
              <w:rPr>
                <w:sz w:val="18"/>
              </w:rPr>
              <w:t xml:space="preserve">: </w:t>
            </w:r>
            <w:r>
              <w:rPr>
                <w:sz w:val="18"/>
              </w:rPr>
              <w:t xml:space="preserve">1,39), </w:t>
            </w:r>
            <w:r>
              <w:rPr>
                <w:i/>
                <w:sz w:val="18"/>
              </w:rPr>
              <w:t xml:space="preserve">P=0</w:t>
            </w:r>
            <w:r>
              <w:rPr>
                <w:sz w:val="18"/>
              </w:rPr>
              <w:t xml:space="preserve">.057</w:t>
            </w:r>
          </w:p>
        </w:tc>
        <w:tc>
          <w:tcPr>
            <w:tcW w:w="1434" w:type="dxa"/>
          </w:tcPr>
          <w:p>
            <w:pPr>
              <w:pStyle w:val="TableParagraph"/>
              <w:spacing w:before="3"/>
              <w:ind w:start="437"/>
              <w:rPr>
                <w:sz w:val="18"/>
              </w:rPr>
            </w:pPr>
            <w:r>
              <w:rPr>
                <w:sz w:val="18"/>
              </w:rPr>
              <w:t xml:space="preserve">Critique</w:t>
            </w:r>
          </w:p>
        </w:tc>
        <w:tc>
          <w:tcPr>
            <w:tcW w:w="1258" w:type="dxa"/>
          </w:tcPr>
          <w:p>
            <w:pPr>
              <w:pStyle w:val="TableParagraph"/>
              <w:spacing w:before="3"/>
              <w:ind w:start="148"/>
              <w:rPr>
                <w:sz w:val="18"/>
              </w:rPr>
            </w:pPr>
            <w:r>
              <w:rPr>
                <w:sz w:val="18"/>
              </w:rPr>
              <w:t xml:space="preserve">TRES </w:t>
            </w:r>
            <w:r>
              <w:rPr>
                <w:sz w:val="18"/>
              </w:rPr>
              <w:t xml:space="preserve">FAIBLE</w:t>
            </w:r>
          </w:p>
        </w:tc>
      </w:tr>
      <w:tr w:rsidR="00432386">
        <w:trPr>
          <w:trHeight w:val="465"/>
        </w:trPr>
        <w:tc>
          <w:tcPr>
            <w:tcW w:w="14177" w:type="dxa"/>
            <w:gridSpan w:val="10"/>
            <w:shd w:val="clear" w:color="auto" w:fill="C5D9F0"/>
          </w:tcPr>
          <w:p>
            <w:pPr>
              <w:pStyle w:val="TableParagraph"/>
              <w:spacing w:line="229" w:lineRule="exact"/>
              <w:ind w:start="107"/>
              <w:rPr>
                <w:b/>
                <w:i/>
                <w:sz w:val="20"/>
              </w:rPr>
            </w:pPr>
            <w:r>
              <w:rPr>
                <w:b/>
                <w:i/>
                <w:sz w:val="20"/>
              </w:rPr>
              <w:t xml:space="preserve">Moyenne </w:t>
            </w:r>
            <w:r>
              <w:rPr>
                <w:b/>
                <w:i/>
                <w:sz w:val="20"/>
              </w:rPr>
              <w:t xml:space="preserve">[±SD] du </w:t>
            </w:r>
            <w:r>
              <w:rPr>
                <w:b/>
                <w:i/>
                <w:sz w:val="20"/>
              </w:rPr>
              <w:t xml:space="preserve">Trait de </w:t>
            </w:r>
            <w:r>
              <w:rPr>
                <w:b/>
                <w:i/>
                <w:sz w:val="20"/>
              </w:rPr>
              <w:t xml:space="preserve">colère </w:t>
            </w:r>
            <w:r>
              <w:rPr>
                <w:b/>
                <w:i/>
                <w:sz w:val="20"/>
              </w:rPr>
              <w:t xml:space="preserve">(TPI),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4" w:type="dxa"/>
          </w:tcPr>
          <w:p w:rsidR="00432386" w:rsidRDefault="00432386">
            <w:pPr>
              <w:pStyle w:val="TableParagraph"/>
              <w:rPr>
                <w:b/>
                <w:sz w:val="20"/>
              </w:rPr>
            </w:pPr>
          </w:p>
          <w:p w:rsidR="00432386" w:rsidRDefault="00432386">
            <w:pPr>
              <w:pStyle w:val="TableParagraph"/>
              <w:rPr>
                <w:b/>
                <w:sz w:val="16"/>
              </w:rPr>
            </w:pPr>
          </w:p>
          <w:p>
            <w:pPr>
              <w:pStyle w:val="TableParagraph"/>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3" w:end="82"/>
              <w:jc w:val="center"/>
              <w:rPr>
                <w:sz w:val="12"/>
              </w:rPr>
            </w:pPr>
            <w:r>
              <w:rPr>
                <w:sz w:val="18"/>
              </w:rPr>
              <w:t xml:space="preserve">n-NR2</w:t>
            </w:r>
          </w:p>
          <w:p>
            <w:pPr>
              <w:pStyle w:val="TableParagraph"/>
              <w:ind w:start="87" w:end="82"/>
              <w:jc w:val="center"/>
              <w:rPr>
                <w:sz w:val="18"/>
              </w:rPr>
            </w:pPr>
            <w:r>
              <w:rPr>
                <w:sz w:val="18"/>
              </w:rPr>
              <w:t xml:space="preserve">score à T0 </w:t>
            </w:r>
            <w:r>
              <w:rPr>
                <w:sz w:val="18"/>
              </w:rPr>
              <w:t xml:space="preserve">5,22</w:t>
            </w:r>
          </w:p>
          <w:p>
            <w:pPr>
              <w:pStyle w:val="TableParagraph"/>
              <w:spacing w:before="1"/>
              <w:ind w:start="86" w:end="82"/>
              <w:jc w:val="center"/>
              <w:rPr>
                <w:sz w:val="18"/>
              </w:rPr>
            </w:pPr>
            <w:r>
              <w:rPr>
                <w:sz w:val="18"/>
              </w:rPr>
              <w:t xml:space="preserve">[±2.76]</w:t>
            </w:r>
          </w:p>
          <w:p>
            <w:pPr>
              <w:pStyle w:val="TableParagraph"/>
              <w:ind w:start="87" w:end="82"/>
              <w:jc w:val="center"/>
              <w:rPr>
                <w:sz w:val="18"/>
              </w:rPr>
            </w:pPr>
            <w:r>
              <w:rPr>
                <w:sz w:val="18"/>
              </w:rPr>
              <w:t xml:space="preserve">score à T1 </w:t>
            </w:r>
            <w:r>
              <w:rPr>
                <w:sz w:val="18"/>
              </w:rPr>
              <w:t xml:space="preserve">5.00</w:t>
            </w:r>
          </w:p>
          <w:p>
            <w:pPr>
              <w:pStyle w:val="TableParagraph"/>
              <w:spacing w:before="1" w:line="187" w:lineRule="exact"/>
              <w:ind w:start="86" w:end="82"/>
              <w:jc w:val="center"/>
              <w:rPr>
                <w:sz w:val="18"/>
              </w:rPr>
            </w:pPr>
            <w:r>
              <w:rPr>
                <w:sz w:val="18"/>
              </w:rPr>
              <w:t xml:space="preserve">[±3.07]</w:t>
            </w:r>
          </w:p>
        </w:tc>
        <w:tc>
          <w:tcPr>
            <w:tcW w:w="1133" w:type="dxa"/>
          </w:tcPr>
          <w:p>
            <w:pPr>
              <w:pStyle w:val="TableParagraph"/>
              <w:spacing w:line="206" w:lineRule="exact"/>
              <w:ind w:start="87" w:end="83"/>
              <w:jc w:val="center"/>
              <w:rPr>
                <w:sz w:val="12"/>
              </w:rPr>
            </w:pPr>
            <w:r>
              <w:rPr>
                <w:sz w:val="18"/>
              </w:rPr>
              <w:t xml:space="preserve">n-NR2</w:t>
            </w:r>
          </w:p>
          <w:p>
            <w:pPr>
              <w:pStyle w:val="TableParagraph"/>
              <w:ind w:start="90" w:end="83"/>
              <w:jc w:val="center"/>
              <w:rPr>
                <w:sz w:val="18"/>
              </w:rPr>
            </w:pPr>
            <w:r>
              <w:rPr>
                <w:sz w:val="18"/>
              </w:rPr>
              <w:t xml:space="preserve">score à T0 </w:t>
            </w:r>
            <w:r>
              <w:rPr>
                <w:sz w:val="18"/>
              </w:rPr>
              <w:t xml:space="preserve">6,43</w:t>
            </w:r>
          </w:p>
          <w:p>
            <w:pPr>
              <w:pStyle w:val="TableParagraph"/>
              <w:spacing w:before="1"/>
              <w:ind w:start="89" w:end="83"/>
              <w:jc w:val="center"/>
              <w:rPr>
                <w:sz w:val="18"/>
              </w:rPr>
            </w:pPr>
            <w:r>
              <w:rPr>
                <w:sz w:val="18"/>
              </w:rPr>
              <w:t xml:space="preserve">[±2.78]</w:t>
            </w:r>
          </w:p>
          <w:p>
            <w:pPr>
              <w:pStyle w:val="TableParagraph"/>
              <w:ind w:start="90" w:end="83"/>
              <w:jc w:val="center"/>
              <w:rPr>
                <w:sz w:val="18"/>
              </w:rPr>
            </w:pPr>
            <w:r>
              <w:rPr>
                <w:sz w:val="18"/>
              </w:rPr>
              <w:t xml:space="preserve">score à T1 </w:t>
            </w:r>
            <w:r>
              <w:rPr>
                <w:sz w:val="18"/>
              </w:rPr>
              <w:t xml:space="preserve">6,39</w:t>
            </w:r>
          </w:p>
          <w:p>
            <w:pPr>
              <w:pStyle w:val="TableParagraph"/>
              <w:spacing w:before="1" w:line="187" w:lineRule="exact"/>
              <w:ind w:start="89" w:end="83"/>
              <w:jc w:val="center"/>
              <w:rPr>
                <w:sz w:val="18"/>
              </w:rPr>
            </w:pPr>
            <w:r>
              <w:rPr>
                <w:sz w:val="18"/>
              </w:rPr>
              <w:t xml:space="preserve">[±2.59]</w:t>
            </w:r>
          </w:p>
        </w:tc>
        <w:tc>
          <w:tcPr>
            <w:tcW w:w="2271" w:type="dxa"/>
          </w:tcPr>
          <w:p>
            <w:pPr>
              <w:pStyle w:val="TableParagraph"/>
              <w:spacing w:line="276" w:lineRule="auto"/>
              <w:ind w:start="538" w:end="259" w:hanging="257"/>
              <w:rPr>
                <w:sz w:val="18"/>
              </w:rPr>
            </w:pPr>
            <w:r>
              <w:rPr>
                <w:i/>
                <w:sz w:val="18"/>
              </w:rPr>
              <w:t xml:space="preserve">Rapport F </w:t>
            </w:r>
            <w:r>
              <w:rPr>
                <w:sz w:val="18"/>
              </w:rPr>
              <w:t xml:space="preserve">5,70 (</w:t>
            </w:r>
            <w:r>
              <w:rPr>
                <w:i/>
                <w:sz w:val="18"/>
              </w:rPr>
              <w:t xml:space="preserve">df, errdf </w:t>
            </w:r>
            <w:r>
              <w:rPr>
                <w:sz w:val="18"/>
              </w:rPr>
              <w:t xml:space="preserve">: </w:t>
            </w:r>
            <w:r>
              <w:rPr>
                <w:sz w:val="18"/>
              </w:rPr>
              <w:t xml:space="preserve">1,39), </w:t>
            </w:r>
            <w:r>
              <w:rPr>
                <w:i/>
                <w:sz w:val="18"/>
              </w:rPr>
              <w:t xml:space="preserve">P=0</w:t>
            </w:r>
            <w:r>
              <w:rPr>
                <w:sz w:val="18"/>
              </w:rPr>
              <w:t xml:space="preserve">,022</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r w:rsidR="00432386">
        <w:trPr>
          <w:trHeight w:val="465"/>
        </w:trPr>
        <w:tc>
          <w:tcPr>
            <w:tcW w:w="14177" w:type="dxa"/>
            <w:gridSpan w:val="10"/>
            <w:shd w:val="clear" w:color="auto" w:fill="C5D9F0"/>
          </w:tcPr>
          <w:p>
            <w:pPr>
              <w:pStyle w:val="TableParagraph"/>
              <w:spacing w:line="229" w:lineRule="exact"/>
              <w:ind w:start="107"/>
              <w:rPr>
                <w:b/>
                <w:i/>
                <w:sz w:val="20"/>
              </w:rPr>
            </w:pPr>
            <w:r>
              <w:rPr>
                <w:b/>
                <w:i/>
                <w:sz w:val="20"/>
              </w:rPr>
              <w:t xml:space="preserve">Moyenne </w:t>
            </w:r>
            <w:r>
              <w:rPr>
                <w:b/>
                <w:i/>
                <w:sz w:val="20"/>
              </w:rPr>
              <w:t xml:space="preserve">[±SD] de l'</w:t>
            </w:r>
            <w:r>
              <w:rPr>
                <w:b/>
                <w:i/>
                <w:sz w:val="20"/>
              </w:rPr>
              <w:t xml:space="preserve">anxiété </w:t>
            </w:r>
            <w:r>
              <w:rPr>
                <w:b/>
                <w:i/>
                <w:sz w:val="20"/>
              </w:rPr>
              <w:t xml:space="preserve">Trait </w:t>
            </w:r>
            <w:r>
              <w:rPr>
                <w:b/>
                <w:i/>
                <w:sz w:val="20"/>
              </w:rPr>
              <w:t xml:space="preserve">(STAI),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GnRH)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4"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228" w:end="219"/>
              <w:jc w:val="center"/>
              <w:rPr>
                <w:sz w:val="18"/>
              </w:rPr>
            </w:pPr>
            <w:r>
              <w:rPr>
                <w:sz w:val="18"/>
              </w:rPr>
              <w:t xml:space="preserve">1 étude de cohorte </w:t>
            </w:r>
            <w:r>
              <w:rPr>
                <w:sz w:val="18"/>
              </w:rPr>
              <w:t xml:space="preserve">de Vries et al </w:t>
            </w:r>
            <w:r>
              <w:rPr>
                <w:sz w:val="18"/>
              </w:rPr>
              <w:t xml:space="preserve">2011</w:t>
            </w:r>
          </w:p>
        </w:tc>
        <w:tc>
          <w:tcPr>
            <w:tcW w:w="1097" w:type="dxa"/>
          </w:tcPr>
          <w:p>
            <w:pPr>
              <w:pStyle w:val="TableParagraph"/>
              <w:spacing w:before="2" w:line="235" w:lineRule="auto"/>
              <w:ind w:start="115" w:end="85" w:firstLine="127"/>
              <w:rPr>
                <w:sz w:val="12"/>
              </w:rPr>
            </w:pPr>
            <w:r>
              <w:rPr>
                <w:sz w:val="18"/>
              </w:rPr>
              <w:t xml:space="preserve">De sérieuses </w:t>
            </w:r>
            <w:r>
              <w:rPr>
                <w:sz w:val="18"/>
              </w:rPr>
              <w:t xml:space="preserve">limitations1</w:t>
            </w:r>
          </w:p>
        </w:tc>
        <w:tc>
          <w:tcPr>
            <w:tcW w:w="1440" w:type="dxa"/>
          </w:tcPr>
          <w:p>
            <w:pPr>
              <w:pStyle w:val="TableParagraph"/>
              <w:spacing w:line="278" w:lineRule="auto"/>
              <w:ind w:start="239" w:end="222" w:firstLine="48"/>
              <w:rPr>
                <w:sz w:val="18"/>
              </w:rPr>
            </w:pPr>
            <w:r>
              <w:rPr>
                <w:sz w:val="18"/>
              </w:rPr>
              <w:t xml:space="preserve">Pas de </w:t>
            </w:r>
            <w:r>
              <w:rPr>
                <w:spacing w:val="-1"/>
                <w:sz w:val="18"/>
              </w:rPr>
              <w:t xml:space="preserve">caractère indirect </w:t>
            </w:r>
            <w:r>
              <w:rPr>
                <w:sz w:val="18"/>
              </w:rPr>
              <w:t xml:space="preserve">grave</w:t>
            </w:r>
          </w:p>
        </w:tc>
        <w:tc>
          <w:tcPr>
            <w:tcW w:w="1537" w:type="dxa"/>
          </w:tcPr>
          <w:p>
            <w:pPr>
              <w:pStyle w:val="TableParagraph"/>
              <w:spacing w:before="1"/>
              <w:ind w:start="197"/>
              <w:rPr>
                <w:sz w:val="18"/>
              </w:rPr>
            </w:pPr>
            <w:r>
              <w:rPr>
                <w:sz w:val="18"/>
              </w:rPr>
              <w:t xml:space="preserve">Non </w:t>
            </w:r>
            <w:r>
              <w:rPr>
                <w:sz w:val="18"/>
              </w:rPr>
              <w:t xml:space="preserve">applicable</w:t>
            </w:r>
          </w:p>
        </w:tc>
        <w:tc>
          <w:tcPr>
            <w:tcW w:w="1277" w:type="dxa"/>
          </w:tcPr>
          <w:p>
            <w:pPr>
              <w:pStyle w:val="TableParagraph"/>
              <w:spacing w:line="278" w:lineRule="auto"/>
              <w:ind w:start="236" w:end="210" w:firstLine="261"/>
              <w:rPr>
                <w:sz w:val="18"/>
              </w:rPr>
            </w:pPr>
            <w:r>
              <w:rPr>
                <w:sz w:val="18"/>
              </w:rPr>
              <w:t xml:space="preserve">Non </w:t>
            </w:r>
            <w:r>
              <w:rPr>
                <w:sz w:val="18"/>
              </w:rPr>
              <w:t xml:space="preserve">calculable</w:t>
            </w:r>
          </w:p>
        </w:tc>
        <w:tc>
          <w:tcPr>
            <w:tcW w:w="1136" w:type="dxa"/>
          </w:tcPr>
          <w:p>
            <w:pPr>
              <w:pStyle w:val="TableParagraph"/>
              <w:spacing w:line="206" w:lineRule="exact"/>
              <w:ind w:start="83" w:end="82"/>
              <w:jc w:val="center"/>
              <w:rPr>
                <w:sz w:val="12"/>
              </w:rPr>
            </w:pPr>
            <w:r>
              <w:rPr>
                <w:sz w:val="18"/>
              </w:rPr>
              <w:t xml:space="preserve">n-NR2</w:t>
            </w:r>
          </w:p>
          <w:p>
            <w:pPr>
              <w:pStyle w:val="TableParagraph"/>
              <w:ind w:start="87" w:end="82"/>
              <w:jc w:val="center"/>
              <w:rPr>
                <w:sz w:val="18"/>
              </w:rPr>
            </w:pPr>
            <w:r>
              <w:rPr>
                <w:sz w:val="18"/>
              </w:rPr>
              <w:t xml:space="preserve">score à T0 </w:t>
            </w:r>
            <w:r>
              <w:rPr>
                <w:sz w:val="18"/>
              </w:rPr>
              <w:t xml:space="preserve">4,33</w:t>
            </w:r>
          </w:p>
          <w:p>
            <w:pPr>
              <w:pStyle w:val="TableParagraph"/>
              <w:spacing w:line="206" w:lineRule="exact"/>
              <w:ind w:start="86" w:end="82"/>
              <w:jc w:val="center"/>
              <w:rPr>
                <w:sz w:val="18"/>
              </w:rPr>
            </w:pPr>
            <w:r>
              <w:rPr>
                <w:sz w:val="18"/>
              </w:rPr>
              <w:t xml:space="preserve">[±2.68]</w:t>
            </w:r>
          </w:p>
          <w:p>
            <w:pPr>
              <w:pStyle w:val="TableParagraph"/>
              <w:spacing w:before="1"/>
              <w:ind w:start="87" w:end="82"/>
              <w:jc w:val="center"/>
              <w:rPr>
                <w:sz w:val="18"/>
              </w:rPr>
            </w:pPr>
            <w:r>
              <w:rPr>
                <w:sz w:val="18"/>
              </w:rPr>
              <w:t xml:space="preserve">score à T1 </w:t>
            </w:r>
            <w:r>
              <w:rPr>
                <w:sz w:val="18"/>
              </w:rPr>
              <w:t xml:space="preserve">4,39</w:t>
            </w:r>
          </w:p>
          <w:p>
            <w:pPr>
              <w:pStyle w:val="TableParagraph"/>
              <w:spacing w:line="189" w:lineRule="exact"/>
              <w:ind w:start="86" w:end="82"/>
              <w:jc w:val="center"/>
              <w:rPr>
                <w:sz w:val="18"/>
              </w:rPr>
            </w:pPr>
            <w:r>
              <w:rPr>
                <w:sz w:val="18"/>
              </w:rPr>
              <w:t xml:space="preserve">[±2.64]</w:t>
            </w:r>
          </w:p>
        </w:tc>
        <w:tc>
          <w:tcPr>
            <w:tcW w:w="1133" w:type="dxa"/>
          </w:tcPr>
          <w:p>
            <w:pPr>
              <w:pStyle w:val="TableParagraph"/>
              <w:spacing w:line="206" w:lineRule="exact"/>
              <w:ind w:start="87" w:end="83"/>
              <w:jc w:val="center"/>
              <w:rPr>
                <w:sz w:val="12"/>
              </w:rPr>
            </w:pPr>
            <w:r>
              <w:rPr>
                <w:sz w:val="18"/>
              </w:rPr>
              <w:t xml:space="preserve">n-NR2</w:t>
            </w:r>
          </w:p>
          <w:p>
            <w:pPr>
              <w:pStyle w:val="TableParagraph"/>
              <w:ind w:start="90" w:end="83"/>
              <w:jc w:val="center"/>
              <w:rPr>
                <w:sz w:val="18"/>
              </w:rPr>
            </w:pPr>
            <w:r>
              <w:rPr>
                <w:sz w:val="18"/>
              </w:rPr>
              <w:t xml:space="preserve">score à T0 </w:t>
            </w:r>
            <w:r>
              <w:rPr>
                <w:sz w:val="18"/>
              </w:rPr>
              <w:t xml:space="preserve">7.00</w:t>
            </w:r>
          </w:p>
          <w:p>
            <w:pPr>
              <w:pStyle w:val="TableParagraph"/>
              <w:spacing w:line="206" w:lineRule="exact"/>
              <w:ind w:start="89" w:end="83"/>
              <w:jc w:val="center"/>
              <w:rPr>
                <w:sz w:val="18"/>
              </w:rPr>
            </w:pPr>
            <w:r>
              <w:rPr>
                <w:sz w:val="18"/>
              </w:rPr>
              <w:t xml:space="preserve">[±2.36]</w:t>
            </w:r>
          </w:p>
          <w:p>
            <w:pPr>
              <w:pStyle w:val="TableParagraph"/>
              <w:spacing w:before="1"/>
              <w:ind w:start="90" w:end="83"/>
              <w:jc w:val="center"/>
              <w:rPr>
                <w:sz w:val="18"/>
              </w:rPr>
            </w:pPr>
            <w:r>
              <w:rPr>
                <w:sz w:val="18"/>
              </w:rPr>
              <w:t xml:space="preserve">score à T1 </w:t>
            </w:r>
            <w:r>
              <w:rPr>
                <w:sz w:val="18"/>
              </w:rPr>
              <w:t xml:space="preserve">6,17</w:t>
            </w:r>
          </w:p>
          <w:p>
            <w:pPr>
              <w:pStyle w:val="TableParagraph"/>
              <w:spacing w:line="189" w:lineRule="exact"/>
              <w:ind w:start="89" w:end="83"/>
              <w:jc w:val="center"/>
              <w:rPr>
                <w:sz w:val="18"/>
              </w:rPr>
            </w:pPr>
            <w:r>
              <w:rPr>
                <w:sz w:val="18"/>
              </w:rPr>
              <w:t xml:space="preserve">[±2.69]</w:t>
            </w:r>
          </w:p>
        </w:tc>
        <w:tc>
          <w:tcPr>
            <w:tcW w:w="2271" w:type="dxa"/>
          </w:tcPr>
          <w:p>
            <w:pPr>
              <w:pStyle w:val="TableParagraph"/>
              <w:spacing w:line="276" w:lineRule="auto"/>
              <w:ind w:start="538" w:end="210" w:hanging="308"/>
              <w:rPr>
                <w:sz w:val="18"/>
              </w:rPr>
            </w:pPr>
            <w:r>
              <w:rPr>
                <w:i/>
                <w:sz w:val="18"/>
              </w:rPr>
              <w:t xml:space="preserve">Rapport F </w:t>
            </w:r>
            <w:r>
              <w:rPr>
                <w:sz w:val="18"/>
              </w:rPr>
              <w:t xml:space="preserve">16.07 (</w:t>
            </w:r>
            <w:r>
              <w:rPr>
                <w:i/>
                <w:sz w:val="18"/>
              </w:rPr>
              <w:t xml:space="preserve">df, errdf </w:t>
            </w:r>
            <w:r>
              <w:rPr>
                <w:sz w:val="18"/>
              </w:rPr>
              <w:t xml:space="preserve">: </w:t>
            </w:r>
            <w:r>
              <w:rPr>
                <w:sz w:val="18"/>
              </w:rPr>
              <w:t xml:space="preserve">1,39), </w:t>
            </w:r>
            <w:r>
              <w:rPr>
                <w:i/>
                <w:sz w:val="18"/>
              </w:rPr>
              <w:t xml:space="preserve">P&lt; 0.</w:t>
            </w:r>
            <w:r>
              <w:rPr>
                <w:sz w:val="18"/>
              </w:rPr>
              <w:t xml:space="preserve">001</w:t>
            </w:r>
          </w:p>
        </w:tc>
        <w:tc>
          <w:tcPr>
            <w:tcW w:w="1434" w:type="dxa"/>
          </w:tcPr>
          <w:p>
            <w:pPr>
              <w:pStyle w:val="TableParagraph"/>
              <w:spacing w:before="1"/>
              <w:ind w:start="437"/>
              <w:rPr>
                <w:sz w:val="18"/>
              </w:rPr>
            </w:pPr>
            <w:r>
              <w:rPr>
                <w:sz w:val="18"/>
              </w:rPr>
              <w:t xml:space="preserve">Critique</w:t>
            </w:r>
          </w:p>
        </w:tc>
        <w:tc>
          <w:tcPr>
            <w:tcW w:w="1258" w:type="dxa"/>
          </w:tcPr>
          <w:p>
            <w:pPr>
              <w:pStyle w:val="TableParagraph"/>
              <w:spacing w:before="1"/>
              <w:ind w:start="148"/>
              <w:rPr>
                <w:sz w:val="18"/>
              </w:rPr>
            </w:pPr>
            <w:r>
              <w:rPr>
                <w:sz w:val="18"/>
              </w:rPr>
              <w:t xml:space="preserve">TRES </w:t>
            </w:r>
            <w:r>
              <w:rPr>
                <w:sz w:val="18"/>
              </w:rPr>
              <w:t xml:space="preserve">FAIBLE</w:t>
            </w:r>
          </w:p>
        </w:tc>
      </w:tr>
    </w:tbl>
    <w:p>
      <w:pPr>
        <w:spacing w:before="1"/>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sz w:val="20"/>
        </w:rPr>
        <w:t xml:space="preserve">NR, </w:t>
      </w:r>
      <w:r>
        <w:rPr>
          <w:sz w:val="20"/>
        </w:rPr>
        <w:t xml:space="preserve">non </w:t>
      </w:r>
      <w:r>
        <w:rPr>
          <w:sz w:val="20"/>
        </w:rPr>
        <w:t xml:space="preserve">rapporté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0"/>
        <w:ind w:start="0"/>
        <w:rPr>
          <w:sz w:val="20"/>
        </w:rPr>
      </w:pPr>
    </w:p>
    <w:p>
      <w:pPr>
        <w:spacing w:line="276" w:lineRule="auto"/>
        <w:ind w:start="120" w:end="1493"/>
        <w:rPr>
          <w:i/>
          <w:sz w:val="18"/>
        </w:rPr>
      </w:pPr>
      <w:r>
        <w:rPr>
          <w:i/>
          <w:sz w:val="18"/>
        </w:rPr>
        <w:t xml:space="preserve">1 Déclassement d'un niveau - l'étude de cohorte de de Vries et al. (2011) a été évaluée comme présentant un risque élevé de biais (qualité générale médiocre ; absence d'aveugle et de groupe témoin). </w:t>
      </w:r>
      <w:r>
        <w:rPr>
          <w:i/>
          <w:sz w:val="18"/>
        </w:rPr>
        <w:t xml:space="preserve">2 La </w:t>
      </w:r>
      <w:r>
        <w:rPr>
          <w:i/>
          <w:sz w:val="18"/>
        </w:rPr>
        <w:t xml:space="preserve">taille de l'échantillon </w:t>
      </w:r>
      <w:r>
        <w:rPr>
          <w:i/>
          <w:sz w:val="18"/>
        </w:rPr>
        <w:t xml:space="preserve">global </w:t>
      </w:r>
      <w:r>
        <w:rPr>
          <w:i/>
          <w:sz w:val="18"/>
        </w:rPr>
        <w:t xml:space="preserve">complétant le résultat aux </w:t>
      </w:r>
      <w:r>
        <w:rPr>
          <w:i/>
          <w:sz w:val="18"/>
        </w:rPr>
        <w:t xml:space="preserve">deux points temporels </w:t>
      </w:r>
      <w:r>
        <w:rPr>
          <w:i/>
          <w:sz w:val="18"/>
        </w:rPr>
        <w:t xml:space="preserve">était de </w:t>
      </w:r>
      <w:r>
        <w:rPr>
          <w:i/>
          <w:sz w:val="18"/>
        </w:rPr>
        <w:t xml:space="preserve">41.</w:t>
      </w:r>
    </w:p>
    <w:p w:rsidR="00432386" w:rsidRDefault="00432386">
      <w:pPr>
        <w:spacing w:line="276" w:lineRule="auto"/>
        <w:rPr>
          <w:sz w:val="18"/>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i/>
          <w:sz w:val="21"/>
        </w:rPr>
      </w:pPr>
    </w:p>
    <w:p>
      <w:pPr>
        <w:pStyle w:val="Titre1"/>
        <w:spacing w:before="93"/>
        <w:ind w:start="120" w:end="811"/>
      </w:pPr>
      <w:r>
        <w:t xml:space="preserve">Tableau 11 : Question : 4. D'après les preuves sélectionnées, existe-t-il des sous-groupes d'enfants et d'adolescents atteints de </w:t>
      </w:r>
      <w:r>
        <w:t xml:space="preserve">dysphorie de </w:t>
      </w:r>
      <w:r>
        <w:t xml:space="preserve">genre </w:t>
      </w:r>
      <w:r>
        <w:t xml:space="preserve">qui pourraient tirer plus (ou moins) d'avantages du traitement par les analogues de la GnRH que la population plus large d'</w:t>
      </w:r>
      <w:r>
        <w:t xml:space="preserve">enfants </w:t>
      </w:r>
      <w:r>
        <w:t xml:space="preserve">et d'adolescents atteints de </w:t>
      </w:r>
      <w:r>
        <w:t xml:space="preserve">dysphorie de </w:t>
      </w:r>
      <w:r>
        <w:t xml:space="preserve">genre </w:t>
      </w:r>
      <w:r>
        <w:t xml:space="preserve">? - </w:t>
      </w:r>
      <w:r>
        <w:t xml:space="preserve">résultats </w:t>
      </w:r>
      <w:r>
        <w:t xml:space="preserve">importants</w:t>
      </w: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2"/>
        <w:gridCol w:w="1100"/>
        <w:gridCol w:w="1441"/>
        <w:gridCol w:w="1538"/>
        <w:gridCol w:w="1278"/>
        <w:gridCol w:w="1137"/>
        <w:gridCol w:w="1137"/>
        <w:gridCol w:w="2705"/>
        <w:gridCol w:w="993"/>
        <w:gridCol w:w="1267"/>
      </w:tblGrid>
      <w:tr w:rsidR="00432386">
        <w:trPr>
          <w:trHeight w:val="299"/>
        </w:trPr>
        <w:tc>
          <w:tcPr>
            <w:tcW w:w="6949" w:type="dxa"/>
            <w:gridSpan w:val="5"/>
            <w:vMerge w:val="restart"/>
            <w:shd w:val="clear" w:color="auto" w:fill="D9D9D9"/>
          </w:tcPr>
          <w:p>
            <w:pPr>
              <w:pStyle w:val="TableParagraph"/>
              <w:spacing w:before="1"/>
              <w:ind w:start="3101" w:end="3095"/>
              <w:jc w:val="center"/>
              <w:rPr>
                <w:b/>
                <w:sz w:val="16"/>
              </w:rPr>
            </w:pPr>
            <w:r>
              <w:rPr>
                <w:b/>
                <w:sz w:val="16"/>
              </w:rPr>
              <w:t xml:space="preserve">QUALITÉ</w:t>
            </w:r>
          </w:p>
        </w:tc>
        <w:tc>
          <w:tcPr>
            <w:tcW w:w="4979" w:type="dxa"/>
            <w:gridSpan w:val="3"/>
            <w:shd w:val="clear" w:color="auto" w:fill="D9D9D9"/>
          </w:tcPr>
          <w:p>
            <w:pPr>
              <w:pStyle w:val="TableParagraph"/>
              <w:spacing w:before="1"/>
              <w:ind w:start="1669" w:end="1672"/>
              <w:jc w:val="center"/>
              <w:rPr>
                <w:b/>
                <w:sz w:val="16"/>
              </w:rPr>
            </w:pPr>
            <w:r>
              <w:rPr>
                <w:b/>
                <w:sz w:val="16"/>
              </w:rPr>
              <w:t xml:space="preserve">Résumé </w:t>
            </w:r>
            <w:r>
              <w:rPr>
                <w:b/>
                <w:sz w:val="16"/>
              </w:rPr>
              <w:t xml:space="preserve">des </w:t>
            </w:r>
            <w:r>
              <w:rPr>
                <w:b/>
                <w:sz w:val="16"/>
              </w:rPr>
              <w:t xml:space="preserve">conclusions</w:t>
            </w:r>
          </w:p>
        </w:tc>
        <w:tc>
          <w:tcPr>
            <w:tcW w:w="993" w:type="dxa"/>
            <w:vMerge w:val="restart"/>
            <w:shd w:val="clear" w:color="auto" w:fill="D9D9D9"/>
          </w:tcPr>
          <w:p>
            <w:pPr>
              <w:pStyle w:val="TableParagraph"/>
              <w:spacing w:before="1"/>
              <w:ind w:start="316" w:end="109" w:hanging="200"/>
              <w:rPr>
                <w:b/>
                <w:sz w:val="16"/>
              </w:rPr>
            </w:pPr>
            <w:r>
              <w:rPr>
                <w:b/>
                <w:sz w:val="16"/>
              </w:rPr>
              <w:t xml:space="preserve">IMPORTA </w:t>
            </w:r>
            <w:r>
              <w:rPr>
                <w:b/>
                <w:sz w:val="16"/>
              </w:rPr>
              <w:t xml:space="preserve">NCE</w:t>
            </w:r>
          </w:p>
        </w:tc>
        <w:tc>
          <w:tcPr>
            <w:tcW w:w="1267" w:type="dxa"/>
            <w:vMerge w:val="restart"/>
            <w:shd w:val="clear" w:color="auto" w:fill="D9D9D9"/>
          </w:tcPr>
          <w:p>
            <w:pPr>
              <w:pStyle w:val="TableParagraph"/>
              <w:spacing w:before="1"/>
              <w:ind w:start="160"/>
              <w:rPr>
                <w:b/>
                <w:sz w:val="16"/>
              </w:rPr>
            </w:pPr>
            <w:r>
              <w:rPr>
                <w:b/>
                <w:sz w:val="16"/>
              </w:rPr>
              <w:t xml:space="preserve">CERTIFICAT</w:t>
            </w:r>
          </w:p>
        </w:tc>
      </w:tr>
      <w:tr w:rsidR="00432386">
        <w:trPr>
          <w:trHeight w:val="369"/>
        </w:trPr>
        <w:tc>
          <w:tcPr>
            <w:tcW w:w="6949" w:type="dxa"/>
            <w:gridSpan w:val="5"/>
            <w:vMerge/>
            <w:tcBorders>
              <w:top w:val="nil"/>
            </w:tcBorders>
            <w:shd w:val="clear" w:color="auto" w:fill="D9D9D9"/>
          </w:tcPr>
          <w:p w:rsidR="00432386" w:rsidRDefault="00432386">
            <w:pPr>
              <w:rPr>
                <w:sz w:val="2"/>
                <w:szCs w:val="2"/>
              </w:rPr>
            </w:pPr>
          </w:p>
        </w:tc>
        <w:tc>
          <w:tcPr>
            <w:tcW w:w="2274" w:type="dxa"/>
            <w:gridSpan w:val="2"/>
            <w:shd w:val="clear" w:color="auto" w:fill="D9D9D9"/>
          </w:tcPr>
          <w:p>
            <w:pPr>
              <w:pStyle w:val="TableParagraph"/>
              <w:spacing w:line="180" w:lineRule="atLeast"/>
              <w:ind w:start="547" w:end="408" w:hanging="125"/>
              <w:rPr>
                <w:b/>
                <w:sz w:val="16"/>
              </w:rPr>
            </w:pPr>
            <w:r>
              <w:rPr>
                <w:b/>
                <w:sz w:val="16"/>
              </w:rPr>
              <w:t xml:space="preserve">Nombre d'événements/Nombre de </w:t>
            </w:r>
            <w:r>
              <w:rPr>
                <w:b/>
                <w:sz w:val="16"/>
              </w:rPr>
              <w:t xml:space="preserve">patients </w:t>
            </w:r>
            <w:r>
              <w:rPr>
                <w:b/>
                <w:sz w:val="16"/>
              </w:rPr>
              <w:t xml:space="preserve">(n/N%)</w:t>
            </w:r>
          </w:p>
        </w:tc>
        <w:tc>
          <w:tcPr>
            <w:tcW w:w="2705" w:type="dxa"/>
            <w:shd w:val="clear" w:color="auto" w:fill="D9D9D9"/>
          </w:tcPr>
          <w:p>
            <w:pPr>
              <w:pStyle w:val="TableParagraph"/>
              <w:spacing w:before="1"/>
              <w:ind w:start="169" w:end="177"/>
              <w:jc w:val="center"/>
              <w:rPr>
                <w:b/>
                <w:sz w:val="16"/>
              </w:rPr>
            </w:pPr>
            <w:r>
              <w:rPr>
                <w:b/>
                <w:sz w:val="16"/>
              </w:rPr>
              <w:t xml:space="preserve">Effet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734"/>
        </w:trPr>
        <w:tc>
          <w:tcPr>
            <w:tcW w:w="1592" w:type="dxa"/>
            <w:shd w:val="clear" w:color="auto" w:fill="D9D9D9"/>
          </w:tcPr>
          <w:p>
            <w:pPr>
              <w:pStyle w:val="TableParagraph"/>
              <w:spacing w:line="183" w:lineRule="exact"/>
              <w:ind w:start="226" w:end="219"/>
              <w:jc w:val="center"/>
              <w:rPr>
                <w:b/>
                <w:sz w:val="16"/>
              </w:rPr>
            </w:pPr>
            <w:r>
              <w:rPr>
                <w:b/>
                <w:sz w:val="16"/>
              </w:rPr>
              <w:t xml:space="preserve">Étude</w:t>
            </w:r>
          </w:p>
        </w:tc>
        <w:tc>
          <w:tcPr>
            <w:tcW w:w="1100" w:type="dxa"/>
            <w:shd w:val="clear" w:color="auto" w:fill="D9D9D9"/>
          </w:tcPr>
          <w:p>
            <w:pPr>
              <w:pStyle w:val="TableParagraph"/>
              <w:ind w:start="388" w:end="256" w:hanging="108"/>
              <w:rPr>
                <w:b/>
                <w:sz w:val="16"/>
              </w:rPr>
            </w:pPr>
            <w:r>
              <w:rPr>
                <w:b/>
                <w:sz w:val="16"/>
              </w:rPr>
              <w:t xml:space="preserve">Risque de </w:t>
            </w:r>
            <w:r>
              <w:rPr>
                <w:b/>
                <w:sz w:val="16"/>
              </w:rPr>
              <w:t xml:space="preserve">partialité</w:t>
            </w:r>
          </w:p>
        </w:tc>
        <w:tc>
          <w:tcPr>
            <w:tcW w:w="1441" w:type="dxa"/>
            <w:shd w:val="clear" w:color="auto" w:fill="D9D9D9"/>
          </w:tcPr>
          <w:p>
            <w:pPr>
              <w:pStyle w:val="TableParagraph"/>
              <w:spacing w:line="183" w:lineRule="exact"/>
              <w:ind w:start="243"/>
              <w:rPr>
                <w:b/>
                <w:sz w:val="16"/>
              </w:rPr>
            </w:pPr>
            <w:r>
              <w:rPr>
                <w:b/>
                <w:sz w:val="16"/>
              </w:rPr>
              <w:t xml:space="preserve">Indirectness</w:t>
            </w:r>
          </w:p>
        </w:tc>
        <w:tc>
          <w:tcPr>
            <w:tcW w:w="1538" w:type="dxa"/>
            <w:shd w:val="clear" w:color="auto" w:fill="D9D9D9"/>
          </w:tcPr>
          <w:p>
            <w:pPr>
              <w:pStyle w:val="TableParagraph"/>
              <w:spacing w:line="183" w:lineRule="exact"/>
              <w:ind w:start="228"/>
              <w:rPr>
                <w:b/>
                <w:sz w:val="16"/>
              </w:rPr>
            </w:pPr>
            <w:r>
              <w:rPr>
                <w:b/>
                <w:sz w:val="16"/>
              </w:rPr>
              <w:t xml:space="preserve">Incohérence</w:t>
            </w:r>
          </w:p>
        </w:tc>
        <w:tc>
          <w:tcPr>
            <w:tcW w:w="1278" w:type="dxa"/>
            <w:shd w:val="clear" w:color="auto" w:fill="D9D9D9"/>
          </w:tcPr>
          <w:p>
            <w:pPr>
              <w:pStyle w:val="TableParagraph"/>
              <w:spacing w:line="183" w:lineRule="exact"/>
              <w:ind w:start="183"/>
              <w:rPr>
                <w:b/>
                <w:sz w:val="16"/>
              </w:rPr>
            </w:pPr>
            <w:r>
              <w:rPr>
                <w:b/>
                <w:sz w:val="16"/>
              </w:rPr>
              <w:t xml:space="preserve">Imprécision</w:t>
            </w:r>
          </w:p>
        </w:tc>
        <w:tc>
          <w:tcPr>
            <w:tcW w:w="1137" w:type="dxa"/>
            <w:shd w:val="clear" w:color="auto" w:fill="D9D9D9"/>
          </w:tcPr>
          <w:p>
            <w:pPr>
              <w:pStyle w:val="TableParagraph"/>
              <w:ind w:start="119" w:end="107" w:firstLine="297"/>
              <w:rPr>
                <w:b/>
                <w:sz w:val="16"/>
              </w:rPr>
            </w:pPr>
            <w:r>
              <w:rPr>
                <w:b/>
                <w:sz w:val="16"/>
              </w:rPr>
              <w:t xml:space="preserve">Sexe </w:t>
            </w:r>
            <w:r>
              <w:rPr>
                <w:b/>
                <w:sz w:val="16"/>
              </w:rPr>
              <w:t xml:space="preserve">assigné à la </w:t>
            </w:r>
            <w:r>
              <w:rPr>
                <w:b/>
                <w:sz w:val="16"/>
              </w:rPr>
              <w:t xml:space="preserve">naissance </w:t>
            </w:r>
            <w:r>
              <w:rPr>
                <w:b/>
                <w:sz w:val="16"/>
              </w:rPr>
              <w:t xml:space="preserve">: hommes</w:t>
            </w:r>
          </w:p>
        </w:tc>
        <w:tc>
          <w:tcPr>
            <w:tcW w:w="1137" w:type="dxa"/>
            <w:shd w:val="clear" w:color="auto" w:fill="D9D9D9"/>
          </w:tcPr>
          <w:p>
            <w:pPr>
              <w:pStyle w:val="TableParagraph"/>
              <w:ind w:start="120" w:end="120"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4" w:end="262" w:hanging="6"/>
              <w:jc w:val="center"/>
              <w:rPr>
                <w:b/>
                <w:sz w:val="16"/>
              </w:rPr>
            </w:pPr>
            <w:r>
              <w:rPr>
                <w:b/>
                <w:sz w:val="16"/>
              </w:rPr>
              <w:t xml:space="preserve">femelles de </w:t>
            </w:r>
            <w:r>
              <w:rPr>
                <w:b/>
                <w:sz w:val="16"/>
              </w:rPr>
              <w:t xml:space="preserve">naissance</w:t>
            </w:r>
          </w:p>
        </w:tc>
        <w:tc>
          <w:tcPr>
            <w:tcW w:w="2705" w:type="dxa"/>
            <w:shd w:val="clear" w:color="auto" w:fill="D9D9D9"/>
          </w:tcPr>
          <w:p>
            <w:pPr>
              <w:pStyle w:val="TableParagraph"/>
              <w:spacing w:line="183" w:lineRule="exact"/>
              <w:ind w:start="169" w:end="180"/>
              <w:jc w:val="center"/>
              <w:rPr>
                <w:b/>
                <w:sz w:val="16"/>
              </w:rPr>
            </w:pPr>
            <w:r>
              <w:rPr>
                <w:b/>
                <w:sz w:val="16"/>
              </w:rPr>
              <w:t xml:space="preserve">Résultat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465"/>
        </w:trPr>
        <w:tc>
          <w:tcPr>
            <w:tcW w:w="14188" w:type="dxa"/>
            <w:gridSpan w:val="10"/>
            <w:shd w:val="clear" w:color="auto" w:fill="8DB3E1"/>
          </w:tcPr>
          <w:p>
            <w:pPr>
              <w:pStyle w:val="TableParagraph"/>
              <w:spacing w:before="2"/>
              <w:ind w:start="107"/>
              <w:rPr>
                <w:b/>
                <w:i/>
                <w:sz w:val="20"/>
              </w:rPr>
            </w:pPr>
            <w:r>
              <w:rPr>
                <w:b/>
                <w:i/>
                <w:sz w:val="20"/>
              </w:rPr>
              <w:t xml:space="preserve">Sous-groupes : </w:t>
            </w:r>
            <w:r>
              <w:rPr>
                <w:b/>
                <w:i/>
                <w:sz w:val="20"/>
              </w:rPr>
              <w:t xml:space="preserve">sexe </w:t>
            </w:r>
            <w:r>
              <w:rPr>
                <w:b/>
                <w:i/>
                <w:sz w:val="20"/>
              </w:rPr>
              <w:t xml:space="preserve">assigné à </w:t>
            </w:r>
            <w:r>
              <w:rPr>
                <w:b/>
                <w:i/>
                <w:sz w:val="20"/>
              </w:rPr>
              <w:t xml:space="preserve">la </w:t>
            </w:r>
            <w:r>
              <w:rPr>
                <w:b/>
                <w:i/>
                <w:sz w:val="20"/>
              </w:rPr>
              <w:t xml:space="preserve">naissance pour </w:t>
            </w:r>
            <w:r>
              <w:rPr>
                <w:b/>
                <w:i/>
                <w:sz w:val="20"/>
              </w:rPr>
              <w:t xml:space="preserve">les hommes </w:t>
            </w:r>
            <w:r>
              <w:rPr>
                <w:b/>
                <w:i/>
                <w:sz w:val="20"/>
              </w:rPr>
              <w:t xml:space="preserve">par rapport au </w:t>
            </w:r>
            <w:r>
              <w:rPr>
                <w:b/>
                <w:i/>
                <w:sz w:val="20"/>
              </w:rPr>
              <w:t xml:space="preserve">sexe </w:t>
            </w:r>
            <w:r>
              <w:rPr>
                <w:b/>
                <w:i/>
                <w:sz w:val="20"/>
              </w:rPr>
              <w:t xml:space="preserve">assigné à </w:t>
            </w:r>
            <w:r>
              <w:rPr>
                <w:b/>
                <w:i/>
                <w:sz w:val="20"/>
              </w:rPr>
              <w:t xml:space="preserve">la </w:t>
            </w:r>
            <w:r>
              <w:rPr>
                <w:b/>
                <w:i/>
                <w:sz w:val="20"/>
              </w:rPr>
              <w:t xml:space="preserve">naissance pour </w:t>
            </w:r>
            <w:r>
              <w:rPr>
                <w:b/>
                <w:i/>
                <w:sz w:val="20"/>
              </w:rPr>
              <w:t xml:space="preserve">les femmes.</w:t>
            </w:r>
          </w:p>
        </w:tc>
      </w:tr>
      <w:tr w:rsidR="00432386">
        <w:trPr>
          <w:trHeight w:val="465"/>
        </w:trPr>
        <w:tc>
          <w:tcPr>
            <w:tcW w:w="14188" w:type="dxa"/>
            <w:gridSpan w:val="10"/>
            <w:shd w:val="clear" w:color="auto" w:fill="8DB3E1"/>
          </w:tcPr>
          <w:p>
            <w:pPr>
              <w:pStyle w:val="TableParagraph"/>
              <w:spacing w:line="229" w:lineRule="exact"/>
              <w:ind w:start="107"/>
              <w:rPr>
                <w:b/>
                <w:i/>
                <w:sz w:val="20"/>
              </w:rPr>
            </w:pPr>
            <w:r>
              <w:rPr>
                <w:b/>
                <w:i/>
                <w:sz w:val="20"/>
              </w:rPr>
              <w:t xml:space="preserve">Impact </w:t>
            </w:r>
            <w:r>
              <w:rPr>
                <w:b/>
                <w:i/>
                <w:sz w:val="20"/>
              </w:rPr>
              <w:t xml:space="preserve">sur l'</w:t>
            </w:r>
            <w:r>
              <w:rPr>
                <w:b/>
                <w:i/>
                <w:sz w:val="20"/>
              </w:rPr>
              <w:t xml:space="preserve">image </w:t>
            </w:r>
            <w:r>
              <w:rPr>
                <w:b/>
                <w:i/>
                <w:sz w:val="20"/>
              </w:rPr>
              <w:t xml:space="preserve">corporelle</w:t>
            </w:r>
          </w:p>
        </w:tc>
      </w:tr>
      <w:tr w:rsidR="00432386">
        <w:trPr>
          <w:trHeight w:val="729"/>
        </w:trPr>
        <w:tc>
          <w:tcPr>
            <w:tcW w:w="14188" w:type="dxa"/>
            <w:gridSpan w:val="10"/>
            <w:shd w:val="clear" w:color="auto" w:fill="B8CCE3"/>
          </w:tcPr>
          <w:p>
            <w:pPr>
              <w:pStyle w:val="TableParagraph"/>
              <w:spacing w:line="276" w:lineRule="auto"/>
              <w:ind w:start="107" w:end="157"/>
              <w:rPr>
                <w:b/>
                <w:i/>
                <w:sz w:val="20"/>
              </w:rPr>
            </w:pPr>
            <w:r>
              <w:rPr>
                <w:b/>
                <w:i/>
                <w:sz w:val="20"/>
              </w:rPr>
              <w:t xml:space="preserve">Moyenne </w:t>
            </w:r>
            <w:r>
              <w:rPr>
                <w:b/>
                <w:i/>
                <w:sz w:val="20"/>
              </w:rPr>
              <w:t xml:space="preserve">[±SD] </w:t>
            </w:r>
            <w:r>
              <w:rPr>
                <w:b/>
                <w:i/>
                <w:sz w:val="20"/>
              </w:rPr>
              <w:t xml:space="preserve">de l'échelle d'</w:t>
            </w:r>
            <w:r>
              <w:rPr>
                <w:b/>
                <w:i/>
                <w:sz w:val="20"/>
              </w:rPr>
              <w:t xml:space="preserve">image </w:t>
            </w:r>
            <w:r>
              <w:rPr>
                <w:b/>
                <w:i/>
                <w:sz w:val="20"/>
              </w:rPr>
              <w:t xml:space="preserve">corporelle </w:t>
            </w:r>
            <w:r>
              <w:rPr>
                <w:b/>
                <w:i/>
                <w:sz w:val="20"/>
              </w:rPr>
              <w:t xml:space="preserve">(</w:t>
            </w:r>
            <w:r>
              <w:rPr>
                <w:b/>
                <w:i/>
                <w:sz w:val="20"/>
              </w:rPr>
              <w:t xml:space="preserve">caractéristiques </w:t>
            </w:r>
            <w:r>
              <w:rPr>
                <w:b/>
                <w:i/>
                <w:sz w:val="20"/>
              </w:rPr>
              <w:t xml:space="preserve">sexuelles </w:t>
            </w:r>
            <w:r>
              <w:rPr>
                <w:b/>
                <w:i/>
                <w:sz w:val="20"/>
              </w:rPr>
              <w:t xml:space="preserve">primaires</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ind w:start="114" w:end="89" w:firstLine="127"/>
              <w:rPr>
                <w:sz w:val="18"/>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n-NR2</w:t>
            </w:r>
          </w:p>
          <w:p>
            <w:pPr>
              <w:pStyle w:val="TableParagraph"/>
              <w:ind w:start="109" w:end="113"/>
              <w:jc w:val="center"/>
              <w:rPr>
                <w:sz w:val="18"/>
              </w:rPr>
            </w:pPr>
            <w:r>
              <w:rPr>
                <w:sz w:val="18"/>
              </w:rPr>
              <w:t xml:space="preserve">score à T0 </w:t>
            </w:r>
            <w:r>
              <w:rPr>
                <w:sz w:val="18"/>
              </w:rPr>
              <w:t xml:space="preserve">4,02</w:t>
            </w:r>
          </w:p>
          <w:p>
            <w:pPr>
              <w:pStyle w:val="TableParagraph"/>
              <w:spacing w:before="1" w:line="207" w:lineRule="exact"/>
              <w:ind w:start="110" w:end="112"/>
              <w:jc w:val="center"/>
              <w:rPr>
                <w:sz w:val="18"/>
              </w:rPr>
            </w:pPr>
            <w:r>
              <w:rPr>
                <w:sz w:val="18"/>
              </w:rPr>
              <w:t xml:space="preserve">[±0.16]</w:t>
            </w:r>
          </w:p>
          <w:p>
            <w:pPr>
              <w:pStyle w:val="TableParagraph"/>
              <w:ind w:start="109" w:end="113"/>
              <w:jc w:val="center"/>
              <w:rPr>
                <w:sz w:val="18"/>
              </w:rPr>
            </w:pPr>
            <w:r>
              <w:rPr>
                <w:sz w:val="18"/>
              </w:rPr>
              <w:t xml:space="preserve">score à T1 </w:t>
            </w:r>
            <w:r>
              <w:rPr>
                <w:sz w:val="18"/>
              </w:rPr>
              <w:t xml:space="preserve">3,74</w:t>
            </w:r>
          </w:p>
          <w:p>
            <w:pPr>
              <w:pStyle w:val="TableParagraph"/>
              <w:spacing w:line="188" w:lineRule="exact"/>
              <w:ind w:start="110" w:end="112"/>
              <w:jc w:val="center"/>
              <w:rPr>
                <w:sz w:val="18"/>
              </w:rPr>
            </w:pPr>
            <w:r>
              <w:rPr>
                <w:sz w:val="18"/>
              </w:rPr>
              <w:t xml:space="preserve">[±0.78]</w:t>
            </w:r>
          </w:p>
        </w:tc>
        <w:tc>
          <w:tcPr>
            <w:tcW w:w="1137" w:type="dxa"/>
          </w:tcPr>
          <w:p>
            <w:pPr>
              <w:pStyle w:val="TableParagraph"/>
              <w:spacing w:line="206" w:lineRule="exact"/>
              <w:ind w:start="110" w:end="113"/>
              <w:jc w:val="center"/>
              <w:rPr>
                <w:sz w:val="12"/>
              </w:rPr>
            </w:pPr>
            <w:r>
              <w:rPr>
                <w:sz w:val="18"/>
              </w:rPr>
              <w:t xml:space="preserve">n-NR2</w:t>
            </w:r>
          </w:p>
          <w:p>
            <w:pPr>
              <w:pStyle w:val="TableParagraph"/>
              <w:ind w:start="110" w:end="112"/>
              <w:jc w:val="center"/>
              <w:rPr>
                <w:sz w:val="18"/>
              </w:rPr>
            </w:pPr>
            <w:r>
              <w:rPr>
                <w:sz w:val="18"/>
              </w:rPr>
              <w:t xml:space="preserve">score à T0 </w:t>
            </w:r>
            <w:r>
              <w:rPr>
                <w:sz w:val="18"/>
              </w:rPr>
              <w:t xml:space="preserve">4,16</w:t>
            </w:r>
          </w:p>
          <w:p>
            <w:pPr>
              <w:pStyle w:val="TableParagraph"/>
              <w:spacing w:before="1" w:line="207" w:lineRule="exact"/>
              <w:ind w:start="110" w:end="110"/>
              <w:jc w:val="center"/>
              <w:rPr>
                <w:sz w:val="18"/>
              </w:rPr>
            </w:pPr>
            <w:r>
              <w:rPr>
                <w:sz w:val="18"/>
              </w:rPr>
              <w:t xml:space="preserve">[±0.52]</w:t>
            </w:r>
          </w:p>
          <w:p>
            <w:pPr>
              <w:pStyle w:val="TableParagraph"/>
              <w:ind w:start="110" w:end="112"/>
              <w:jc w:val="center"/>
              <w:rPr>
                <w:sz w:val="18"/>
              </w:rPr>
            </w:pPr>
            <w:r>
              <w:rPr>
                <w:sz w:val="18"/>
              </w:rPr>
              <w:t xml:space="preserve">score à T1 </w:t>
            </w:r>
            <w:r>
              <w:rPr>
                <w:sz w:val="18"/>
              </w:rPr>
              <w:t xml:space="preserve">4,17</w:t>
            </w:r>
          </w:p>
          <w:p>
            <w:pPr>
              <w:pStyle w:val="TableParagraph"/>
              <w:spacing w:line="188" w:lineRule="exact"/>
              <w:ind w:start="110" w:end="110"/>
              <w:jc w:val="center"/>
              <w:rPr>
                <w:sz w:val="18"/>
              </w:rPr>
            </w:pPr>
            <w:r>
              <w:rPr>
                <w:sz w:val="18"/>
              </w:rPr>
              <w:t xml:space="preserve">[±0.58]</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4,11 </w:t>
            </w:r>
            <w:r>
              <w:rPr>
                <w:sz w:val="18"/>
              </w:rPr>
              <w:t xml:space="preserve">(</w:t>
            </w:r>
            <w:r>
              <w:rPr>
                <w:i/>
                <w:sz w:val="18"/>
              </w:rPr>
              <w:t xml:space="preserve">df, </w:t>
            </w:r>
            <w:r>
              <w:rPr>
                <w:i/>
                <w:sz w:val="18"/>
              </w:rPr>
              <w:t xml:space="preserve">errdf </w:t>
            </w:r>
            <w:r>
              <w:rPr>
                <w:sz w:val="18"/>
              </w:rPr>
              <w:t xml:space="preserve">: </w:t>
            </w:r>
            <w:r>
              <w:rPr>
                <w:sz w:val="18"/>
              </w:rPr>
              <w:t xml:space="preserve">1,55),</w:t>
            </w:r>
          </w:p>
          <w:p>
            <w:pPr>
              <w:pStyle w:val="TableParagraph"/>
              <w:spacing w:before="31"/>
              <w:ind w:start="169" w:end="178"/>
              <w:jc w:val="center"/>
              <w:rPr>
                <w:sz w:val="18"/>
              </w:rPr>
            </w:pPr>
            <w:r>
              <w:rPr>
                <w:i/>
                <w:sz w:val="18"/>
              </w:rPr>
              <w:t xml:space="preserve">P=0</w:t>
            </w:r>
            <w:r>
              <w:rPr>
                <w:sz w:val="18"/>
              </w:rPr>
              <w:t xml:space="preserve">.047</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r w:rsidR="00432386">
        <w:trPr>
          <w:trHeight w:val="726"/>
        </w:trPr>
        <w:tc>
          <w:tcPr>
            <w:tcW w:w="14188" w:type="dxa"/>
            <w:gridSpan w:val="10"/>
            <w:shd w:val="clear" w:color="auto" w:fill="C5D9F0"/>
          </w:tcPr>
          <w:p>
            <w:pPr>
              <w:pStyle w:val="TableParagraph"/>
              <w:spacing w:line="276" w:lineRule="auto"/>
              <w:ind w:start="107" w:end="537"/>
              <w:rPr>
                <w:b/>
                <w:i/>
                <w:sz w:val="20"/>
              </w:rPr>
            </w:pPr>
            <w:r>
              <w:rPr>
                <w:b/>
                <w:i/>
                <w:sz w:val="20"/>
              </w:rPr>
              <w:t xml:space="preserve">Moyenne [±SD] de l'échelle d'image corporelle (caractéristiques sexuelles secondaires), point temporel au départ (T0 avant les analogues de la GnRH) par rapport au suivi (T1 juste </w:t>
            </w:r>
            <w:r>
              <w:rPr>
                <w:b/>
                <w:i/>
                <w:sz w:val="20"/>
              </w:rPr>
              <w:t xml:space="preserve">avant les </w:t>
            </w:r>
            <w:r>
              <w:rPr>
                <w:b/>
                <w:i/>
                <w:sz w:val="20"/>
              </w:rPr>
              <w:t xml:space="preserve">hormones d'affirmation du genre).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4"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before="1"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3"/>
              <w:ind w:start="192"/>
              <w:rPr>
                <w:sz w:val="18"/>
              </w:rPr>
            </w:pPr>
            <w:r>
              <w:rPr>
                <w:sz w:val="18"/>
              </w:rPr>
              <w:t xml:space="preserve">Non </w:t>
            </w:r>
            <w:r>
              <w:rPr>
                <w:sz w:val="18"/>
              </w:rPr>
              <w:t xml:space="preserve">applicable</w:t>
            </w:r>
          </w:p>
        </w:tc>
        <w:tc>
          <w:tcPr>
            <w:tcW w:w="1278" w:type="dxa"/>
          </w:tcPr>
          <w:p>
            <w:pPr>
              <w:pStyle w:val="TableParagraph"/>
              <w:spacing w:before="1"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8" w:lineRule="exact"/>
              <w:ind w:start="108" w:end="113"/>
              <w:jc w:val="center"/>
              <w:rPr>
                <w:sz w:val="12"/>
              </w:rPr>
            </w:pPr>
            <w:r>
              <w:rPr>
                <w:sz w:val="18"/>
              </w:rPr>
              <w:t xml:space="preserve">n-NR2</w:t>
            </w:r>
          </w:p>
          <w:p>
            <w:pPr>
              <w:pStyle w:val="TableParagraph"/>
              <w:ind w:start="109" w:end="113"/>
              <w:jc w:val="center"/>
              <w:rPr>
                <w:sz w:val="18"/>
              </w:rPr>
            </w:pPr>
            <w:r>
              <w:rPr>
                <w:sz w:val="18"/>
              </w:rPr>
              <w:t xml:space="preserve">score à T0 </w:t>
            </w:r>
            <w:r>
              <w:rPr>
                <w:sz w:val="18"/>
              </w:rPr>
              <w:t xml:space="preserve">2,66</w:t>
            </w:r>
          </w:p>
          <w:p>
            <w:pPr>
              <w:pStyle w:val="TableParagraph"/>
              <w:spacing w:line="206" w:lineRule="exact"/>
              <w:ind w:start="110" w:end="112"/>
              <w:jc w:val="center"/>
              <w:rPr>
                <w:sz w:val="18"/>
              </w:rPr>
            </w:pPr>
            <w:r>
              <w:rPr>
                <w:sz w:val="18"/>
              </w:rPr>
              <w:t xml:space="preserve">[±0.50]</w:t>
            </w:r>
          </w:p>
          <w:p>
            <w:pPr>
              <w:pStyle w:val="TableParagraph"/>
              <w:spacing w:before="1"/>
              <w:ind w:start="109" w:end="113"/>
              <w:jc w:val="center"/>
              <w:rPr>
                <w:sz w:val="18"/>
              </w:rPr>
            </w:pPr>
            <w:r>
              <w:rPr>
                <w:sz w:val="18"/>
              </w:rPr>
              <w:t xml:space="preserve">score à T1 </w:t>
            </w:r>
            <w:r>
              <w:rPr>
                <w:sz w:val="18"/>
              </w:rPr>
              <w:t xml:space="preserve">2,39</w:t>
            </w:r>
          </w:p>
          <w:p>
            <w:pPr>
              <w:pStyle w:val="TableParagraph"/>
              <w:spacing w:line="186" w:lineRule="exact"/>
              <w:ind w:start="110" w:end="112"/>
              <w:jc w:val="center"/>
              <w:rPr>
                <w:sz w:val="18"/>
              </w:rPr>
            </w:pPr>
            <w:r>
              <w:rPr>
                <w:sz w:val="18"/>
              </w:rPr>
              <w:t xml:space="preserve">[±0.69]</w:t>
            </w:r>
          </w:p>
        </w:tc>
        <w:tc>
          <w:tcPr>
            <w:tcW w:w="1137" w:type="dxa"/>
          </w:tcPr>
          <w:p>
            <w:pPr>
              <w:pStyle w:val="TableParagraph"/>
              <w:spacing w:line="208" w:lineRule="exact"/>
              <w:ind w:start="110" w:end="113"/>
              <w:jc w:val="center"/>
              <w:rPr>
                <w:sz w:val="12"/>
              </w:rPr>
            </w:pPr>
            <w:r>
              <w:rPr>
                <w:sz w:val="18"/>
              </w:rPr>
              <w:t xml:space="preserve">n-NR2</w:t>
            </w:r>
          </w:p>
          <w:p>
            <w:pPr>
              <w:pStyle w:val="TableParagraph"/>
              <w:ind w:start="110" w:end="112"/>
              <w:jc w:val="center"/>
              <w:rPr>
                <w:sz w:val="18"/>
              </w:rPr>
            </w:pPr>
            <w:r>
              <w:rPr>
                <w:sz w:val="18"/>
              </w:rPr>
              <w:t xml:space="preserve">score à T0 </w:t>
            </w:r>
            <w:r>
              <w:rPr>
                <w:sz w:val="18"/>
              </w:rPr>
              <w:t xml:space="preserve">2,81</w:t>
            </w:r>
          </w:p>
          <w:p>
            <w:pPr>
              <w:pStyle w:val="TableParagraph"/>
              <w:spacing w:line="206" w:lineRule="exact"/>
              <w:ind w:start="110" w:end="110"/>
              <w:jc w:val="center"/>
              <w:rPr>
                <w:sz w:val="18"/>
              </w:rPr>
            </w:pPr>
            <w:r>
              <w:rPr>
                <w:sz w:val="18"/>
              </w:rPr>
              <w:t xml:space="preserve">[±0.76]</w:t>
            </w:r>
          </w:p>
          <w:p>
            <w:pPr>
              <w:pStyle w:val="TableParagraph"/>
              <w:spacing w:before="1"/>
              <w:ind w:start="110" w:end="112"/>
              <w:jc w:val="center"/>
              <w:rPr>
                <w:sz w:val="18"/>
              </w:rPr>
            </w:pPr>
            <w:r>
              <w:rPr>
                <w:sz w:val="18"/>
              </w:rPr>
              <w:t xml:space="preserve">score à T1 </w:t>
            </w:r>
            <w:r>
              <w:rPr>
                <w:sz w:val="18"/>
              </w:rPr>
              <w:t xml:space="preserve">3,18</w:t>
            </w:r>
          </w:p>
          <w:p>
            <w:pPr>
              <w:pStyle w:val="TableParagraph"/>
              <w:spacing w:line="186" w:lineRule="exact"/>
              <w:ind w:start="110" w:end="110"/>
              <w:jc w:val="center"/>
              <w:rPr>
                <w:sz w:val="18"/>
              </w:rPr>
            </w:pPr>
            <w:r>
              <w:rPr>
                <w:sz w:val="18"/>
              </w:rPr>
              <w:t xml:space="preserve">[±0.42]</w:t>
            </w:r>
          </w:p>
        </w:tc>
        <w:tc>
          <w:tcPr>
            <w:tcW w:w="2705" w:type="dxa"/>
          </w:tcPr>
          <w:p>
            <w:pPr>
              <w:pStyle w:val="TableParagraph"/>
              <w:spacing w:before="1"/>
              <w:ind w:start="169" w:end="181"/>
              <w:jc w:val="center"/>
              <w:rPr>
                <w:sz w:val="18"/>
              </w:rPr>
            </w:pPr>
            <w:r>
              <w:rPr>
                <w:i/>
                <w:sz w:val="18"/>
              </w:rPr>
              <w:t xml:space="preserve">Rapport F </w:t>
            </w:r>
            <w:r>
              <w:rPr>
                <w:sz w:val="18"/>
              </w:rPr>
              <w:t xml:space="preserve">11,57 (</w:t>
            </w:r>
            <w:r>
              <w:rPr>
                <w:i/>
                <w:sz w:val="18"/>
              </w:rPr>
              <w:t xml:space="preserve">df, </w:t>
            </w:r>
            <w:r>
              <w:rPr>
                <w:i/>
                <w:sz w:val="18"/>
              </w:rPr>
              <w:t xml:space="preserve">errdf </w:t>
            </w:r>
            <w:r>
              <w:rPr>
                <w:sz w:val="18"/>
              </w:rPr>
              <w:t xml:space="preserve">: </w:t>
            </w:r>
            <w:r>
              <w:rPr>
                <w:sz w:val="18"/>
              </w:rPr>
              <w:t xml:space="preserve">1,55),</w:t>
            </w:r>
          </w:p>
          <w:p>
            <w:pPr>
              <w:pStyle w:val="TableParagraph"/>
              <w:spacing w:before="27"/>
              <w:ind w:start="169" w:end="176"/>
              <w:jc w:val="center"/>
              <w:rPr>
                <w:sz w:val="12"/>
              </w:rPr>
            </w:pPr>
            <w:r>
              <w:rPr>
                <w:i/>
                <w:sz w:val="18"/>
              </w:rPr>
              <w:t xml:space="preserve">P=0</w:t>
            </w:r>
            <w:r>
              <w:rPr>
                <w:sz w:val="18"/>
              </w:rPr>
              <w:t xml:space="preserve">.0013</w:t>
            </w:r>
          </w:p>
        </w:tc>
        <w:tc>
          <w:tcPr>
            <w:tcW w:w="993" w:type="dxa"/>
          </w:tcPr>
          <w:p>
            <w:pPr>
              <w:pStyle w:val="TableParagraph"/>
              <w:spacing w:before="3"/>
              <w:ind w:start="86" w:end="95"/>
              <w:jc w:val="center"/>
              <w:rPr>
                <w:sz w:val="18"/>
              </w:rPr>
            </w:pPr>
            <w:r>
              <w:rPr>
                <w:sz w:val="18"/>
              </w:rPr>
              <w:t xml:space="preserve">Important</w:t>
            </w:r>
          </w:p>
        </w:tc>
        <w:tc>
          <w:tcPr>
            <w:tcW w:w="1267" w:type="dxa"/>
          </w:tcPr>
          <w:p>
            <w:pPr>
              <w:pStyle w:val="TableParagraph"/>
              <w:spacing w:before="3"/>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before="2" w:line="276" w:lineRule="auto"/>
              <w:ind w:start="107" w:end="904"/>
              <w:rPr>
                <w:b/>
                <w:i/>
                <w:sz w:val="20"/>
              </w:rPr>
            </w:pPr>
            <w:r>
              <w:rPr>
                <w:b/>
                <w:i/>
                <w:sz w:val="20"/>
              </w:rPr>
              <w:t xml:space="preserve">Moyenne </w:t>
            </w:r>
            <w:r>
              <w:rPr>
                <w:b/>
                <w:i/>
                <w:sz w:val="20"/>
              </w:rPr>
              <w:t xml:space="preserve">[±SD] </w:t>
            </w:r>
            <w:r>
              <w:rPr>
                <w:b/>
                <w:i/>
                <w:sz w:val="20"/>
              </w:rPr>
              <w:t xml:space="preserve">de l'échelle d'</w:t>
            </w:r>
            <w:r>
              <w:rPr>
                <w:b/>
                <w:i/>
                <w:sz w:val="20"/>
              </w:rPr>
              <w:t xml:space="preserve">image </w:t>
            </w:r>
            <w:r>
              <w:rPr>
                <w:b/>
                <w:i/>
                <w:sz w:val="20"/>
              </w:rPr>
              <w:t xml:space="preserve">corporelle </w:t>
            </w:r>
            <w:r>
              <w:rPr>
                <w:b/>
                <w:i/>
                <w:sz w:val="20"/>
              </w:rPr>
              <w:t xml:space="preserve">(</w:t>
            </w:r>
            <w:r>
              <w:rPr>
                <w:b/>
                <w:i/>
                <w:sz w:val="20"/>
              </w:rPr>
              <w:t xml:space="preserve">caractéristiques </w:t>
            </w:r>
            <w:r>
              <w:rPr>
                <w:b/>
                <w:i/>
                <w:sz w:val="20"/>
              </w:rPr>
              <w:t xml:space="preserve">neutres</w:t>
            </w:r>
            <w:r>
              <w:rPr>
                <w:b/>
                <w:i/>
                <w:sz w:val="20"/>
              </w:rPr>
              <w:t xml:space="preserve">), </w:t>
            </w:r>
            <w:r>
              <w:rPr>
                <w:b/>
                <w:i/>
                <w:sz w:val="20"/>
              </w:rPr>
              <w:t xml:space="preserve">point </w:t>
            </w:r>
            <w:r>
              <w:rPr>
                <w:b/>
                <w:i/>
                <w:sz w:val="20"/>
              </w:rPr>
              <w:t xml:space="preserve">de </w:t>
            </w:r>
            <w:r>
              <w:rPr>
                <w:b/>
                <w:i/>
                <w:sz w:val="20"/>
              </w:rPr>
              <w:t xml:space="preserve">départ </w:t>
            </w:r>
            <w:r>
              <w:rPr>
                <w:b/>
                <w:i/>
                <w:sz w:val="20"/>
              </w:rPr>
              <w:t xml:space="preserve">(T0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bl>
    <w:p w:rsidR="00432386" w:rsidRDefault="00432386">
      <w:pPr>
        <w:spacing w:line="276" w:lineRule="auto"/>
        <w:rPr>
          <w:sz w:val="20"/>
        </w:rPr>
        <w:sectPr w:rsidR="00432386">
          <w:pgSz w:w="16840" w:h="11910" w:orient="landscape"/>
          <w:pgMar w:top="1100" w:right="1100" w:bottom="146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2"/>
        <w:gridCol w:w="1100"/>
        <w:gridCol w:w="1441"/>
        <w:gridCol w:w="1538"/>
        <w:gridCol w:w="1278"/>
        <w:gridCol w:w="1137"/>
        <w:gridCol w:w="1137"/>
        <w:gridCol w:w="2705"/>
        <w:gridCol w:w="993"/>
        <w:gridCol w:w="1267"/>
      </w:tblGrid>
      <w:tr w:rsidR="00432386">
        <w:trPr>
          <w:trHeight w:val="299"/>
        </w:trPr>
        <w:tc>
          <w:tcPr>
            <w:tcW w:w="6949" w:type="dxa"/>
            <w:gridSpan w:val="5"/>
            <w:vMerge w:val="restart"/>
            <w:shd w:val="clear" w:color="auto" w:fill="D9D9D9"/>
          </w:tcPr>
          <w:p>
            <w:pPr>
              <w:pStyle w:val="TableParagraph"/>
              <w:spacing w:before="1"/>
              <w:ind w:start="3101" w:end="3095"/>
              <w:jc w:val="center"/>
              <w:rPr>
                <w:b/>
                <w:sz w:val="16"/>
              </w:rPr>
            </w:pPr>
            <w:r>
              <w:rPr>
                <w:b/>
                <w:sz w:val="16"/>
              </w:rPr>
              <w:t xml:space="preserve">QUALITÉ</w:t>
            </w:r>
          </w:p>
        </w:tc>
        <w:tc>
          <w:tcPr>
            <w:tcW w:w="4979" w:type="dxa"/>
            <w:gridSpan w:val="3"/>
            <w:shd w:val="clear" w:color="auto" w:fill="D9D9D9"/>
          </w:tcPr>
          <w:p>
            <w:pPr>
              <w:pStyle w:val="TableParagraph"/>
              <w:spacing w:before="1"/>
              <w:ind w:start="1669" w:end="1672"/>
              <w:jc w:val="center"/>
              <w:rPr>
                <w:b/>
                <w:sz w:val="16"/>
              </w:rPr>
            </w:pPr>
            <w:r>
              <w:rPr>
                <w:b/>
                <w:sz w:val="16"/>
              </w:rPr>
              <w:t xml:space="preserve">Résumé </w:t>
            </w:r>
            <w:r>
              <w:rPr>
                <w:b/>
                <w:sz w:val="16"/>
              </w:rPr>
              <w:t xml:space="preserve">des </w:t>
            </w:r>
            <w:r>
              <w:rPr>
                <w:b/>
                <w:sz w:val="16"/>
              </w:rPr>
              <w:t xml:space="preserve">conclusions</w:t>
            </w:r>
          </w:p>
        </w:tc>
        <w:tc>
          <w:tcPr>
            <w:tcW w:w="993" w:type="dxa"/>
            <w:vMerge w:val="restart"/>
            <w:shd w:val="clear" w:color="auto" w:fill="D9D9D9"/>
          </w:tcPr>
          <w:p>
            <w:pPr>
              <w:pStyle w:val="TableParagraph"/>
              <w:spacing w:before="1"/>
              <w:ind w:start="316" w:end="109" w:hanging="200"/>
              <w:rPr>
                <w:b/>
                <w:sz w:val="16"/>
              </w:rPr>
            </w:pPr>
            <w:r>
              <w:rPr>
                <w:b/>
                <w:sz w:val="16"/>
              </w:rPr>
              <w:t xml:space="preserve">IMPORTA </w:t>
            </w:r>
            <w:r>
              <w:rPr>
                <w:b/>
                <w:sz w:val="16"/>
              </w:rPr>
              <w:t xml:space="preserve">NCE</w:t>
            </w:r>
          </w:p>
        </w:tc>
        <w:tc>
          <w:tcPr>
            <w:tcW w:w="1267" w:type="dxa"/>
            <w:vMerge w:val="restart"/>
            <w:shd w:val="clear" w:color="auto" w:fill="D9D9D9"/>
          </w:tcPr>
          <w:p>
            <w:pPr>
              <w:pStyle w:val="TableParagraph"/>
              <w:spacing w:before="1"/>
              <w:ind w:start="160"/>
              <w:rPr>
                <w:b/>
                <w:sz w:val="16"/>
              </w:rPr>
            </w:pPr>
            <w:r>
              <w:rPr>
                <w:b/>
                <w:sz w:val="16"/>
              </w:rPr>
              <w:t xml:space="preserve">CERTIFICAT</w:t>
            </w:r>
          </w:p>
        </w:tc>
      </w:tr>
      <w:tr w:rsidR="00432386">
        <w:trPr>
          <w:trHeight w:val="369"/>
        </w:trPr>
        <w:tc>
          <w:tcPr>
            <w:tcW w:w="6949" w:type="dxa"/>
            <w:gridSpan w:val="5"/>
            <w:vMerge/>
            <w:tcBorders>
              <w:top w:val="nil"/>
            </w:tcBorders>
            <w:shd w:val="clear" w:color="auto" w:fill="D9D9D9"/>
          </w:tcPr>
          <w:p w:rsidR="00432386" w:rsidRDefault="00432386">
            <w:pPr>
              <w:rPr>
                <w:sz w:val="2"/>
                <w:szCs w:val="2"/>
              </w:rPr>
            </w:pPr>
          </w:p>
        </w:tc>
        <w:tc>
          <w:tcPr>
            <w:tcW w:w="2274" w:type="dxa"/>
            <w:gridSpan w:val="2"/>
            <w:shd w:val="clear" w:color="auto" w:fill="D9D9D9"/>
          </w:tcPr>
          <w:p>
            <w:pPr>
              <w:pStyle w:val="TableParagraph"/>
              <w:spacing w:line="180" w:lineRule="atLeast"/>
              <w:ind w:start="547" w:end="408" w:hanging="125"/>
              <w:rPr>
                <w:b/>
                <w:sz w:val="16"/>
              </w:rPr>
            </w:pPr>
            <w:r>
              <w:rPr>
                <w:b/>
                <w:sz w:val="16"/>
              </w:rPr>
              <w:t xml:space="preserve">Nombre d'événements/Nombre de </w:t>
            </w:r>
            <w:r>
              <w:rPr>
                <w:b/>
                <w:sz w:val="16"/>
              </w:rPr>
              <w:t xml:space="preserve">patients </w:t>
            </w:r>
            <w:r>
              <w:rPr>
                <w:b/>
                <w:sz w:val="16"/>
              </w:rPr>
              <w:t xml:space="preserve">(n/N%)</w:t>
            </w:r>
          </w:p>
        </w:tc>
        <w:tc>
          <w:tcPr>
            <w:tcW w:w="2705" w:type="dxa"/>
            <w:shd w:val="clear" w:color="auto" w:fill="D9D9D9"/>
          </w:tcPr>
          <w:p>
            <w:pPr>
              <w:pStyle w:val="TableParagraph"/>
              <w:spacing w:before="1"/>
              <w:ind w:start="169" w:end="177"/>
              <w:jc w:val="center"/>
              <w:rPr>
                <w:b/>
                <w:sz w:val="16"/>
              </w:rPr>
            </w:pPr>
            <w:r>
              <w:rPr>
                <w:b/>
                <w:sz w:val="16"/>
              </w:rPr>
              <w:t xml:space="preserve">Effet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733"/>
        </w:trPr>
        <w:tc>
          <w:tcPr>
            <w:tcW w:w="1592" w:type="dxa"/>
            <w:shd w:val="clear" w:color="auto" w:fill="D9D9D9"/>
          </w:tcPr>
          <w:p>
            <w:pPr>
              <w:pStyle w:val="TableParagraph"/>
              <w:spacing w:line="183" w:lineRule="exact"/>
              <w:ind w:start="226" w:end="219"/>
              <w:jc w:val="center"/>
              <w:rPr>
                <w:b/>
                <w:sz w:val="16"/>
              </w:rPr>
            </w:pPr>
            <w:r>
              <w:rPr>
                <w:b/>
                <w:sz w:val="16"/>
              </w:rPr>
              <w:t xml:space="preserve">Étude</w:t>
            </w:r>
          </w:p>
        </w:tc>
        <w:tc>
          <w:tcPr>
            <w:tcW w:w="1100" w:type="dxa"/>
            <w:shd w:val="clear" w:color="auto" w:fill="D9D9D9"/>
          </w:tcPr>
          <w:p>
            <w:pPr>
              <w:pStyle w:val="TableParagraph"/>
              <w:ind w:start="388" w:end="256" w:hanging="108"/>
              <w:rPr>
                <w:b/>
                <w:sz w:val="16"/>
              </w:rPr>
            </w:pPr>
            <w:r>
              <w:rPr>
                <w:b/>
                <w:sz w:val="16"/>
              </w:rPr>
              <w:t xml:space="preserve">Risque de </w:t>
            </w:r>
            <w:r>
              <w:rPr>
                <w:b/>
                <w:sz w:val="16"/>
              </w:rPr>
              <w:t xml:space="preserve">partialité</w:t>
            </w:r>
          </w:p>
        </w:tc>
        <w:tc>
          <w:tcPr>
            <w:tcW w:w="1441" w:type="dxa"/>
            <w:shd w:val="clear" w:color="auto" w:fill="D9D9D9"/>
          </w:tcPr>
          <w:p>
            <w:pPr>
              <w:pStyle w:val="TableParagraph"/>
              <w:spacing w:line="183" w:lineRule="exact"/>
              <w:ind w:start="243"/>
              <w:rPr>
                <w:b/>
                <w:sz w:val="16"/>
              </w:rPr>
            </w:pPr>
            <w:r>
              <w:rPr>
                <w:b/>
                <w:sz w:val="16"/>
              </w:rPr>
              <w:t xml:space="preserve">Indirectness</w:t>
            </w:r>
          </w:p>
        </w:tc>
        <w:tc>
          <w:tcPr>
            <w:tcW w:w="1538" w:type="dxa"/>
            <w:shd w:val="clear" w:color="auto" w:fill="D9D9D9"/>
          </w:tcPr>
          <w:p>
            <w:pPr>
              <w:pStyle w:val="TableParagraph"/>
              <w:spacing w:line="183" w:lineRule="exact"/>
              <w:ind w:start="228"/>
              <w:rPr>
                <w:b/>
                <w:sz w:val="16"/>
              </w:rPr>
            </w:pPr>
            <w:r>
              <w:rPr>
                <w:b/>
                <w:sz w:val="16"/>
              </w:rPr>
              <w:t xml:space="preserve">Incohérence</w:t>
            </w:r>
          </w:p>
        </w:tc>
        <w:tc>
          <w:tcPr>
            <w:tcW w:w="1278" w:type="dxa"/>
            <w:shd w:val="clear" w:color="auto" w:fill="D9D9D9"/>
          </w:tcPr>
          <w:p>
            <w:pPr>
              <w:pStyle w:val="TableParagraph"/>
              <w:spacing w:line="183" w:lineRule="exact"/>
              <w:ind w:start="183"/>
              <w:rPr>
                <w:b/>
                <w:sz w:val="16"/>
              </w:rPr>
            </w:pPr>
            <w:r>
              <w:rPr>
                <w:b/>
                <w:sz w:val="16"/>
              </w:rPr>
              <w:t xml:space="preserve">Imprécision</w:t>
            </w:r>
          </w:p>
        </w:tc>
        <w:tc>
          <w:tcPr>
            <w:tcW w:w="1137" w:type="dxa"/>
            <w:shd w:val="clear" w:color="auto" w:fill="D9D9D9"/>
          </w:tcPr>
          <w:p>
            <w:pPr>
              <w:pStyle w:val="TableParagraph"/>
              <w:ind w:start="119" w:end="107" w:firstLine="297"/>
              <w:rPr>
                <w:b/>
                <w:sz w:val="16"/>
              </w:rPr>
            </w:pPr>
            <w:r>
              <w:rPr>
                <w:b/>
                <w:sz w:val="16"/>
              </w:rPr>
              <w:t xml:space="preserve">Sexe </w:t>
            </w:r>
            <w:r>
              <w:rPr>
                <w:b/>
                <w:sz w:val="16"/>
              </w:rPr>
              <w:t xml:space="preserve">assigné à la </w:t>
            </w:r>
            <w:r>
              <w:rPr>
                <w:b/>
                <w:sz w:val="16"/>
              </w:rPr>
              <w:t xml:space="preserve">naissance : </w:t>
            </w:r>
            <w:r>
              <w:rPr>
                <w:b/>
                <w:sz w:val="16"/>
              </w:rPr>
              <w:t xml:space="preserve">hommes</w:t>
            </w:r>
          </w:p>
        </w:tc>
        <w:tc>
          <w:tcPr>
            <w:tcW w:w="1137" w:type="dxa"/>
            <w:shd w:val="clear" w:color="auto" w:fill="D9D9D9"/>
          </w:tcPr>
          <w:p>
            <w:pPr>
              <w:pStyle w:val="TableParagraph"/>
              <w:ind w:start="120" w:end="120"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4" w:end="262" w:hanging="6"/>
              <w:jc w:val="center"/>
              <w:rPr>
                <w:b/>
                <w:sz w:val="16"/>
              </w:rPr>
            </w:pPr>
            <w:r>
              <w:rPr>
                <w:b/>
                <w:sz w:val="16"/>
              </w:rPr>
              <w:t xml:space="preserve">femelles de </w:t>
            </w:r>
            <w:r>
              <w:rPr>
                <w:b/>
                <w:sz w:val="16"/>
              </w:rPr>
              <w:t xml:space="preserve">naissance</w:t>
            </w:r>
          </w:p>
        </w:tc>
        <w:tc>
          <w:tcPr>
            <w:tcW w:w="2705" w:type="dxa"/>
            <w:shd w:val="clear" w:color="auto" w:fill="D9D9D9"/>
          </w:tcPr>
          <w:p>
            <w:pPr>
              <w:pStyle w:val="TableParagraph"/>
              <w:spacing w:line="183" w:lineRule="exact"/>
              <w:ind w:start="169" w:end="180"/>
              <w:jc w:val="center"/>
              <w:rPr>
                <w:b/>
                <w:sz w:val="16"/>
              </w:rPr>
            </w:pPr>
            <w:r>
              <w:rPr>
                <w:b/>
                <w:sz w:val="16"/>
              </w:rPr>
              <w:t xml:space="preserve">Résultat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4"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before="1"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3"/>
              <w:ind w:start="192"/>
              <w:rPr>
                <w:sz w:val="18"/>
              </w:rPr>
            </w:pPr>
            <w:r>
              <w:rPr>
                <w:sz w:val="18"/>
              </w:rPr>
              <w:t xml:space="preserve">Non </w:t>
            </w:r>
            <w:r>
              <w:rPr>
                <w:sz w:val="18"/>
              </w:rPr>
              <w:t xml:space="preserve">applicable</w:t>
            </w:r>
          </w:p>
        </w:tc>
        <w:tc>
          <w:tcPr>
            <w:tcW w:w="1278" w:type="dxa"/>
          </w:tcPr>
          <w:p>
            <w:pPr>
              <w:pStyle w:val="TableParagraph"/>
              <w:spacing w:before="1"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8" w:lineRule="exact"/>
              <w:ind w:start="108" w:end="113"/>
              <w:jc w:val="center"/>
              <w:rPr>
                <w:sz w:val="12"/>
              </w:rPr>
            </w:pPr>
            <w:r>
              <w:rPr>
                <w:sz w:val="18"/>
              </w:rPr>
              <w:t xml:space="preserve">n-NR2</w:t>
            </w:r>
          </w:p>
          <w:p>
            <w:pPr>
              <w:pStyle w:val="TableParagraph"/>
              <w:ind w:start="109" w:end="113"/>
              <w:jc w:val="center"/>
              <w:rPr>
                <w:sz w:val="18"/>
              </w:rPr>
            </w:pPr>
            <w:r>
              <w:rPr>
                <w:sz w:val="18"/>
              </w:rPr>
              <w:t xml:space="preserve">score à T0 </w:t>
            </w:r>
            <w:r>
              <w:rPr>
                <w:sz w:val="18"/>
              </w:rPr>
              <w:t xml:space="preserve">2,60</w:t>
            </w:r>
          </w:p>
          <w:p>
            <w:pPr>
              <w:pStyle w:val="TableParagraph"/>
              <w:spacing w:line="206" w:lineRule="exact"/>
              <w:ind w:start="110" w:end="112"/>
              <w:jc w:val="center"/>
              <w:rPr>
                <w:sz w:val="18"/>
              </w:rPr>
            </w:pPr>
            <w:r>
              <w:rPr>
                <w:sz w:val="18"/>
              </w:rPr>
              <w:t xml:space="preserve">[±0.58]</w:t>
            </w:r>
          </w:p>
          <w:p>
            <w:pPr>
              <w:pStyle w:val="TableParagraph"/>
              <w:spacing w:before="1"/>
              <w:ind w:start="109" w:end="113"/>
              <w:jc w:val="center"/>
              <w:rPr>
                <w:sz w:val="18"/>
              </w:rPr>
            </w:pPr>
            <w:r>
              <w:rPr>
                <w:sz w:val="18"/>
              </w:rPr>
              <w:t xml:space="preserve">score à T1 </w:t>
            </w:r>
            <w:r>
              <w:rPr>
                <w:sz w:val="18"/>
              </w:rPr>
              <w:t xml:space="preserve">2,32</w:t>
            </w:r>
          </w:p>
          <w:p>
            <w:pPr>
              <w:pStyle w:val="TableParagraph"/>
              <w:spacing w:line="186" w:lineRule="exact"/>
              <w:ind w:start="110" w:end="112"/>
              <w:jc w:val="center"/>
              <w:rPr>
                <w:sz w:val="18"/>
              </w:rPr>
            </w:pPr>
            <w:r>
              <w:rPr>
                <w:sz w:val="18"/>
              </w:rPr>
              <w:t xml:space="preserve">[±0.59]</w:t>
            </w:r>
          </w:p>
        </w:tc>
        <w:tc>
          <w:tcPr>
            <w:tcW w:w="1137" w:type="dxa"/>
          </w:tcPr>
          <w:p>
            <w:pPr>
              <w:pStyle w:val="TableParagraph"/>
              <w:spacing w:line="208" w:lineRule="exact"/>
              <w:ind w:start="110" w:end="113"/>
              <w:jc w:val="center"/>
              <w:rPr>
                <w:sz w:val="12"/>
              </w:rPr>
            </w:pPr>
            <w:r>
              <w:rPr>
                <w:sz w:val="18"/>
              </w:rPr>
              <w:t xml:space="preserve">n-NR2</w:t>
            </w:r>
          </w:p>
          <w:p>
            <w:pPr>
              <w:pStyle w:val="TableParagraph"/>
              <w:ind w:start="110" w:end="112"/>
              <w:jc w:val="center"/>
              <w:rPr>
                <w:sz w:val="18"/>
              </w:rPr>
            </w:pPr>
            <w:r>
              <w:rPr>
                <w:sz w:val="18"/>
              </w:rPr>
              <w:t xml:space="preserve">score à T0 </w:t>
            </w:r>
            <w:r>
              <w:rPr>
                <w:sz w:val="18"/>
              </w:rPr>
              <w:t xml:space="preserve">2,24</w:t>
            </w:r>
          </w:p>
          <w:p>
            <w:pPr>
              <w:pStyle w:val="TableParagraph"/>
              <w:spacing w:line="206" w:lineRule="exact"/>
              <w:ind w:start="110" w:end="110"/>
              <w:jc w:val="center"/>
              <w:rPr>
                <w:sz w:val="18"/>
              </w:rPr>
            </w:pPr>
            <w:r>
              <w:rPr>
                <w:sz w:val="18"/>
              </w:rPr>
              <w:t xml:space="preserve">[±0.62]</w:t>
            </w:r>
          </w:p>
          <w:p>
            <w:pPr>
              <w:pStyle w:val="TableParagraph"/>
              <w:spacing w:before="1"/>
              <w:ind w:start="110" w:end="112"/>
              <w:jc w:val="center"/>
              <w:rPr>
                <w:sz w:val="18"/>
              </w:rPr>
            </w:pPr>
            <w:r>
              <w:rPr>
                <w:sz w:val="18"/>
              </w:rPr>
              <w:t xml:space="preserve">score à T1 </w:t>
            </w:r>
            <w:r>
              <w:rPr>
                <w:sz w:val="18"/>
              </w:rPr>
              <w:t xml:space="preserve">2,61</w:t>
            </w:r>
          </w:p>
          <w:p>
            <w:pPr>
              <w:pStyle w:val="TableParagraph"/>
              <w:spacing w:line="186" w:lineRule="exact"/>
              <w:ind w:start="110" w:end="110"/>
              <w:jc w:val="center"/>
              <w:rPr>
                <w:sz w:val="18"/>
              </w:rPr>
            </w:pPr>
            <w:r>
              <w:rPr>
                <w:sz w:val="18"/>
              </w:rPr>
              <w:t xml:space="preserve">[±0.50]</w:t>
            </w:r>
          </w:p>
        </w:tc>
        <w:tc>
          <w:tcPr>
            <w:tcW w:w="2705" w:type="dxa"/>
          </w:tcPr>
          <w:p>
            <w:pPr>
              <w:pStyle w:val="TableParagraph"/>
              <w:spacing w:before="1"/>
              <w:ind w:start="169" w:end="181"/>
              <w:jc w:val="center"/>
              <w:rPr>
                <w:sz w:val="18"/>
              </w:rPr>
            </w:pPr>
            <w:r>
              <w:rPr>
                <w:i/>
                <w:sz w:val="18"/>
              </w:rPr>
              <w:t xml:space="preserve">Rapport F </w:t>
            </w:r>
            <w:r>
              <w:rPr>
                <w:sz w:val="18"/>
              </w:rPr>
              <w:t xml:space="preserve">0,081 (</w:t>
            </w:r>
            <w:r>
              <w:rPr>
                <w:i/>
                <w:sz w:val="18"/>
              </w:rPr>
              <w:t xml:space="preserve">df, </w:t>
            </w:r>
            <w:r>
              <w:rPr>
                <w:i/>
                <w:sz w:val="18"/>
              </w:rPr>
              <w:t xml:space="preserve">errdf </w:t>
            </w:r>
            <w:r>
              <w:rPr>
                <w:sz w:val="18"/>
              </w:rPr>
              <w:t xml:space="preserve">: </w:t>
            </w:r>
            <w:r>
              <w:rPr>
                <w:sz w:val="18"/>
              </w:rPr>
              <w:t xml:space="preserve">1,55),</w:t>
            </w:r>
          </w:p>
          <w:p>
            <w:pPr>
              <w:pStyle w:val="TableParagraph"/>
              <w:spacing w:before="27"/>
              <w:ind w:start="169" w:end="181"/>
              <w:jc w:val="center"/>
              <w:rPr>
                <w:sz w:val="12"/>
              </w:rPr>
            </w:pPr>
            <w:r>
              <w:rPr>
                <w:i/>
                <w:sz w:val="18"/>
              </w:rPr>
              <w:t xml:space="preserve">P=0</w:t>
            </w:r>
            <w:r>
              <w:rPr>
                <w:sz w:val="18"/>
              </w:rPr>
              <w:t xml:space="preserve">.7773</w:t>
            </w:r>
          </w:p>
        </w:tc>
        <w:tc>
          <w:tcPr>
            <w:tcW w:w="993" w:type="dxa"/>
          </w:tcPr>
          <w:p>
            <w:pPr>
              <w:pStyle w:val="TableParagraph"/>
              <w:spacing w:before="3"/>
              <w:ind w:start="86" w:end="95"/>
              <w:jc w:val="center"/>
              <w:rPr>
                <w:sz w:val="18"/>
              </w:rPr>
            </w:pPr>
            <w:r>
              <w:rPr>
                <w:sz w:val="18"/>
              </w:rPr>
              <w:t xml:space="preserve">Important</w:t>
            </w:r>
          </w:p>
        </w:tc>
        <w:tc>
          <w:tcPr>
            <w:tcW w:w="1267" w:type="dxa"/>
          </w:tcPr>
          <w:p>
            <w:pPr>
              <w:pStyle w:val="TableParagraph"/>
              <w:spacing w:before="3"/>
              <w:ind w:start="125" w:end="142"/>
              <w:jc w:val="center"/>
              <w:rPr>
                <w:sz w:val="18"/>
              </w:rPr>
            </w:pPr>
            <w:r>
              <w:rPr>
                <w:sz w:val="18"/>
              </w:rPr>
              <w:t xml:space="preserve">TRES </w:t>
            </w:r>
            <w:r>
              <w:rPr>
                <w:sz w:val="18"/>
              </w:rPr>
              <w:t xml:space="preserve">FAIBLE</w:t>
            </w:r>
          </w:p>
        </w:tc>
      </w:tr>
      <w:tr w:rsidR="00432386">
        <w:trPr>
          <w:trHeight w:val="465"/>
        </w:trPr>
        <w:tc>
          <w:tcPr>
            <w:tcW w:w="14188" w:type="dxa"/>
            <w:gridSpan w:val="10"/>
            <w:shd w:val="clear" w:color="auto" w:fill="8DB3E1"/>
          </w:tcPr>
          <w:p>
            <w:pPr>
              <w:pStyle w:val="TableParagraph"/>
              <w:spacing w:line="229" w:lineRule="exact"/>
              <w:ind w:start="107"/>
              <w:rPr>
                <w:b/>
                <w:i/>
                <w:sz w:val="20"/>
              </w:rPr>
            </w:pPr>
            <w:r>
              <w:rPr>
                <w:b/>
                <w:i/>
                <w:sz w:val="20"/>
              </w:rPr>
              <w:t xml:space="preserve">Impact </w:t>
            </w:r>
            <w:r>
              <w:rPr>
                <w:b/>
                <w:i/>
                <w:sz w:val="20"/>
              </w:rPr>
              <w:t xml:space="preserve">psychosocial</w:t>
            </w:r>
          </w:p>
        </w:tc>
      </w:tr>
      <w:tr w:rsidR="00432386">
        <w:trPr>
          <w:trHeight w:val="465"/>
        </w:trPr>
        <w:tc>
          <w:tcPr>
            <w:tcW w:w="14188" w:type="dxa"/>
            <w:gridSpan w:val="10"/>
            <w:shd w:val="clear" w:color="auto" w:fill="C5D9F0"/>
          </w:tcPr>
          <w:p>
            <w:pPr>
              <w:pStyle w:val="TableParagraph"/>
              <w:spacing w:line="229" w:lineRule="exact"/>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au </w:t>
            </w:r>
            <w:r>
              <w:rPr>
                <w:b/>
                <w:i/>
                <w:sz w:val="20"/>
              </w:rPr>
              <w:t xml:space="preserve">départ.</w:t>
            </w:r>
          </w:p>
        </w:tc>
      </w:tr>
      <w:tr w:rsidR="00432386">
        <w:trPr>
          <w:trHeight w:val="828"/>
        </w:trPr>
        <w:tc>
          <w:tcPr>
            <w:tcW w:w="1592" w:type="dxa"/>
          </w:tcPr>
          <w:p w:rsidR="00432386" w:rsidRDefault="00432386">
            <w:pPr>
              <w:pStyle w:val="TableParagraph"/>
              <w:spacing w:before="9"/>
              <w:rPr>
                <w:b/>
                <w:sz w:val="17"/>
              </w:rPr>
            </w:pPr>
          </w:p>
          <w:p>
            <w:pPr>
              <w:pStyle w:val="TableParagraph"/>
              <w:spacing w:before="1"/>
              <w:ind w:start="139" w:end="127" w:firstLine="91"/>
              <w:rPr>
                <w:sz w:val="18"/>
              </w:rPr>
            </w:pPr>
            <w:r>
              <w:rPr>
                <w:sz w:val="18"/>
              </w:rPr>
              <w:t xml:space="preserve">1 étude de cohorte </w:t>
            </w:r>
            <w:r>
              <w:rPr>
                <w:sz w:val="18"/>
              </w:rPr>
              <w:t xml:space="preserve">Costa </w:t>
            </w:r>
            <w:r>
              <w:rPr>
                <w:sz w:val="18"/>
              </w:rPr>
              <w:t xml:space="preserve">et </w:t>
            </w:r>
            <w:r>
              <w:rPr>
                <w:sz w:val="18"/>
              </w:rPr>
              <w:t xml:space="preserve">al </w:t>
            </w:r>
            <w:r>
              <w:rPr>
                <w:sz w:val="18"/>
              </w:rPr>
              <w:t xml:space="preserve">2015</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limitations4</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line="278" w:lineRule="auto"/>
              <w:ind w:start="223" w:end="204" w:firstLine="108"/>
              <w:rPr>
                <w:sz w:val="18"/>
              </w:rPr>
            </w:pPr>
            <w:r>
              <w:rPr>
                <w:sz w:val="18"/>
              </w:rPr>
              <w:t xml:space="preserve">Aucune </w:t>
            </w:r>
            <w:r>
              <w:rPr>
                <w:sz w:val="18"/>
              </w:rPr>
              <w:t xml:space="preserve">incohérence </w:t>
            </w:r>
            <w:r>
              <w:rPr>
                <w:sz w:val="18"/>
              </w:rPr>
              <w:t xml:space="preserve">grave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ind w:start="225" w:end="228" w:hanging="2"/>
              <w:jc w:val="center"/>
              <w:rPr>
                <w:sz w:val="18"/>
              </w:rPr>
            </w:pPr>
            <w:r>
              <w:rPr>
                <w:sz w:val="18"/>
              </w:rPr>
              <w:t xml:space="preserve">n=non </w:t>
            </w:r>
            <w:r>
              <w:rPr>
                <w:sz w:val="18"/>
              </w:rPr>
              <w:t xml:space="preserve">rapporté </w:t>
            </w:r>
            <w:r>
              <w:rPr>
                <w:sz w:val="18"/>
              </w:rPr>
              <w:t xml:space="preserve">55,4</w:t>
            </w:r>
          </w:p>
          <w:p>
            <w:pPr>
              <w:pStyle w:val="TableParagraph"/>
              <w:spacing w:line="187" w:lineRule="exact"/>
              <w:ind w:start="110" w:end="112"/>
              <w:jc w:val="center"/>
              <w:rPr>
                <w:sz w:val="18"/>
              </w:rPr>
            </w:pPr>
            <w:r>
              <w:rPr>
                <w:sz w:val="18"/>
              </w:rPr>
              <w:t xml:space="preserve">[±12.7]</w:t>
            </w:r>
          </w:p>
        </w:tc>
        <w:tc>
          <w:tcPr>
            <w:tcW w:w="1137" w:type="dxa"/>
          </w:tcPr>
          <w:p>
            <w:pPr>
              <w:pStyle w:val="TableParagraph"/>
              <w:ind w:start="226" w:end="227" w:hanging="2"/>
              <w:jc w:val="center"/>
              <w:rPr>
                <w:sz w:val="18"/>
              </w:rPr>
            </w:pPr>
            <w:r>
              <w:rPr>
                <w:sz w:val="18"/>
              </w:rPr>
              <w:t xml:space="preserve">n=non </w:t>
            </w:r>
            <w:r>
              <w:rPr>
                <w:sz w:val="18"/>
              </w:rPr>
              <w:t xml:space="preserve">rapporté </w:t>
            </w:r>
            <w:r>
              <w:rPr>
                <w:sz w:val="18"/>
              </w:rPr>
              <w:t xml:space="preserve">59,2</w:t>
            </w:r>
          </w:p>
          <w:p>
            <w:pPr>
              <w:pStyle w:val="TableParagraph"/>
              <w:spacing w:line="187" w:lineRule="exact"/>
              <w:ind w:start="110" w:end="110"/>
              <w:jc w:val="center"/>
              <w:rPr>
                <w:sz w:val="18"/>
              </w:rPr>
            </w:pPr>
            <w:r>
              <w:rPr>
                <w:sz w:val="18"/>
              </w:rPr>
              <w:t xml:space="preserve">[±11.8]</w:t>
            </w:r>
          </w:p>
        </w:tc>
        <w:tc>
          <w:tcPr>
            <w:tcW w:w="2705" w:type="dxa"/>
          </w:tcPr>
          <w:p>
            <w:pPr>
              <w:pStyle w:val="TableParagraph"/>
              <w:spacing w:line="206" w:lineRule="exact"/>
              <w:ind w:start="169" w:end="176"/>
              <w:jc w:val="center"/>
              <w:rPr>
                <w:sz w:val="12"/>
              </w:rPr>
            </w:pPr>
            <w:r>
              <w:rPr>
                <w:i/>
                <w:sz w:val="18"/>
              </w:rPr>
              <w:t xml:space="preserve">t-test </w:t>
            </w:r>
            <w:r>
              <w:rPr>
                <w:sz w:val="18"/>
              </w:rPr>
              <w:t xml:space="preserve">2.15 ; </w:t>
            </w:r>
            <w:r>
              <w:rPr>
                <w:i/>
                <w:sz w:val="18"/>
              </w:rPr>
              <w:t xml:space="preserve">P=0</w:t>
            </w:r>
            <w:r>
              <w:rPr>
                <w:sz w:val="18"/>
              </w:rPr>
              <w:t xml:space="preserve">.035</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line="276" w:lineRule="auto"/>
              <w:ind w:start="107" w:end="880"/>
              <w:rPr>
                <w:b/>
                <w:i/>
                <w:sz w:val="20"/>
              </w:rPr>
            </w:pPr>
            <w:r>
              <w:rPr>
                <w:b/>
                <w:i/>
                <w:sz w:val="20"/>
              </w:rPr>
              <w:t xml:space="preserve">Score </w:t>
            </w:r>
            <w:r>
              <w:rPr>
                <w:b/>
                <w:i/>
                <w:sz w:val="20"/>
              </w:rPr>
              <w:t xml:space="preserve">moyen </w:t>
            </w:r>
            <w:r>
              <w:rPr>
                <w:b/>
                <w:i/>
                <w:sz w:val="20"/>
              </w:rPr>
              <w:t xml:space="preserve">[±SD] </w:t>
            </w:r>
            <w:r>
              <w:rPr>
                <w:b/>
                <w:i/>
                <w:sz w:val="20"/>
              </w:rPr>
              <w:t xml:space="preserve">de l'</w:t>
            </w:r>
            <w:r>
              <w:rPr>
                <w:b/>
                <w:i/>
                <w:sz w:val="20"/>
              </w:rPr>
              <w:t xml:space="preserve">échelle d'</w:t>
            </w:r>
            <w:r>
              <w:rPr>
                <w:b/>
                <w:i/>
                <w:sz w:val="20"/>
              </w:rPr>
              <w:t xml:space="preserve">évaluation </w:t>
            </w:r>
            <w:r>
              <w:rPr>
                <w:b/>
                <w:i/>
                <w:sz w:val="20"/>
              </w:rPr>
              <w:t xml:space="preserve">globale de l'</w:t>
            </w:r>
            <w:r>
              <w:rPr>
                <w:b/>
                <w:i/>
                <w:sz w:val="20"/>
              </w:rPr>
              <w:t xml:space="preserve">enfant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GnRH)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n-NR6</w:t>
            </w:r>
          </w:p>
          <w:p>
            <w:pPr>
              <w:pStyle w:val="TableParagraph"/>
              <w:ind w:start="109" w:end="113"/>
              <w:jc w:val="center"/>
              <w:rPr>
                <w:sz w:val="18"/>
              </w:rPr>
            </w:pPr>
            <w:r>
              <w:rPr>
                <w:sz w:val="18"/>
              </w:rPr>
              <w:t xml:space="preserve">score à T0 </w:t>
            </w:r>
            <w:r>
              <w:rPr>
                <w:sz w:val="18"/>
              </w:rPr>
              <w:t xml:space="preserve">73,10</w:t>
            </w:r>
          </w:p>
          <w:p>
            <w:pPr>
              <w:pStyle w:val="TableParagraph"/>
              <w:spacing w:before="1" w:line="207" w:lineRule="exact"/>
              <w:ind w:start="110" w:end="112"/>
              <w:jc w:val="center"/>
              <w:rPr>
                <w:sz w:val="18"/>
              </w:rPr>
            </w:pPr>
            <w:r>
              <w:rPr>
                <w:sz w:val="18"/>
              </w:rPr>
              <w:t xml:space="preserve">[±8.84]</w:t>
            </w:r>
          </w:p>
          <w:p>
            <w:pPr>
              <w:pStyle w:val="TableParagraph"/>
              <w:ind w:start="109" w:end="113"/>
              <w:jc w:val="center"/>
              <w:rPr>
                <w:sz w:val="18"/>
              </w:rPr>
            </w:pPr>
            <w:r>
              <w:rPr>
                <w:sz w:val="18"/>
              </w:rPr>
              <w:t xml:space="preserve">score à T1 </w:t>
            </w:r>
            <w:r>
              <w:rPr>
                <w:sz w:val="18"/>
              </w:rPr>
              <w:t xml:space="preserve">77,33</w:t>
            </w:r>
          </w:p>
          <w:p>
            <w:pPr>
              <w:pStyle w:val="TableParagraph"/>
              <w:spacing w:line="189" w:lineRule="exact"/>
              <w:ind w:start="110" w:end="112"/>
              <w:jc w:val="center"/>
              <w:rPr>
                <w:sz w:val="18"/>
              </w:rPr>
            </w:pPr>
            <w:r>
              <w:rPr>
                <w:sz w:val="18"/>
              </w:rPr>
              <w:t xml:space="preserve">[±8.69]</w:t>
            </w:r>
          </w:p>
        </w:tc>
        <w:tc>
          <w:tcPr>
            <w:tcW w:w="1137" w:type="dxa"/>
          </w:tcPr>
          <w:p>
            <w:pPr>
              <w:pStyle w:val="TableParagraph"/>
              <w:spacing w:line="206" w:lineRule="exact"/>
              <w:ind w:start="110" w:end="113"/>
              <w:jc w:val="center"/>
              <w:rPr>
                <w:sz w:val="12"/>
              </w:rPr>
            </w:pPr>
            <w:r>
              <w:rPr>
                <w:sz w:val="18"/>
              </w:rPr>
              <w:t xml:space="preserve">n-NR6</w:t>
            </w:r>
          </w:p>
          <w:p>
            <w:pPr>
              <w:pStyle w:val="TableParagraph"/>
              <w:ind w:start="110" w:end="112"/>
              <w:jc w:val="center"/>
              <w:rPr>
                <w:sz w:val="18"/>
              </w:rPr>
            </w:pPr>
            <w:r>
              <w:rPr>
                <w:sz w:val="18"/>
              </w:rPr>
              <w:t xml:space="preserve">score à T0 </w:t>
            </w:r>
            <w:r>
              <w:rPr>
                <w:sz w:val="18"/>
              </w:rPr>
              <w:t xml:space="preserve">67,25</w:t>
            </w:r>
          </w:p>
          <w:p>
            <w:pPr>
              <w:pStyle w:val="TableParagraph"/>
              <w:spacing w:before="1" w:line="207" w:lineRule="exact"/>
              <w:ind w:start="110" w:end="111"/>
              <w:jc w:val="center"/>
              <w:rPr>
                <w:sz w:val="18"/>
              </w:rPr>
            </w:pPr>
            <w:r>
              <w:rPr>
                <w:sz w:val="18"/>
              </w:rPr>
              <w:t xml:space="preserve">[±11.06]</w:t>
            </w:r>
          </w:p>
          <w:p>
            <w:pPr>
              <w:pStyle w:val="TableParagraph"/>
              <w:ind w:start="110" w:end="112"/>
              <w:jc w:val="center"/>
              <w:rPr>
                <w:sz w:val="18"/>
              </w:rPr>
            </w:pPr>
            <w:r>
              <w:rPr>
                <w:sz w:val="18"/>
              </w:rPr>
              <w:t xml:space="preserve">score à T1 </w:t>
            </w:r>
            <w:r>
              <w:rPr>
                <w:sz w:val="18"/>
              </w:rPr>
              <w:t xml:space="preserve">70,30</w:t>
            </w:r>
          </w:p>
          <w:p>
            <w:pPr>
              <w:pStyle w:val="TableParagraph"/>
              <w:spacing w:line="189" w:lineRule="exact"/>
              <w:ind w:start="110" w:end="110"/>
              <w:jc w:val="center"/>
              <w:rPr>
                <w:sz w:val="18"/>
              </w:rPr>
            </w:pPr>
            <w:r>
              <w:rPr>
                <w:sz w:val="18"/>
              </w:rPr>
              <w:t xml:space="preserve">[±9.44]</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5,77 </w:t>
            </w:r>
            <w:r>
              <w:rPr>
                <w:sz w:val="18"/>
              </w:rPr>
              <w:t xml:space="preserve">(</w:t>
            </w:r>
            <w:r>
              <w:rPr>
                <w:i/>
                <w:sz w:val="18"/>
              </w:rPr>
              <w:t xml:space="preserve">df, </w:t>
            </w:r>
            <w:r>
              <w:rPr>
                <w:i/>
                <w:sz w:val="18"/>
              </w:rPr>
              <w:t xml:space="preserve">errdf </w:t>
            </w:r>
            <w:r>
              <w:rPr>
                <w:sz w:val="18"/>
              </w:rPr>
              <w:t xml:space="preserve">: </w:t>
            </w:r>
            <w:r>
              <w:rPr>
                <w:sz w:val="18"/>
              </w:rPr>
              <w:t xml:space="preserve">1,39),</w:t>
            </w:r>
          </w:p>
          <w:p>
            <w:pPr>
              <w:pStyle w:val="TableParagraph"/>
              <w:spacing w:before="30"/>
              <w:ind w:start="169" w:end="179"/>
              <w:jc w:val="center"/>
              <w:rPr>
                <w:sz w:val="18"/>
              </w:rPr>
            </w:pPr>
            <w:r>
              <w:rPr>
                <w:i/>
                <w:sz w:val="18"/>
              </w:rPr>
              <w:t xml:space="preserve">P=0</w:t>
            </w:r>
            <w:r>
              <w:rPr>
                <w:sz w:val="18"/>
              </w:rPr>
              <w:t xml:space="preserve">.021</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line="276" w:lineRule="auto"/>
              <w:ind w:start="107"/>
              <w:rPr>
                <w:b/>
                <w:i/>
                <w:sz w:val="20"/>
              </w:rPr>
            </w:pPr>
            <w:r>
              <w:rPr>
                <w:b/>
                <w:i/>
                <w:sz w:val="20"/>
              </w:rPr>
              <w:t xml:space="preserve">Score </w:t>
            </w:r>
            <w:r>
              <w:rPr>
                <w:b/>
                <w:i/>
                <w:sz w:val="20"/>
              </w:rPr>
              <w:t xml:space="preserve">moyen </w:t>
            </w:r>
            <w:r>
              <w:rPr>
                <w:b/>
                <w:i/>
                <w:sz w:val="20"/>
              </w:rPr>
              <w:t xml:space="preserve">[±SD] </w:t>
            </w:r>
            <w:r>
              <w:rPr>
                <w:b/>
                <w:i/>
                <w:sz w:val="20"/>
              </w:rPr>
              <w:t xml:space="preserve">de la </w:t>
            </w:r>
            <w:r>
              <w:rPr>
                <w:b/>
                <w:i/>
                <w:sz w:val="20"/>
              </w:rPr>
              <w:t xml:space="preserve">liste de contrôle du </w:t>
            </w:r>
            <w:r>
              <w:rPr>
                <w:b/>
                <w:i/>
                <w:sz w:val="20"/>
              </w:rPr>
              <w:t xml:space="preserve">comportement de l'</w:t>
            </w:r>
            <w:r>
              <w:rPr>
                <w:b/>
                <w:i/>
                <w:sz w:val="20"/>
              </w:rPr>
              <w:t xml:space="preserve">enfant </w:t>
            </w:r>
            <w:r>
              <w:rPr>
                <w:b/>
                <w:i/>
                <w:sz w:val="20"/>
              </w:rPr>
              <w:t xml:space="preserve">(total </w:t>
            </w:r>
            <w:r>
              <w:rPr>
                <w:b/>
                <w:i/>
                <w:sz w:val="20"/>
              </w:rPr>
              <w:t xml:space="preserve">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w:t>
            </w:r>
            <w:r>
              <w:rPr>
                <w:b/>
                <w:i/>
                <w:sz w:val="20"/>
              </w:rPr>
              <w:t xml:space="preserve">GnRH</w:t>
            </w:r>
            <w:r>
              <w:rPr>
                <w:b/>
                <w:i/>
                <w:sz w:val="20"/>
              </w:rPr>
              <w:t xml:space="preserve">)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d'affirmation du </w:t>
            </w:r>
            <w:r>
              <w:rPr>
                <w:b/>
                <w:i/>
                <w:sz w:val="20"/>
              </w:rPr>
              <w:t xml:space="preserve">genre</w:t>
            </w:r>
            <w:r>
              <w:rPr>
                <w:b/>
                <w:i/>
                <w:sz w:val="20"/>
              </w:rPr>
              <w:t xml:space="preserve">).</w:t>
            </w:r>
          </w:p>
        </w:tc>
      </w:tr>
      <w:tr w:rsidR="00432386">
        <w:trPr>
          <w:trHeight w:val="1240"/>
        </w:trPr>
        <w:tc>
          <w:tcPr>
            <w:tcW w:w="1592" w:type="dxa"/>
          </w:tcPr>
          <w:p w:rsidR="00432386" w:rsidRDefault="00432386">
            <w:pPr>
              <w:pStyle w:val="TableParagraph"/>
              <w:spacing w:before="9"/>
              <w:rPr>
                <w:b/>
                <w:sz w:val="2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n-NR7</w:t>
            </w:r>
          </w:p>
          <w:p>
            <w:pPr>
              <w:pStyle w:val="TableParagraph"/>
              <w:ind w:start="109" w:end="113"/>
              <w:jc w:val="center"/>
              <w:rPr>
                <w:sz w:val="18"/>
              </w:rPr>
            </w:pPr>
            <w:r>
              <w:rPr>
                <w:sz w:val="18"/>
              </w:rPr>
              <w:t xml:space="preserve">score à T0 </w:t>
            </w:r>
            <w:r>
              <w:rPr>
                <w:sz w:val="18"/>
              </w:rPr>
              <w:t xml:space="preserve">59,42</w:t>
            </w:r>
          </w:p>
          <w:p>
            <w:pPr>
              <w:pStyle w:val="TableParagraph"/>
              <w:spacing w:line="206" w:lineRule="exact"/>
              <w:ind w:start="110" w:end="113"/>
              <w:jc w:val="center"/>
              <w:rPr>
                <w:sz w:val="18"/>
              </w:rPr>
            </w:pPr>
            <w:r>
              <w:rPr>
                <w:sz w:val="18"/>
              </w:rPr>
              <w:t xml:space="preserve">[±11.78]</w:t>
            </w:r>
          </w:p>
          <w:p>
            <w:pPr>
              <w:pStyle w:val="TableParagraph"/>
              <w:spacing w:line="206" w:lineRule="exact"/>
              <w:ind w:start="109" w:end="113"/>
              <w:jc w:val="center"/>
              <w:rPr>
                <w:sz w:val="18"/>
              </w:rPr>
            </w:pPr>
            <w:r>
              <w:rPr>
                <w:sz w:val="18"/>
              </w:rPr>
              <w:t xml:space="preserve">score à T1 </w:t>
            </w:r>
            <w:r>
              <w:rPr>
                <w:sz w:val="18"/>
              </w:rPr>
              <w:t xml:space="preserve">50,38</w:t>
            </w:r>
          </w:p>
        </w:tc>
        <w:tc>
          <w:tcPr>
            <w:tcW w:w="1137" w:type="dxa"/>
          </w:tcPr>
          <w:p>
            <w:pPr>
              <w:pStyle w:val="TableParagraph"/>
              <w:spacing w:line="206" w:lineRule="exact"/>
              <w:ind w:start="110" w:end="113"/>
              <w:jc w:val="center"/>
              <w:rPr>
                <w:sz w:val="12"/>
              </w:rPr>
            </w:pPr>
            <w:r>
              <w:rPr>
                <w:sz w:val="18"/>
              </w:rPr>
              <w:t xml:space="preserve">n-NR7</w:t>
            </w:r>
          </w:p>
          <w:p>
            <w:pPr>
              <w:pStyle w:val="TableParagraph"/>
              <w:ind w:start="110" w:end="112"/>
              <w:jc w:val="center"/>
              <w:rPr>
                <w:sz w:val="18"/>
              </w:rPr>
            </w:pPr>
            <w:r>
              <w:rPr>
                <w:sz w:val="18"/>
              </w:rPr>
              <w:t xml:space="preserve">score à T0 </w:t>
            </w:r>
            <w:r>
              <w:rPr>
                <w:sz w:val="18"/>
              </w:rPr>
              <w:t xml:space="preserve">61,73</w:t>
            </w:r>
          </w:p>
          <w:p>
            <w:pPr>
              <w:pStyle w:val="TableParagraph"/>
              <w:spacing w:line="206" w:lineRule="exact"/>
              <w:ind w:start="110" w:end="111"/>
              <w:jc w:val="center"/>
              <w:rPr>
                <w:sz w:val="18"/>
              </w:rPr>
            </w:pPr>
            <w:r>
              <w:rPr>
                <w:sz w:val="18"/>
              </w:rPr>
              <w:t xml:space="preserve">[±13.60]</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2,64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0"/>
              <w:ind w:start="169" w:end="179"/>
              <w:jc w:val="center"/>
              <w:rPr>
                <w:i/>
                <w:sz w:val="18"/>
              </w:rPr>
            </w:pPr>
            <w:r>
              <w:rPr>
                <w:i/>
                <w:sz w:val="18"/>
              </w:rPr>
              <w:t xml:space="preserve">P=0.110</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2"/>
        <w:gridCol w:w="1100"/>
        <w:gridCol w:w="1441"/>
        <w:gridCol w:w="1538"/>
        <w:gridCol w:w="1278"/>
        <w:gridCol w:w="1137"/>
        <w:gridCol w:w="1137"/>
        <w:gridCol w:w="2705"/>
        <w:gridCol w:w="993"/>
        <w:gridCol w:w="1267"/>
      </w:tblGrid>
      <w:tr w:rsidR="00432386">
        <w:trPr>
          <w:trHeight w:val="299"/>
        </w:trPr>
        <w:tc>
          <w:tcPr>
            <w:tcW w:w="6949" w:type="dxa"/>
            <w:gridSpan w:val="5"/>
            <w:vMerge w:val="restart"/>
            <w:shd w:val="clear" w:color="auto" w:fill="D9D9D9"/>
          </w:tcPr>
          <w:p>
            <w:pPr>
              <w:pStyle w:val="TableParagraph"/>
              <w:spacing w:before="1"/>
              <w:ind w:start="3101" w:end="3095"/>
              <w:jc w:val="center"/>
              <w:rPr>
                <w:b/>
                <w:sz w:val="16"/>
              </w:rPr>
            </w:pPr>
            <w:r>
              <w:rPr>
                <w:b/>
                <w:sz w:val="16"/>
              </w:rPr>
              <w:t xml:space="preserve">QUALITÉ</w:t>
            </w:r>
          </w:p>
        </w:tc>
        <w:tc>
          <w:tcPr>
            <w:tcW w:w="4979" w:type="dxa"/>
            <w:gridSpan w:val="3"/>
            <w:shd w:val="clear" w:color="auto" w:fill="D9D9D9"/>
          </w:tcPr>
          <w:p>
            <w:pPr>
              <w:pStyle w:val="TableParagraph"/>
              <w:spacing w:before="1"/>
              <w:ind w:start="1669" w:end="1672"/>
              <w:jc w:val="center"/>
              <w:rPr>
                <w:b/>
                <w:sz w:val="16"/>
              </w:rPr>
            </w:pPr>
            <w:r>
              <w:rPr>
                <w:b/>
                <w:sz w:val="16"/>
              </w:rPr>
              <w:t xml:space="preserve">Résumé </w:t>
            </w:r>
            <w:r>
              <w:rPr>
                <w:b/>
                <w:sz w:val="16"/>
              </w:rPr>
              <w:t xml:space="preserve">des </w:t>
            </w:r>
            <w:r>
              <w:rPr>
                <w:b/>
                <w:sz w:val="16"/>
              </w:rPr>
              <w:t xml:space="preserve">conclusions</w:t>
            </w:r>
          </w:p>
        </w:tc>
        <w:tc>
          <w:tcPr>
            <w:tcW w:w="993" w:type="dxa"/>
            <w:vMerge w:val="restart"/>
            <w:shd w:val="clear" w:color="auto" w:fill="D9D9D9"/>
          </w:tcPr>
          <w:p>
            <w:pPr>
              <w:pStyle w:val="TableParagraph"/>
              <w:spacing w:before="1"/>
              <w:ind w:start="316" w:end="109" w:hanging="200"/>
              <w:rPr>
                <w:b/>
                <w:sz w:val="16"/>
              </w:rPr>
            </w:pPr>
            <w:r>
              <w:rPr>
                <w:b/>
                <w:sz w:val="16"/>
              </w:rPr>
              <w:t xml:space="preserve">IMPORTA </w:t>
            </w:r>
            <w:r>
              <w:rPr>
                <w:b/>
                <w:sz w:val="16"/>
              </w:rPr>
              <w:t xml:space="preserve">NCE</w:t>
            </w:r>
          </w:p>
        </w:tc>
        <w:tc>
          <w:tcPr>
            <w:tcW w:w="1267" w:type="dxa"/>
            <w:vMerge w:val="restart"/>
            <w:shd w:val="clear" w:color="auto" w:fill="D9D9D9"/>
          </w:tcPr>
          <w:p>
            <w:pPr>
              <w:pStyle w:val="TableParagraph"/>
              <w:spacing w:before="1"/>
              <w:ind w:start="160"/>
              <w:rPr>
                <w:b/>
                <w:sz w:val="16"/>
              </w:rPr>
            </w:pPr>
            <w:r>
              <w:rPr>
                <w:b/>
                <w:sz w:val="16"/>
              </w:rPr>
              <w:t xml:space="preserve">CERTIFICAT</w:t>
            </w:r>
          </w:p>
        </w:tc>
      </w:tr>
      <w:tr w:rsidR="00432386">
        <w:trPr>
          <w:trHeight w:val="369"/>
        </w:trPr>
        <w:tc>
          <w:tcPr>
            <w:tcW w:w="6949" w:type="dxa"/>
            <w:gridSpan w:val="5"/>
            <w:vMerge/>
            <w:tcBorders>
              <w:top w:val="nil"/>
            </w:tcBorders>
            <w:shd w:val="clear" w:color="auto" w:fill="D9D9D9"/>
          </w:tcPr>
          <w:p w:rsidR="00432386" w:rsidRDefault="00432386">
            <w:pPr>
              <w:rPr>
                <w:sz w:val="2"/>
                <w:szCs w:val="2"/>
              </w:rPr>
            </w:pPr>
          </w:p>
        </w:tc>
        <w:tc>
          <w:tcPr>
            <w:tcW w:w="2274" w:type="dxa"/>
            <w:gridSpan w:val="2"/>
            <w:shd w:val="clear" w:color="auto" w:fill="D9D9D9"/>
          </w:tcPr>
          <w:p>
            <w:pPr>
              <w:pStyle w:val="TableParagraph"/>
              <w:spacing w:line="180" w:lineRule="atLeast"/>
              <w:ind w:start="547" w:end="408" w:hanging="125"/>
              <w:rPr>
                <w:b/>
                <w:sz w:val="16"/>
              </w:rPr>
            </w:pPr>
            <w:r>
              <w:rPr>
                <w:b/>
                <w:sz w:val="16"/>
              </w:rPr>
              <w:t xml:space="preserve">Nombre d'événements/Nombre de </w:t>
            </w:r>
            <w:r>
              <w:rPr>
                <w:b/>
                <w:sz w:val="16"/>
              </w:rPr>
              <w:t xml:space="preserve">patients </w:t>
            </w:r>
            <w:r>
              <w:rPr>
                <w:b/>
                <w:sz w:val="16"/>
              </w:rPr>
              <w:t xml:space="preserve">(n/N%)</w:t>
            </w:r>
          </w:p>
        </w:tc>
        <w:tc>
          <w:tcPr>
            <w:tcW w:w="2705" w:type="dxa"/>
            <w:shd w:val="clear" w:color="auto" w:fill="D9D9D9"/>
          </w:tcPr>
          <w:p>
            <w:pPr>
              <w:pStyle w:val="TableParagraph"/>
              <w:spacing w:before="1"/>
              <w:ind w:start="169" w:end="177"/>
              <w:jc w:val="center"/>
              <w:rPr>
                <w:b/>
                <w:sz w:val="16"/>
              </w:rPr>
            </w:pPr>
            <w:r>
              <w:rPr>
                <w:b/>
                <w:sz w:val="16"/>
              </w:rPr>
              <w:t xml:space="preserve">Effet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733"/>
        </w:trPr>
        <w:tc>
          <w:tcPr>
            <w:tcW w:w="1592" w:type="dxa"/>
            <w:shd w:val="clear" w:color="auto" w:fill="D9D9D9"/>
          </w:tcPr>
          <w:p>
            <w:pPr>
              <w:pStyle w:val="TableParagraph"/>
              <w:spacing w:line="183" w:lineRule="exact"/>
              <w:ind w:start="226" w:end="219"/>
              <w:jc w:val="center"/>
              <w:rPr>
                <w:b/>
                <w:sz w:val="16"/>
              </w:rPr>
            </w:pPr>
            <w:r>
              <w:rPr>
                <w:b/>
                <w:sz w:val="16"/>
              </w:rPr>
              <w:t xml:space="preserve">Étude</w:t>
            </w:r>
          </w:p>
        </w:tc>
        <w:tc>
          <w:tcPr>
            <w:tcW w:w="1100" w:type="dxa"/>
            <w:shd w:val="clear" w:color="auto" w:fill="D9D9D9"/>
          </w:tcPr>
          <w:p>
            <w:pPr>
              <w:pStyle w:val="TableParagraph"/>
              <w:ind w:start="388" w:end="256" w:hanging="108"/>
              <w:rPr>
                <w:b/>
                <w:sz w:val="16"/>
              </w:rPr>
            </w:pPr>
            <w:r>
              <w:rPr>
                <w:b/>
                <w:sz w:val="16"/>
              </w:rPr>
              <w:t xml:space="preserve">Risque de </w:t>
            </w:r>
            <w:r>
              <w:rPr>
                <w:b/>
                <w:sz w:val="16"/>
              </w:rPr>
              <w:t xml:space="preserve">partialité</w:t>
            </w:r>
          </w:p>
        </w:tc>
        <w:tc>
          <w:tcPr>
            <w:tcW w:w="1441" w:type="dxa"/>
            <w:shd w:val="clear" w:color="auto" w:fill="D9D9D9"/>
          </w:tcPr>
          <w:p>
            <w:pPr>
              <w:pStyle w:val="TableParagraph"/>
              <w:spacing w:line="183" w:lineRule="exact"/>
              <w:ind w:start="243"/>
              <w:rPr>
                <w:b/>
                <w:sz w:val="16"/>
              </w:rPr>
            </w:pPr>
            <w:r>
              <w:rPr>
                <w:b/>
                <w:sz w:val="16"/>
              </w:rPr>
              <w:t xml:space="preserve">Indirectness</w:t>
            </w:r>
          </w:p>
        </w:tc>
        <w:tc>
          <w:tcPr>
            <w:tcW w:w="1538" w:type="dxa"/>
            <w:shd w:val="clear" w:color="auto" w:fill="D9D9D9"/>
          </w:tcPr>
          <w:p>
            <w:pPr>
              <w:pStyle w:val="TableParagraph"/>
              <w:spacing w:line="183" w:lineRule="exact"/>
              <w:ind w:start="228"/>
              <w:rPr>
                <w:b/>
                <w:sz w:val="16"/>
              </w:rPr>
            </w:pPr>
            <w:r>
              <w:rPr>
                <w:b/>
                <w:sz w:val="16"/>
              </w:rPr>
              <w:t xml:space="preserve">Incohérence</w:t>
            </w:r>
          </w:p>
        </w:tc>
        <w:tc>
          <w:tcPr>
            <w:tcW w:w="1278" w:type="dxa"/>
            <w:shd w:val="clear" w:color="auto" w:fill="D9D9D9"/>
          </w:tcPr>
          <w:p>
            <w:pPr>
              <w:pStyle w:val="TableParagraph"/>
              <w:spacing w:line="183" w:lineRule="exact"/>
              <w:ind w:start="183"/>
              <w:rPr>
                <w:b/>
                <w:sz w:val="16"/>
              </w:rPr>
            </w:pPr>
            <w:r>
              <w:rPr>
                <w:b/>
                <w:sz w:val="16"/>
              </w:rPr>
              <w:t xml:space="preserve">Imprécision</w:t>
            </w:r>
          </w:p>
        </w:tc>
        <w:tc>
          <w:tcPr>
            <w:tcW w:w="1137" w:type="dxa"/>
            <w:shd w:val="clear" w:color="auto" w:fill="D9D9D9"/>
          </w:tcPr>
          <w:p>
            <w:pPr>
              <w:pStyle w:val="TableParagraph"/>
              <w:ind w:start="119" w:end="107" w:firstLine="297"/>
              <w:rPr>
                <w:b/>
                <w:sz w:val="16"/>
              </w:rPr>
            </w:pPr>
            <w:r>
              <w:rPr>
                <w:b/>
                <w:sz w:val="16"/>
              </w:rPr>
              <w:t xml:space="preserve">Sexe </w:t>
            </w:r>
            <w:r>
              <w:rPr>
                <w:b/>
                <w:sz w:val="16"/>
              </w:rPr>
              <w:t xml:space="preserve">assigné à la </w:t>
            </w:r>
            <w:r>
              <w:rPr>
                <w:b/>
                <w:sz w:val="16"/>
              </w:rPr>
              <w:t xml:space="preserve">naissance </w:t>
            </w:r>
            <w:r>
              <w:rPr>
                <w:b/>
                <w:sz w:val="16"/>
              </w:rPr>
              <w:t xml:space="preserve">: hommes</w:t>
            </w:r>
          </w:p>
        </w:tc>
        <w:tc>
          <w:tcPr>
            <w:tcW w:w="1137" w:type="dxa"/>
            <w:shd w:val="clear" w:color="auto" w:fill="D9D9D9"/>
          </w:tcPr>
          <w:p>
            <w:pPr>
              <w:pStyle w:val="TableParagraph"/>
              <w:ind w:start="120" w:end="120"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4" w:end="262" w:hanging="6"/>
              <w:jc w:val="center"/>
              <w:rPr>
                <w:b/>
                <w:sz w:val="16"/>
              </w:rPr>
            </w:pPr>
            <w:r>
              <w:rPr>
                <w:b/>
                <w:sz w:val="16"/>
              </w:rPr>
              <w:t xml:space="preserve">femelles de </w:t>
            </w:r>
            <w:r>
              <w:rPr>
                <w:b/>
                <w:sz w:val="16"/>
              </w:rPr>
              <w:t xml:space="preserve">naissance</w:t>
            </w:r>
          </w:p>
        </w:tc>
        <w:tc>
          <w:tcPr>
            <w:tcW w:w="2705" w:type="dxa"/>
            <w:shd w:val="clear" w:color="auto" w:fill="D9D9D9"/>
          </w:tcPr>
          <w:p>
            <w:pPr>
              <w:pStyle w:val="TableParagraph"/>
              <w:spacing w:line="183" w:lineRule="exact"/>
              <w:ind w:start="169" w:end="180"/>
              <w:jc w:val="center"/>
              <w:rPr>
                <w:b/>
                <w:sz w:val="16"/>
              </w:rPr>
            </w:pPr>
            <w:r>
              <w:rPr>
                <w:b/>
                <w:sz w:val="16"/>
              </w:rPr>
              <w:t xml:space="preserve">Résultat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612"/>
        </w:trPr>
        <w:tc>
          <w:tcPr>
            <w:tcW w:w="1592" w:type="dxa"/>
          </w:tcPr>
          <w:p w:rsidR="00432386" w:rsidRDefault="00432386">
            <w:pPr>
              <w:pStyle w:val="TableParagraph"/>
              <w:rPr>
                <w:rFonts w:ascii="Times New Roman"/>
                <w:sz w:val="18"/>
              </w:rPr>
            </w:pPr>
          </w:p>
        </w:tc>
        <w:tc>
          <w:tcPr>
            <w:tcW w:w="1100" w:type="dxa"/>
          </w:tcPr>
          <w:p w:rsidR="00432386" w:rsidRDefault="00432386">
            <w:pPr>
              <w:pStyle w:val="TableParagraph"/>
              <w:rPr>
                <w:rFonts w:ascii="Times New Roman"/>
                <w:sz w:val="18"/>
              </w:rPr>
            </w:pPr>
          </w:p>
        </w:tc>
        <w:tc>
          <w:tcPr>
            <w:tcW w:w="1441" w:type="dxa"/>
          </w:tcPr>
          <w:p w:rsidR="00432386" w:rsidRDefault="00432386">
            <w:pPr>
              <w:pStyle w:val="TableParagraph"/>
              <w:rPr>
                <w:rFonts w:ascii="Times New Roman"/>
                <w:sz w:val="18"/>
              </w:rPr>
            </w:pPr>
          </w:p>
        </w:tc>
        <w:tc>
          <w:tcPr>
            <w:tcW w:w="1538" w:type="dxa"/>
          </w:tcPr>
          <w:p w:rsidR="00432386" w:rsidRDefault="00432386">
            <w:pPr>
              <w:pStyle w:val="TableParagraph"/>
              <w:rPr>
                <w:rFonts w:ascii="Times New Roman"/>
                <w:sz w:val="18"/>
              </w:rPr>
            </w:pPr>
          </w:p>
        </w:tc>
        <w:tc>
          <w:tcPr>
            <w:tcW w:w="1278" w:type="dxa"/>
          </w:tcPr>
          <w:p w:rsidR="00432386" w:rsidRDefault="00432386">
            <w:pPr>
              <w:pStyle w:val="TableParagraph"/>
              <w:rPr>
                <w:rFonts w:ascii="Times New Roman"/>
                <w:sz w:val="18"/>
              </w:rPr>
            </w:pPr>
          </w:p>
        </w:tc>
        <w:tc>
          <w:tcPr>
            <w:tcW w:w="1137" w:type="dxa"/>
          </w:tcPr>
          <w:p>
            <w:pPr>
              <w:pStyle w:val="TableParagraph"/>
              <w:spacing w:line="196" w:lineRule="exact"/>
              <w:ind w:start="235"/>
              <w:rPr>
                <w:sz w:val="18"/>
              </w:rPr>
            </w:pPr>
            <w:r>
              <w:rPr>
                <w:sz w:val="18"/>
              </w:rPr>
              <w:t xml:space="preserve">[±10.57]</w:t>
            </w:r>
          </w:p>
        </w:tc>
        <w:tc>
          <w:tcPr>
            <w:tcW w:w="1137" w:type="dxa"/>
          </w:tcPr>
          <w:p>
            <w:pPr>
              <w:pStyle w:val="TableParagraph"/>
              <w:spacing w:line="242" w:lineRule="auto"/>
              <w:ind w:start="110" w:end="112"/>
              <w:jc w:val="center"/>
              <w:rPr>
                <w:sz w:val="18"/>
              </w:rPr>
            </w:pPr>
            <w:r>
              <w:rPr>
                <w:sz w:val="18"/>
              </w:rPr>
              <w:t xml:space="preserve">score à T1 </w:t>
            </w:r>
            <w:r>
              <w:rPr>
                <w:sz w:val="18"/>
              </w:rPr>
              <w:t xml:space="preserve">57.73</w:t>
            </w:r>
          </w:p>
          <w:p>
            <w:pPr>
              <w:pStyle w:val="TableParagraph"/>
              <w:spacing w:line="185" w:lineRule="exact"/>
              <w:ind w:start="110" w:end="111"/>
              <w:jc w:val="center"/>
              <w:rPr>
                <w:sz w:val="18"/>
              </w:rPr>
            </w:pPr>
            <w:r>
              <w:rPr>
                <w:sz w:val="18"/>
              </w:rPr>
              <w:t xml:space="preserve">[±10.82]</w:t>
            </w:r>
          </w:p>
        </w:tc>
        <w:tc>
          <w:tcPr>
            <w:tcW w:w="2705" w:type="dxa"/>
          </w:tcPr>
          <w:p w:rsidR="00432386" w:rsidRDefault="00432386">
            <w:pPr>
              <w:pStyle w:val="TableParagraph"/>
              <w:rPr>
                <w:rFonts w:ascii="Times New Roman"/>
                <w:sz w:val="18"/>
              </w:rPr>
            </w:pPr>
          </w:p>
        </w:tc>
        <w:tc>
          <w:tcPr>
            <w:tcW w:w="993" w:type="dxa"/>
          </w:tcPr>
          <w:p w:rsidR="00432386" w:rsidRDefault="00432386">
            <w:pPr>
              <w:pStyle w:val="TableParagraph"/>
              <w:rPr>
                <w:rFonts w:ascii="Times New Roman"/>
                <w:sz w:val="18"/>
              </w:rPr>
            </w:pPr>
          </w:p>
        </w:tc>
        <w:tc>
          <w:tcPr>
            <w:tcW w:w="1267" w:type="dxa"/>
          </w:tcPr>
          <w:p w:rsidR="00432386" w:rsidRDefault="00432386">
            <w:pPr>
              <w:pStyle w:val="TableParagraph"/>
              <w:rPr>
                <w:rFonts w:ascii="Times New Roman"/>
                <w:sz w:val="18"/>
              </w:rPr>
            </w:pPr>
          </w:p>
        </w:tc>
      </w:tr>
      <w:tr w:rsidR="00432386">
        <w:trPr>
          <w:trHeight w:val="729"/>
        </w:trPr>
        <w:tc>
          <w:tcPr>
            <w:tcW w:w="14188" w:type="dxa"/>
            <w:gridSpan w:val="10"/>
            <w:shd w:val="clear" w:color="auto" w:fill="C5D9F0"/>
          </w:tcPr>
          <w:p>
            <w:pPr>
              <w:pStyle w:val="TableParagraph"/>
              <w:spacing w:line="278" w:lineRule="auto"/>
              <w:ind w:start="107" w:end="315"/>
              <w:rPr>
                <w:b/>
                <w:i/>
                <w:sz w:val="20"/>
              </w:rPr>
            </w:pPr>
            <w:r>
              <w:rPr>
                <w:b/>
                <w:i/>
                <w:sz w:val="20"/>
              </w:rPr>
              <w:t xml:space="preserve">Score </w:t>
            </w:r>
            <w:r>
              <w:rPr>
                <w:b/>
                <w:i/>
                <w:sz w:val="20"/>
              </w:rPr>
              <w:t xml:space="preserve">moyen </w:t>
            </w:r>
            <w:r>
              <w:rPr>
                <w:b/>
                <w:i/>
                <w:sz w:val="20"/>
              </w:rPr>
              <w:t xml:space="preserve">[±SD] </w:t>
            </w:r>
            <w:r>
              <w:rPr>
                <w:b/>
                <w:i/>
                <w:sz w:val="20"/>
              </w:rPr>
              <w:t xml:space="preserve">de la </w:t>
            </w:r>
            <w:r>
              <w:rPr>
                <w:b/>
                <w:i/>
                <w:sz w:val="20"/>
              </w:rPr>
              <w:t xml:space="preserve">liste de contrôle du </w:t>
            </w:r>
            <w:r>
              <w:rPr>
                <w:b/>
                <w:i/>
                <w:sz w:val="20"/>
              </w:rPr>
              <w:t xml:space="preserve">comportement de l'</w:t>
            </w:r>
            <w:r>
              <w:rPr>
                <w:b/>
                <w:i/>
                <w:sz w:val="20"/>
              </w:rPr>
              <w:t xml:space="preserve">enfant </w:t>
            </w:r>
            <w:r>
              <w:rPr>
                <w:b/>
                <w:i/>
                <w:sz w:val="20"/>
              </w:rPr>
              <w:t xml:space="preserve">(internalisation </w:t>
            </w:r>
            <w:r>
              <w:rPr>
                <w:b/>
                <w:i/>
                <w:sz w:val="20"/>
              </w:rPr>
              <w:t xml:space="preserve">T)</w:t>
            </w:r>
            <w:r>
              <w:rPr>
                <w:b/>
                <w:i/>
                <w:sz w:val="20"/>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les </w:t>
            </w:r>
            <w:r>
              <w:rPr>
                <w:b/>
                <w:i/>
                <w:sz w:val="20"/>
              </w:rPr>
              <w:t xml:space="preserve">analogues de la GnRH)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n-NR7</w:t>
            </w:r>
          </w:p>
          <w:p>
            <w:pPr>
              <w:pStyle w:val="TableParagraph"/>
              <w:ind w:start="109" w:end="113"/>
              <w:jc w:val="center"/>
              <w:rPr>
                <w:sz w:val="18"/>
              </w:rPr>
            </w:pPr>
            <w:r>
              <w:rPr>
                <w:sz w:val="18"/>
              </w:rPr>
              <w:t xml:space="preserve">score à T0 </w:t>
            </w:r>
            <w:r>
              <w:rPr>
                <w:sz w:val="18"/>
              </w:rPr>
              <w:t xml:space="preserve">60,00</w:t>
            </w:r>
          </w:p>
          <w:p>
            <w:pPr>
              <w:pStyle w:val="TableParagraph"/>
              <w:spacing w:before="1" w:line="207" w:lineRule="exact"/>
              <w:ind w:start="110" w:end="112"/>
              <w:jc w:val="center"/>
              <w:rPr>
                <w:sz w:val="18"/>
              </w:rPr>
            </w:pPr>
            <w:r>
              <w:rPr>
                <w:sz w:val="18"/>
              </w:rPr>
              <w:t xml:space="preserve">[±9.51]</w:t>
            </w:r>
          </w:p>
          <w:p>
            <w:pPr>
              <w:pStyle w:val="TableParagraph"/>
              <w:ind w:start="109" w:end="113"/>
              <w:jc w:val="center"/>
              <w:rPr>
                <w:sz w:val="18"/>
              </w:rPr>
            </w:pPr>
            <w:r>
              <w:rPr>
                <w:sz w:val="18"/>
              </w:rPr>
              <w:t xml:space="preserve">score à T1 </w:t>
            </w:r>
            <w:r>
              <w:rPr>
                <w:sz w:val="18"/>
              </w:rPr>
              <w:t xml:space="preserve">52.17</w:t>
            </w:r>
          </w:p>
          <w:p>
            <w:pPr>
              <w:pStyle w:val="TableParagraph"/>
              <w:spacing w:before="1" w:line="187" w:lineRule="exact"/>
              <w:ind w:start="110" w:end="112"/>
              <w:jc w:val="center"/>
              <w:rPr>
                <w:sz w:val="18"/>
              </w:rPr>
            </w:pPr>
            <w:r>
              <w:rPr>
                <w:sz w:val="18"/>
              </w:rPr>
              <w:t xml:space="preserve">[±9.81]</w:t>
            </w:r>
          </w:p>
        </w:tc>
        <w:tc>
          <w:tcPr>
            <w:tcW w:w="1137" w:type="dxa"/>
          </w:tcPr>
          <w:p>
            <w:pPr>
              <w:pStyle w:val="TableParagraph"/>
              <w:spacing w:line="206" w:lineRule="exact"/>
              <w:ind w:start="110" w:end="113"/>
              <w:jc w:val="center"/>
              <w:rPr>
                <w:sz w:val="12"/>
              </w:rPr>
            </w:pPr>
            <w:r>
              <w:rPr>
                <w:sz w:val="18"/>
              </w:rPr>
              <w:t xml:space="preserve">n-NR7</w:t>
            </w:r>
          </w:p>
          <w:p>
            <w:pPr>
              <w:pStyle w:val="TableParagraph"/>
              <w:ind w:start="110" w:end="112"/>
              <w:jc w:val="center"/>
              <w:rPr>
                <w:sz w:val="18"/>
              </w:rPr>
            </w:pPr>
            <w:r>
              <w:rPr>
                <w:sz w:val="18"/>
              </w:rPr>
              <w:t xml:space="preserve">score à T0 </w:t>
            </w:r>
            <w:r>
              <w:rPr>
                <w:sz w:val="18"/>
              </w:rPr>
              <w:t xml:space="preserve">61,80</w:t>
            </w:r>
          </w:p>
          <w:p>
            <w:pPr>
              <w:pStyle w:val="TableParagraph"/>
              <w:spacing w:before="1" w:line="207" w:lineRule="exact"/>
              <w:ind w:start="110" w:end="111"/>
              <w:jc w:val="center"/>
              <w:rPr>
                <w:sz w:val="18"/>
              </w:rPr>
            </w:pPr>
            <w:r>
              <w:rPr>
                <w:sz w:val="18"/>
              </w:rPr>
              <w:t xml:space="preserve">[±14.12]</w:t>
            </w:r>
          </w:p>
          <w:p>
            <w:pPr>
              <w:pStyle w:val="TableParagraph"/>
              <w:ind w:start="110" w:end="112"/>
              <w:jc w:val="center"/>
              <w:rPr>
                <w:sz w:val="18"/>
              </w:rPr>
            </w:pPr>
            <w:r>
              <w:rPr>
                <w:sz w:val="18"/>
              </w:rPr>
              <w:t xml:space="preserve">score à T1 </w:t>
            </w:r>
            <w:r>
              <w:rPr>
                <w:sz w:val="18"/>
              </w:rPr>
              <w:t xml:space="preserve">56.30</w:t>
            </w:r>
          </w:p>
          <w:p>
            <w:pPr>
              <w:pStyle w:val="TableParagraph"/>
              <w:spacing w:before="1" w:line="187" w:lineRule="exact"/>
              <w:ind w:start="110" w:end="111"/>
              <w:jc w:val="center"/>
              <w:rPr>
                <w:sz w:val="18"/>
              </w:rPr>
            </w:pPr>
            <w:r>
              <w:rPr>
                <w:sz w:val="18"/>
              </w:rPr>
              <w:t xml:space="preserve">[±10.33]</w:t>
            </w:r>
          </w:p>
        </w:tc>
        <w:tc>
          <w:tcPr>
            <w:tcW w:w="2705" w:type="dxa"/>
          </w:tcPr>
          <w:p>
            <w:pPr>
              <w:pStyle w:val="TableParagraph"/>
              <w:spacing w:line="206" w:lineRule="exact"/>
              <w:ind w:start="169" w:end="181"/>
              <w:jc w:val="center"/>
              <w:rPr>
                <w:sz w:val="18"/>
              </w:rPr>
            </w:pPr>
            <w:r>
              <w:rPr>
                <w:i/>
                <w:sz w:val="18"/>
              </w:rPr>
              <w:t xml:space="preserve">F-ratio </w:t>
            </w:r>
            <w:r>
              <w:rPr>
                <w:sz w:val="18"/>
              </w:rPr>
              <w:t xml:space="preserve">1,16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0"/>
              <w:ind w:start="169" w:end="179"/>
              <w:jc w:val="center"/>
              <w:rPr>
                <w:sz w:val="18"/>
              </w:rPr>
            </w:pPr>
            <w:r>
              <w:rPr>
                <w:i/>
                <w:sz w:val="18"/>
              </w:rPr>
              <w:t xml:space="preserve">P=0</w:t>
            </w:r>
            <w:r>
              <w:rPr>
                <w:sz w:val="18"/>
              </w:rPr>
              <w:t xml:space="preserve">.286</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line="276" w:lineRule="auto"/>
              <w:ind w:start="107" w:end="267"/>
              <w:rPr>
                <w:b/>
                <w:i/>
                <w:sz w:val="20"/>
              </w:rPr>
            </w:pPr>
            <w:r>
              <w:rPr>
                <w:b/>
                <w:i/>
                <w:sz w:val="20"/>
              </w:rPr>
              <w:t xml:space="preserve">Score moyen [±SD] de la liste de contrôle du comportement de l'enfant (externalisation T), point temporel au départ (T0 avant les analogues de la GnRH) par rapport au suivi (T1 juste 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n-NR7</w:t>
            </w:r>
          </w:p>
          <w:p>
            <w:pPr>
              <w:pStyle w:val="TableParagraph"/>
              <w:ind w:start="109" w:end="113"/>
              <w:jc w:val="center"/>
              <w:rPr>
                <w:sz w:val="18"/>
              </w:rPr>
            </w:pPr>
            <w:r>
              <w:rPr>
                <w:sz w:val="18"/>
              </w:rPr>
              <w:t xml:space="preserve">score à T0 </w:t>
            </w:r>
            <w:r>
              <w:rPr>
                <w:sz w:val="18"/>
              </w:rPr>
              <w:t xml:space="preserve">54,71</w:t>
            </w:r>
          </w:p>
          <w:p>
            <w:pPr>
              <w:pStyle w:val="TableParagraph"/>
              <w:spacing w:before="1" w:line="207" w:lineRule="exact"/>
              <w:ind w:start="110" w:end="113"/>
              <w:jc w:val="center"/>
              <w:rPr>
                <w:sz w:val="18"/>
              </w:rPr>
            </w:pPr>
            <w:r>
              <w:rPr>
                <w:sz w:val="18"/>
              </w:rPr>
              <w:t xml:space="preserve">[±12.91]</w:t>
            </w:r>
          </w:p>
          <w:p>
            <w:pPr>
              <w:pStyle w:val="TableParagraph"/>
              <w:ind w:start="109" w:end="113"/>
              <w:jc w:val="center"/>
              <w:rPr>
                <w:sz w:val="18"/>
              </w:rPr>
            </w:pPr>
            <w:r>
              <w:rPr>
                <w:sz w:val="18"/>
              </w:rPr>
              <w:t xml:space="preserve">score à T1 </w:t>
            </w:r>
            <w:r>
              <w:rPr>
                <w:sz w:val="18"/>
              </w:rPr>
              <w:t xml:space="preserve">48,75</w:t>
            </w:r>
          </w:p>
          <w:p>
            <w:pPr>
              <w:pStyle w:val="TableParagraph"/>
              <w:spacing w:line="188" w:lineRule="exact"/>
              <w:ind w:start="110" w:end="113"/>
              <w:jc w:val="center"/>
              <w:rPr>
                <w:sz w:val="18"/>
              </w:rPr>
            </w:pPr>
            <w:r>
              <w:rPr>
                <w:sz w:val="18"/>
              </w:rPr>
              <w:t xml:space="preserve">[±10.22]</w:t>
            </w:r>
          </w:p>
        </w:tc>
        <w:tc>
          <w:tcPr>
            <w:tcW w:w="1137" w:type="dxa"/>
          </w:tcPr>
          <w:p>
            <w:pPr>
              <w:pStyle w:val="TableParagraph"/>
              <w:spacing w:line="206" w:lineRule="exact"/>
              <w:ind w:start="110" w:end="113"/>
              <w:jc w:val="center"/>
              <w:rPr>
                <w:sz w:val="12"/>
              </w:rPr>
            </w:pPr>
            <w:r>
              <w:rPr>
                <w:sz w:val="18"/>
              </w:rPr>
              <w:t xml:space="preserve">n-NR7</w:t>
            </w:r>
          </w:p>
          <w:p>
            <w:pPr>
              <w:pStyle w:val="TableParagraph"/>
              <w:ind w:start="110" w:end="112"/>
              <w:jc w:val="center"/>
              <w:rPr>
                <w:sz w:val="18"/>
              </w:rPr>
            </w:pPr>
            <w:r>
              <w:rPr>
                <w:sz w:val="18"/>
              </w:rPr>
              <w:t xml:space="preserve">score à T0 </w:t>
            </w:r>
            <w:r>
              <w:rPr>
                <w:sz w:val="18"/>
              </w:rPr>
              <w:t xml:space="preserve">60,70</w:t>
            </w:r>
          </w:p>
          <w:p>
            <w:pPr>
              <w:pStyle w:val="TableParagraph"/>
              <w:spacing w:before="1" w:line="207" w:lineRule="exact"/>
              <w:ind w:start="110" w:end="111"/>
              <w:jc w:val="center"/>
              <w:rPr>
                <w:sz w:val="18"/>
              </w:rPr>
            </w:pPr>
            <w:r>
              <w:rPr>
                <w:sz w:val="18"/>
              </w:rPr>
              <w:t xml:space="preserve">[±12.64]</w:t>
            </w:r>
          </w:p>
          <w:p>
            <w:pPr>
              <w:pStyle w:val="TableParagraph"/>
              <w:ind w:start="110" w:end="112"/>
              <w:jc w:val="center"/>
              <w:rPr>
                <w:sz w:val="18"/>
              </w:rPr>
            </w:pPr>
            <w:r>
              <w:rPr>
                <w:sz w:val="18"/>
              </w:rPr>
              <w:t xml:space="preserve">score à T1 </w:t>
            </w:r>
            <w:r>
              <w:rPr>
                <w:sz w:val="18"/>
              </w:rPr>
              <w:t xml:space="preserve">57,87</w:t>
            </w:r>
          </w:p>
          <w:p>
            <w:pPr>
              <w:pStyle w:val="TableParagraph"/>
              <w:spacing w:line="188" w:lineRule="exact"/>
              <w:ind w:start="110" w:end="111"/>
              <w:jc w:val="center"/>
              <w:rPr>
                <w:sz w:val="18"/>
              </w:rPr>
            </w:pPr>
            <w:r>
              <w:rPr>
                <w:sz w:val="18"/>
              </w:rPr>
              <w:t xml:space="preserve">[±11.66]</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6,29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0"/>
              <w:ind w:start="169" w:end="179"/>
              <w:jc w:val="center"/>
              <w:rPr>
                <w:sz w:val="18"/>
              </w:rPr>
            </w:pPr>
            <w:r>
              <w:rPr>
                <w:i/>
                <w:sz w:val="18"/>
              </w:rPr>
              <w:t xml:space="preserve">P=0</w:t>
            </w:r>
            <w:r>
              <w:rPr>
                <w:sz w:val="18"/>
              </w:rPr>
              <w:t xml:space="preserve">.015</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line="276" w:lineRule="auto"/>
              <w:ind w:start="107" w:end="195"/>
              <w:rPr>
                <w:b/>
                <w:i/>
                <w:sz w:val="20"/>
              </w:rPr>
            </w:pPr>
            <w:r>
              <w:rPr>
                <w:b/>
                <w:i/>
                <w:sz w:val="20"/>
              </w:rPr>
              <w:t xml:space="preserve">Score moyen [±SD] du Youth Self-Report (total T), point de temps au départ (T0 avant les analogues de la GnRH) par rapport au suivi (T1 juste 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spacing w:before="9"/>
              <w:rPr>
                <w:b/>
                <w:sz w:val="15"/>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2"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n-NR7</w:t>
            </w:r>
          </w:p>
          <w:p>
            <w:pPr>
              <w:pStyle w:val="TableParagraph"/>
              <w:ind w:start="109" w:end="113"/>
              <w:jc w:val="center"/>
              <w:rPr>
                <w:sz w:val="18"/>
              </w:rPr>
            </w:pPr>
            <w:r>
              <w:rPr>
                <w:sz w:val="18"/>
              </w:rPr>
              <w:t xml:space="preserve">score à T0 </w:t>
            </w:r>
            <w:r>
              <w:rPr>
                <w:sz w:val="18"/>
              </w:rPr>
              <w:t xml:space="preserve">53,56</w:t>
            </w:r>
          </w:p>
          <w:p>
            <w:pPr>
              <w:pStyle w:val="TableParagraph"/>
              <w:spacing w:before="1" w:line="207" w:lineRule="exact"/>
              <w:ind w:start="110" w:end="113"/>
              <w:jc w:val="center"/>
              <w:rPr>
                <w:sz w:val="18"/>
              </w:rPr>
            </w:pPr>
            <w:r>
              <w:rPr>
                <w:sz w:val="18"/>
              </w:rPr>
              <w:t xml:space="preserve">[±12.26]</w:t>
            </w:r>
          </w:p>
          <w:p>
            <w:pPr>
              <w:pStyle w:val="TableParagraph"/>
              <w:ind w:start="109" w:end="113"/>
              <w:jc w:val="center"/>
              <w:rPr>
                <w:sz w:val="18"/>
              </w:rPr>
            </w:pPr>
            <w:r>
              <w:rPr>
                <w:sz w:val="18"/>
              </w:rPr>
              <w:t xml:space="preserve">score à T1 </w:t>
            </w:r>
            <w:r>
              <w:rPr>
                <w:sz w:val="18"/>
              </w:rPr>
              <w:t xml:space="preserve">47,84</w:t>
            </w:r>
          </w:p>
          <w:p>
            <w:pPr>
              <w:pStyle w:val="TableParagraph"/>
              <w:spacing w:line="188" w:lineRule="exact"/>
              <w:ind w:start="110" w:end="113"/>
              <w:jc w:val="center"/>
              <w:rPr>
                <w:sz w:val="18"/>
              </w:rPr>
            </w:pPr>
            <w:r>
              <w:rPr>
                <w:sz w:val="18"/>
              </w:rPr>
              <w:t xml:space="preserve">[±10.86]</w:t>
            </w:r>
          </w:p>
        </w:tc>
        <w:tc>
          <w:tcPr>
            <w:tcW w:w="1137" w:type="dxa"/>
          </w:tcPr>
          <w:p>
            <w:pPr>
              <w:pStyle w:val="TableParagraph"/>
              <w:spacing w:line="206" w:lineRule="exact"/>
              <w:ind w:start="110" w:end="113"/>
              <w:jc w:val="center"/>
              <w:rPr>
                <w:sz w:val="12"/>
              </w:rPr>
            </w:pPr>
            <w:r>
              <w:rPr>
                <w:sz w:val="18"/>
              </w:rPr>
              <w:t xml:space="preserve">n-NR7</w:t>
            </w:r>
          </w:p>
          <w:p>
            <w:pPr>
              <w:pStyle w:val="TableParagraph"/>
              <w:ind w:start="110" w:end="112"/>
              <w:jc w:val="center"/>
              <w:rPr>
                <w:sz w:val="18"/>
              </w:rPr>
            </w:pPr>
            <w:r>
              <w:rPr>
                <w:sz w:val="18"/>
              </w:rPr>
              <w:t xml:space="preserve">score à T0 </w:t>
            </w:r>
            <w:r>
              <w:rPr>
                <w:sz w:val="18"/>
              </w:rPr>
              <w:t xml:space="preserve">57,10</w:t>
            </w:r>
          </w:p>
          <w:p>
            <w:pPr>
              <w:pStyle w:val="TableParagraph"/>
              <w:spacing w:before="1" w:line="207" w:lineRule="exact"/>
              <w:ind w:start="110" w:end="111"/>
              <w:jc w:val="center"/>
              <w:rPr>
                <w:sz w:val="18"/>
              </w:rPr>
            </w:pPr>
            <w:r>
              <w:rPr>
                <w:sz w:val="18"/>
              </w:rPr>
              <w:t xml:space="preserve">[±10.87]</w:t>
            </w:r>
          </w:p>
          <w:p>
            <w:pPr>
              <w:pStyle w:val="TableParagraph"/>
              <w:ind w:start="110" w:end="112"/>
              <w:jc w:val="center"/>
              <w:rPr>
                <w:sz w:val="18"/>
              </w:rPr>
            </w:pPr>
            <w:r>
              <w:rPr>
                <w:sz w:val="18"/>
              </w:rPr>
              <w:t xml:space="preserve">score à T1 </w:t>
            </w:r>
            <w:r>
              <w:rPr>
                <w:sz w:val="18"/>
              </w:rPr>
              <w:t xml:space="preserve">51.86</w:t>
            </w:r>
          </w:p>
          <w:p>
            <w:pPr>
              <w:pStyle w:val="TableParagraph"/>
              <w:spacing w:line="188" w:lineRule="exact"/>
              <w:ind w:start="110" w:end="111"/>
              <w:jc w:val="center"/>
              <w:rPr>
                <w:sz w:val="18"/>
              </w:rPr>
            </w:pPr>
            <w:r>
              <w:rPr>
                <w:sz w:val="18"/>
              </w:rPr>
              <w:t xml:space="preserve">[±10.11]</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1,99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0"/>
              <w:ind w:start="169" w:end="179"/>
              <w:jc w:val="center"/>
              <w:rPr>
                <w:sz w:val="18"/>
              </w:rPr>
            </w:pPr>
            <w:r>
              <w:rPr>
                <w:i/>
                <w:sz w:val="18"/>
              </w:rPr>
              <w:t xml:space="preserve">P=0</w:t>
            </w:r>
            <w:r>
              <w:rPr>
                <w:sz w:val="18"/>
              </w:rPr>
              <w:t xml:space="preserve">.164</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bl>
    <w:p w:rsidR="00432386" w:rsidRDefault="00432386">
      <w:pPr>
        <w:jc w:val="cente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b/>
          <w:sz w:val="29"/>
        </w:rPr>
      </w:pPr>
    </w:p>
    <w:tbl>
      <w:tblPr>
        <w:tblStyle w:val="TableNormal"/>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1592"/>
        <w:gridCol w:w="1100"/>
        <w:gridCol w:w="1441"/>
        <w:gridCol w:w="1538"/>
        <w:gridCol w:w="1278"/>
        <w:gridCol w:w="1137"/>
        <w:gridCol w:w="1137"/>
        <w:gridCol w:w="2705"/>
        <w:gridCol w:w="993"/>
        <w:gridCol w:w="1267"/>
      </w:tblGrid>
      <w:tr w:rsidR="00432386">
        <w:trPr>
          <w:trHeight w:val="299"/>
        </w:trPr>
        <w:tc>
          <w:tcPr>
            <w:tcW w:w="6949" w:type="dxa"/>
            <w:gridSpan w:val="5"/>
            <w:vMerge w:val="restart"/>
            <w:shd w:val="clear" w:color="auto" w:fill="D9D9D9"/>
          </w:tcPr>
          <w:p>
            <w:pPr>
              <w:pStyle w:val="TableParagraph"/>
              <w:spacing w:before="1"/>
              <w:ind w:start="3101" w:end="3095"/>
              <w:jc w:val="center"/>
              <w:rPr>
                <w:b/>
                <w:sz w:val="16"/>
              </w:rPr>
            </w:pPr>
            <w:r>
              <w:rPr>
                <w:b/>
                <w:sz w:val="16"/>
              </w:rPr>
              <w:t xml:space="preserve">QUALITÉ</w:t>
            </w:r>
          </w:p>
        </w:tc>
        <w:tc>
          <w:tcPr>
            <w:tcW w:w="4979" w:type="dxa"/>
            <w:gridSpan w:val="3"/>
            <w:shd w:val="clear" w:color="auto" w:fill="D9D9D9"/>
          </w:tcPr>
          <w:p>
            <w:pPr>
              <w:pStyle w:val="TableParagraph"/>
              <w:spacing w:before="1"/>
              <w:ind w:start="1669" w:end="1672"/>
              <w:jc w:val="center"/>
              <w:rPr>
                <w:b/>
                <w:sz w:val="16"/>
              </w:rPr>
            </w:pPr>
            <w:r>
              <w:rPr>
                <w:b/>
                <w:sz w:val="16"/>
              </w:rPr>
              <w:t xml:space="preserve">Résumé </w:t>
            </w:r>
            <w:r>
              <w:rPr>
                <w:b/>
                <w:sz w:val="16"/>
              </w:rPr>
              <w:t xml:space="preserve">des </w:t>
            </w:r>
            <w:r>
              <w:rPr>
                <w:b/>
                <w:sz w:val="16"/>
              </w:rPr>
              <w:t xml:space="preserve">conclusions</w:t>
            </w:r>
          </w:p>
        </w:tc>
        <w:tc>
          <w:tcPr>
            <w:tcW w:w="993" w:type="dxa"/>
            <w:vMerge w:val="restart"/>
            <w:shd w:val="clear" w:color="auto" w:fill="D9D9D9"/>
          </w:tcPr>
          <w:p>
            <w:pPr>
              <w:pStyle w:val="TableParagraph"/>
              <w:spacing w:before="1"/>
              <w:ind w:start="316" w:end="109" w:hanging="200"/>
              <w:rPr>
                <w:b/>
                <w:sz w:val="16"/>
              </w:rPr>
            </w:pPr>
            <w:r>
              <w:rPr>
                <w:b/>
                <w:sz w:val="16"/>
              </w:rPr>
              <w:t xml:space="preserve">IMPORTA </w:t>
            </w:r>
            <w:r>
              <w:rPr>
                <w:b/>
                <w:sz w:val="16"/>
              </w:rPr>
              <w:t xml:space="preserve">NCE</w:t>
            </w:r>
          </w:p>
        </w:tc>
        <w:tc>
          <w:tcPr>
            <w:tcW w:w="1267" w:type="dxa"/>
            <w:vMerge w:val="restart"/>
            <w:shd w:val="clear" w:color="auto" w:fill="D9D9D9"/>
          </w:tcPr>
          <w:p>
            <w:pPr>
              <w:pStyle w:val="TableParagraph"/>
              <w:spacing w:before="1"/>
              <w:ind w:start="160"/>
              <w:rPr>
                <w:b/>
                <w:sz w:val="16"/>
              </w:rPr>
            </w:pPr>
            <w:r>
              <w:rPr>
                <w:b/>
                <w:sz w:val="16"/>
              </w:rPr>
              <w:t xml:space="preserve">CERTIFICAT</w:t>
            </w:r>
          </w:p>
        </w:tc>
      </w:tr>
      <w:tr w:rsidR="00432386">
        <w:trPr>
          <w:trHeight w:val="369"/>
        </w:trPr>
        <w:tc>
          <w:tcPr>
            <w:tcW w:w="6949" w:type="dxa"/>
            <w:gridSpan w:val="5"/>
            <w:vMerge/>
            <w:tcBorders>
              <w:top w:val="nil"/>
            </w:tcBorders>
            <w:shd w:val="clear" w:color="auto" w:fill="D9D9D9"/>
          </w:tcPr>
          <w:p w:rsidR="00432386" w:rsidRDefault="00432386">
            <w:pPr>
              <w:rPr>
                <w:sz w:val="2"/>
                <w:szCs w:val="2"/>
              </w:rPr>
            </w:pPr>
          </w:p>
        </w:tc>
        <w:tc>
          <w:tcPr>
            <w:tcW w:w="2274" w:type="dxa"/>
            <w:gridSpan w:val="2"/>
            <w:shd w:val="clear" w:color="auto" w:fill="D9D9D9"/>
          </w:tcPr>
          <w:p>
            <w:pPr>
              <w:pStyle w:val="TableParagraph"/>
              <w:spacing w:line="180" w:lineRule="atLeast"/>
              <w:ind w:start="547" w:end="408" w:hanging="125"/>
              <w:rPr>
                <w:b/>
                <w:sz w:val="16"/>
              </w:rPr>
            </w:pPr>
            <w:r>
              <w:rPr>
                <w:b/>
                <w:sz w:val="16"/>
              </w:rPr>
              <w:t xml:space="preserve">Nombre d'événements/Nombre de </w:t>
            </w:r>
            <w:r>
              <w:rPr>
                <w:b/>
                <w:sz w:val="16"/>
              </w:rPr>
              <w:t xml:space="preserve">patients </w:t>
            </w:r>
            <w:r>
              <w:rPr>
                <w:b/>
                <w:sz w:val="16"/>
              </w:rPr>
              <w:t xml:space="preserve">(n/N%)</w:t>
            </w:r>
          </w:p>
        </w:tc>
        <w:tc>
          <w:tcPr>
            <w:tcW w:w="2705" w:type="dxa"/>
            <w:shd w:val="clear" w:color="auto" w:fill="D9D9D9"/>
          </w:tcPr>
          <w:p>
            <w:pPr>
              <w:pStyle w:val="TableParagraph"/>
              <w:spacing w:before="1"/>
              <w:ind w:start="169" w:end="177"/>
              <w:jc w:val="center"/>
              <w:rPr>
                <w:b/>
                <w:sz w:val="16"/>
              </w:rPr>
            </w:pPr>
            <w:r>
              <w:rPr>
                <w:b/>
                <w:sz w:val="16"/>
              </w:rPr>
              <w:t xml:space="preserve">Effet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733"/>
        </w:trPr>
        <w:tc>
          <w:tcPr>
            <w:tcW w:w="1592" w:type="dxa"/>
            <w:shd w:val="clear" w:color="auto" w:fill="D9D9D9"/>
          </w:tcPr>
          <w:p>
            <w:pPr>
              <w:pStyle w:val="TableParagraph"/>
              <w:spacing w:line="183" w:lineRule="exact"/>
              <w:ind w:start="226" w:end="219"/>
              <w:jc w:val="center"/>
              <w:rPr>
                <w:b/>
                <w:sz w:val="16"/>
              </w:rPr>
            </w:pPr>
            <w:r>
              <w:rPr>
                <w:b/>
                <w:sz w:val="16"/>
              </w:rPr>
              <w:t xml:space="preserve">Étude</w:t>
            </w:r>
          </w:p>
        </w:tc>
        <w:tc>
          <w:tcPr>
            <w:tcW w:w="1100" w:type="dxa"/>
            <w:shd w:val="clear" w:color="auto" w:fill="D9D9D9"/>
          </w:tcPr>
          <w:p>
            <w:pPr>
              <w:pStyle w:val="TableParagraph"/>
              <w:ind w:start="388" w:end="256" w:hanging="108"/>
              <w:rPr>
                <w:b/>
                <w:sz w:val="16"/>
              </w:rPr>
            </w:pPr>
            <w:r>
              <w:rPr>
                <w:b/>
                <w:sz w:val="16"/>
              </w:rPr>
              <w:t xml:space="preserve">Risque de </w:t>
            </w:r>
            <w:r>
              <w:rPr>
                <w:b/>
                <w:sz w:val="16"/>
              </w:rPr>
              <w:t xml:space="preserve">partialité</w:t>
            </w:r>
          </w:p>
        </w:tc>
        <w:tc>
          <w:tcPr>
            <w:tcW w:w="1441" w:type="dxa"/>
            <w:shd w:val="clear" w:color="auto" w:fill="D9D9D9"/>
          </w:tcPr>
          <w:p>
            <w:pPr>
              <w:pStyle w:val="TableParagraph"/>
              <w:spacing w:line="183" w:lineRule="exact"/>
              <w:ind w:start="243"/>
              <w:rPr>
                <w:b/>
                <w:sz w:val="16"/>
              </w:rPr>
            </w:pPr>
            <w:r>
              <w:rPr>
                <w:b/>
                <w:sz w:val="16"/>
              </w:rPr>
              <w:t xml:space="preserve">Indirectness</w:t>
            </w:r>
          </w:p>
        </w:tc>
        <w:tc>
          <w:tcPr>
            <w:tcW w:w="1538" w:type="dxa"/>
            <w:shd w:val="clear" w:color="auto" w:fill="D9D9D9"/>
          </w:tcPr>
          <w:p>
            <w:pPr>
              <w:pStyle w:val="TableParagraph"/>
              <w:spacing w:line="183" w:lineRule="exact"/>
              <w:ind w:start="228"/>
              <w:rPr>
                <w:b/>
                <w:sz w:val="16"/>
              </w:rPr>
            </w:pPr>
            <w:r>
              <w:rPr>
                <w:b/>
                <w:sz w:val="16"/>
              </w:rPr>
              <w:t xml:space="preserve">Incohérence</w:t>
            </w:r>
          </w:p>
        </w:tc>
        <w:tc>
          <w:tcPr>
            <w:tcW w:w="1278" w:type="dxa"/>
            <w:shd w:val="clear" w:color="auto" w:fill="D9D9D9"/>
          </w:tcPr>
          <w:p>
            <w:pPr>
              <w:pStyle w:val="TableParagraph"/>
              <w:spacing w:line="183" w:lineRule="exact"/>
              <w:ind w:start="183"/>
              <w:rPr>
                <w:b/>
                <w:sz w:val="16"/>
              </w:rPr>
            </w:pPr>
            <w:r>
              <w:rPr>
                <w:b/>
                <w:sz w:val="16"/>
              </w:rPr>
              <w:t xml:space="preserve">Imprécision</w:t>
            </w:r>
          </w:p>
        </w:tc>
        <w:tc>
          <w:tcPr>
            <w:tcW w:w="1137" w:type="dxa"/>
            <w:shd w:val="clear" w:color="auto" w:fill="D9D9D9"/>
          </w:tcPr>
          <w:p>
            <w:pPr>
              <w:pStyle w:val="TableParagraph"/>
              <w:ind w:start="119" w:end="107" w:firstLine="297"/>
              <w:rPr>
                <w:b/>
                <w:sz w:val="16"/>
              </w:rPr>
            </w:pPr>
            <w:r>
              <w:rPr>
                <w:b/>
                <w:sz w:val="16"/>
              </w:rPr>
              <w:t xml:space="preserve">Sexe </w:t>
            </w:r>
            <w:r>
              <w:rPr>
                <w:b/>
                <w:sz w:val="16"/>
              </w:rPr>
              <w:t xml:space="preserve">assigné à la </w:t>
            </w:r>
            <w:r>
              <w:rPr>
                <w:b/>
                <w:sz w:val="16"/>
              </w:rPr>
              <w:t xml:space="preserve">naissance : </w:t>
            </w:r>
            <w:r>
              <w:rPr>
                <w:b/>
                <w:sz w:val="16"/>
              </w:rPr>
              <w:t xml:space="preserve">hommes</w:t>
            </w:r>
          </w:p>
        </w:tc>
        <w:tc>
          <w:tcPr>
            <w:tcW w:w="1137" w:type="dxa"/>
            <w:shd w:val="clear" w:color="auto" w:fill="D9D9D9"/>
          </w:tcPr>
          <w:p>
            <w:pPr>
              <w:pStyle w:val="TableParagraph"/>
              <w:ind w:start="120" w:end="120" w:hanging="3"/>
              <w:jc w:val="center"/>
              <w:rPr>
                <w:b/>
                <w:sz w:val="16"/>
              </w:rPr>
            </w:pPr>
            <w:r>
              <w:rPr>
                <w:b/>
                <w:sz w:val="16"/>
              </w:rPr>
              <w:t xml:space="preserve">Sexe </w:t>
            </w:r>
            <w:r>
              <w:rPr>
                <w:b/>
                <w:sz w:val="16"/>
              </w:rPr>
              <w:t xml:space="preserve">assigné </w:t>
            </w:r>
            <w:r>
              <w:rPr>
                <w:b/>
                <w:sz w:val="16"/>
              </w:rPr>
              <w:t xml:space="preserve">lors de</w:t>
            </w:r>
          </w:p>
          <w:p>
            <w:pPr>
              <w:pStyle w:val="TableParagraph"/>
              <w:spacing w:line="182" w:lineRule="exact"/>
              <w:ind w:start="264" w:end="262" w:hanging="6"/>
              <w:jc w:val="center"/>
              <w:rPr>
                <w:b/>
                <w:sz w:val="16"/>
              </w:rPr>
            </w:pPr>
            <w:r>
              <w:rPr>
                <w:b/>
                <w:sz w:val="16"/>
              </w:rPr>
              <w:t xml:space="preserve">femelles de </w:t>
            </w:r>
            <w:r>
              <w:rPr>
                <w:b/>
                <w:sz w:val="16"/>
              </w:rPr>
              <w:t xml:space="preserve">naissance</w:t>
            </w:r>
          </w:p>
        </w:tc>
        <w:tc>
          <w:tcPr>
            <w:tcW w:w="2705" w:type="dxa"/>
            <w:shd w:val="clear" w:color="auto" w:fill="D9D9D9"/>
          </w:tcPr>
          <w:p>
            <w:pPr>
              <w:pStyle w:val="TableParagraph"/>
              <w:spacing w:line="183" w:lineRule="exact"/>
              <w:ind w:start="169" w:end="180"/>
              <w:jc w:val="center"/>
              <w:rPr>
                <w:b/>
                <w:sz w:val="16"/>
              </w:rPr>
            </w:pPr>
            <w:r>
              <w:rPr>
                <w:b/>
                <w:sz w:val="16"/>
              </w:rPr>
              <w:t xml:space="preserve">Résultat</w:t>
            </w:r>
          </w:p>
        </w:tc>
        <w:tc>
          <w:tcPr>
            <w:tcW w:w="993" w:type="dxa"/>
            <w:vMerge/>
            <w:tcBorders>
              <w:top w:val="nil"/>
            </w:tcBorders>
            <w:shd w:val="clear" w:color="auto" w:fill="D9D9D9"/>
          </w:tcPr>
          <w:p w:rsidR="00432386" w:rsidRDefault="00432386">
            <w:pPr>
              <w:rPr>
                <w:sz w:val="2"/>
                <w:szCs w:val="2"/>
              </w:rPr>
            </w:pPr>
          </w:p>
        </w:tc>
        <w:tc>
          <w:tcPr>
            <w:tcW w:w="1267" w:type="dxa"/>
            <w:vMerge/>
            <w:tcBorders>
              <w:top w:val="nil"/>
            </w:tcBorders>
            <w:shd w:val="clear" w:color="auto" w:fill="D9D9D9"/>
          </w:tcPr>
          <w:p w:rsidR="00432386" w:rsidRDefault="00432386">
            <w:pPr>
              <w:rPr>
                <w:sz w:val="2"/>
                <w:szCs w:val="2"/>
              </w:rPr>
            </w:pPr>
          </w:p>
        </w:tc>
      </w:tr>
      <w:tr w:rsidR="00432386">
        <w:trPr>
          <w:trHeight w:val="729"/>
        </w:trPr>
        <w:tc>
          <w:tcPr>
            <w:tcW w:w="14188" w:type="dxa"/>
            <w:gridSpan w:val="10"/>
            <w:shd w:val="clear" w:color="auto" w:fill="C5D9F0"/>
          </w:tcPr>
          <w:p>
            <w:pPr>
              <w:pStyle w:val="TableParagraph"/>
              <w:spacing w:before="2" w:line="276" w:lineRule="auto"/>
              <w:ind w:start="107" w:end="284"/>
              <w:rPr>
                <w:b/>
                <w:i/>
                <w:sz w:val="20"/>
              </w:rPr>
            </w:pPr>
            <w:r>
              <w:rPr>
                <w:b/>
                <w:i/>
                <w:sz w:val="20"/>
              </w:rPr>
              <w:t xml:space="preserve">Score moyen [±SD] du Youth Self-Report (internalisation T), point temporel au départ (T0 avant les analogues de la GnRH) par rapport au suivi (T1 juste avant les </w:t>
            </w:r>
            <w:r>
              <w:rPr>
                <w:b/>
                <w:i/>
                <w:sz w:val="20"/>
              </w:rPr>
              <w:t xml:space="preserve">hormones d'affirmation du </w:t>
            </w:r>
            <w:r>
              <w:rPr>
                <w:b/>
                <w:i/>
                <w:sz w:val="20"/>
              </w:rPr>
              <w:t xml:space="preserve">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spacing w:before="4" w:line="235" w:lineRule="auto"/>
              <w:ind w:start="114" w:end="89" w:firstLine="127"/>
              <w:rPr>
                <w:sz w:val="12"/>
              </w:rPr>
            </w:pPr>
            <w:r>
              <w:rPr>
                <w:sz w:val="18"/>
              </w:rPr>
              <w:t xml:space="preserve">De sérieuses </w:t>
            </w:r>
            <w:r>
              <w:rPr>
                <w:sz w:val="18"/>
              </w:rPr>
              <w:t xml:space="preserve">limitations1</w:t>
            </w:r>
          </w:p>
        </w:tc>
        <w:tc>
          <w:tcPr>
            <w:tcW w:w="1441" w:type="dxa"/>
          </w:tcPr>
          <w:p>
            <w:pPr>
              <w:pStyle w:val="TableParagraph"/>
              <w:spacing w:before="1"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3"/>
              <w:ind w:start="192"/>
              <w:rPr>
                <w:sz w:val="18"/>
              </w:rPr>
            </w:pPr>
            <w:r>
              <w:rPr>
                <w:sz w:val="18"/>
              </w:rPr>
              <w:t xml:space="preserve">Non </w:t>
            </w:r>
            <w:r>
              <w:rPr>
                <w:sz w:val="18"/>
              </w:rPr>
              <w:t xml:space="preserve">applicable</w:t>
            </w:r>
          </w:p>
        </w:tc>
        <w:tc>
          <w:tcPr>
            <w:tcW w:w="1278" w:type="dxa"/>
          </w:tcPr>
          <w:p>
            <w:pPr>
              <w:pStyle w:val="TableParagraph"/>
              <w:spacing w:before="1"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8" w:lineRule="exact"/>
              <w:ind w:start="108" w:end="113"/>
              <w:jc w:val="center"/>
              <w:rPr>
                <w:sz w:val="12"/>
              </w:rPr>
            </w:pPr>
            <w:r>
              <w:rPr>
                <w:sz w:val="18"/>
              </w:rPr>
              <w:t xml:space="preserve">n-NR7</w:t>
            </w:r>
          </w:p>
          <w:p>
            <w:pPr>
              <w:pStyle w:val="TableParagraph"/>
              <w:ind w:start="109" w:end="113"/>
              <w:jc w:val="center"/>
              <w:rPr>
                <w:sz w:val="18"/>
              </w:rPr>
            </w:pPr>
            <w:r>
              <w:rPr>
                <w:sz w:val="18"/>
              </w:rPr>
              <w:t xml:space="preserve">score à T0 </w:t>
            </w:r>
            <w:r>
              <w:rPr>
                <w:sz w:val="18"/>
              </w:rPr>
              <w:t xml:space="preserve">55,88</w:t>
            </w:r>
          </w:p>
          <w:p>
            <w:pPr>
              <w:pStyle w:val="TableParagraph"/>
              <w:spacing w:line="206" w:lineRule="exact"/>
              <w:ind w:start="110" w:end="113"/>
              <w:jc w:val="center"/>
              <w:rPr>
                <w:sz w:val="18"/>
              </w:rPr>
            </w:pPr>
            <w:r>
              <w:rPr>
                <w:sz w:val="18"/>
              </w:rPr>
              <w:t xml:space="preserve">[±11.81]</w:t>
            </w:r>
          </w:p>
          <w:p>
            <w:pPr>
              <w:pStyle w:val="TableParagraph"/>
              <w:ind w:start="109" w:end="113"/>
              <w:jc w:val="center"/>
              <w:rPr>
                <w:sz w:val="18"/>
              </w:rPr>
            </w:pPr>
            <w:r>
              <w:rPr>
                <w:sz w:val="18"/>
              </w:rPr>
              <w:t xml:space="preserve">score à T1 </w:t>
            </w:r>
            <w:r>
              <w:rPr>
                <w:sz w:val="18"/>
              </w:rPr>
              <w:t xml:space="preserve">49,24</w:t>
            </w:r>
          </w:p>
          <w:p>
            <w:pPr>
              <w:pStyle w:val="TableParagraph"/>
              <w:spacing w:line="187" w:lineRule="exact"/>
              <w:ind w:start="110" w:end="113"/>
              <w:jc w:val="center"/>
              <w:rPr>
                <w:sz w:val="18"/>
              </w:rPr>
            </w:pPr>
            <w:r>
              <w:rPr>
                <w:sz w:val="18"/>
              </w:rPr>
              <w:t xml:space="preserve">[±12.24]</w:t>
            </w:r>
          </w:p>
        </w:tc>
        <w:tc>
          <w:tcPr>
            <w:tcW w:w="1137" w:type="dxa"/>
          </w:tcPr>
          <w:p>
            <w:pPr>
              <w:pStyle w:val="TableParagraph"/>
              <w:spacing w:line="208" w:lineRule="exact"/>
              <w:ind w:start="110" w:end="113"/>
              <w:jc w:val="center"/>
              <w:rPr>
                <w:sz w:val="12"/>
              </w:rPr>
            </w:pPr>
            <w:r>
              <w:rPr>
                <w:sz w:val="18"/>
              </w:rPr>
              <w:t xml:space="preserve">n-NR7</w:t>
            </w:r>
          </w:p>
          <w:p>
            <w:pPr>
              <w:pStyle w:val="TableParagraph"/>
              <w:ind w:start="110" w:end="112"/>
              <w:jc w:val="center"/>
              <w:rPr>
                <w:sz w:val="18"/>
              </w:rPr>
            </w:pPr>
            <w:r>
              <w:rPr>
                <w:sz w:val="18"/>
              </w:rPr>
              <w:t xml:space="preserve">score à T0 </w:t>
            </w:r>
            <w:r>
              <w:rPr>
                <w:sz w:val="18"/>
              </w:rPr>
              <w:t xml:space="preserve">56,17</w:t>
            </w:r>
          </w:p>
          <w:p>
            <w:pPr>
              <w:pStyle w:val="TableParagraph"/>
              <w:spacing w:line="206" w:lineRule="exact"/>
              <w:ind w:start="110" w:end="111"/>
              <w:jc w:val="center"/>
              <w:rPr>
                <w:sz w:val="18"/>
              </w:rPr>
            </w:pPr>
            <w:r>
              <w:rPr>
                <w:sz w:val="18"/>
              </w:rPr>
              <w:t xml:space="preserve">[±13.25]</w:t>
            </w:r>
          </w:p>
          <w:p>
            <w:pPr>
              <w:pStyle w:val="TableParagraph"/>
              <w:ind w:start="110" w:end="112"/>
              <w:jc w:val="center"/>
              <w:rPr>
                <w:sz w:val="18"/>
              </w:rPr>
            </w:pPr>
            <w:r>
              <w:rPr>
                <w:sz w:val="18"/>
              </w:rPr>
              <w:t xml:space="preserve">score à T1 </w:t>
            </w:r>
            <w:r>
              <w:rPr>
                <w:sz w:val="18"/>
              </w:rPr>
              <w:t xml:space="preserve">50,24</w:t>
            </w:r>
          </w:p>
          <w:p>
            <w:pPr>
              <w:pStyle w:val="TableParagraph"/>
              <w:spacing w:line="187" w:lineRule="exact"/>
              <w:ind w:start="110" w:end="111"/>
              <w:jc w:val="center"/>
              <w:rPr>
                <w:sz w:val="18"/>
              </w:rPr>
            </w:pPr>
            <w:r>
              <w:rPr>
                <w:sz w:val="18"/>
              </w:rPr>
              <w:t xml:space="preserve">[±11.28]</w:t>
            </w:r>
          </w:p>
        </w:tc>
        <w:tc>
          <w:tcPr>
            <w:tcW w:w="2705" w:type="dxa"/>
          </w:tcPr>
          <w:p>
            <w:pPr>
              <w:pStyle w:val="TableParagraph"/>
              <w:spacing w:before="1"/>
              <w:ind w:start="169" w:end="181"/>
              <w:jc w:val="center"/>
              <w:rPr>
                <w:sz w:val="18"/>
              </w:rPr>
            </w:pPr>
            <w:r>
              <w:rPr>
                <w:i/>
                <w:sz w:val="18"/>
              </w:rPr>
              <w:t xml:space="preserve">Rapport F </w:t>
            </w:r>
            <w:r>
              <w:rPr>
                <w:sz w:val="18"/>
              </w:rPr>
              <w:t xml:space="preserve">0,049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1"/>
              <w:ind w:start="169" w:end="179"/>
              <w:jc w:val="center"/>
              <w:rPr>
                <w:sz w:val="18"/>
              </w:rPr>
            </w:pPr>
            <w:r>
              <w:rPr>
                <w:i/>
                <w:sz w:val="18"/>
              </w:rPr>
              <w:t xml:space="preserve">P=0</w:t>
            </w:r>
            <w:r>
              <w:rPr>
                <w:sz w:val="18"/>
              </w:rPr>
              <w:t xml:space="preserve">.825</w:t>
            </w:r>
          </w:p>
        </w:tc>
        <w:tc>
          <w:tcPr>
            <w:tcW w:w="993" w:type="dxa"/>
          </w:tcPr>
          <w:p>
            <w:pPr>
              <w:pStyle w:val="TableParagraph"/>
              <w:spacing w:before="3"/>
              <w:ind w:start="86" w:end="95"/>
              <w:jc w:val="center"/>
              <w:rPr>
                <w:sz w:val="18"/>
              </w:rPr>
            </w:pPr>
            <w:r>
              <w:rPr>
                <w:sz w:val="18"/>
              </w:rPr>
              <w:t xml:space="preserve">Important</w:t>
            </w:r>
          </w:p>
        </w:tc>
        <w:tc>
          <w:tcPr>
            <w:tcW w:w="1267" w:type="dxa"/>
          </w:tcPr>
          <w:p>
            <w:pPr>
              <w:pStyle w:val="TableParagraph"/>
              <w:spacing w:before="3"/>
              <w:ind w:start="125" w:end="142"/>
              <w:jc w:val="center"/>
              <w:rPr>
                <w:sz w:val="18"/>
              </w:rPr>
            </w:pPr>
            <w:r>
              <w:rPr>
                <w:sz w:val="18"/>
              </w:rPr>
              <w:t xml:space="preserve">TRES </w:t>
            </w:r>
            <w:r>
              <w:rPr>
                <w:sz w:val="18"/>
              </w:rPr>
              <w:t xml:space="preserve">FAIBLE</w:t>
            </w:r>
          </w:p>
        </w:tc>
      </w:tr>
      <w:tr w:rsidR="00432386">
        <w:trPr>
          <w:trHeight w:val="729"/>
        </w:trPr>
        <w:tc>
          <w:tcPr>
            <w:tcW w:w="14188" w:type="dxa"/>
            <w:gridSpan w:val="10"/>
            <w:shd w:val="clear" w:color="auto" w:fill="C5D9F0"/>
          </w:tcPr>
          <w:p>
            <w:pPr>
              <w:pStyle w:val="TableParagraph"/>
              <w:spacing w:line="278" w:lineRule="auto"/>
              <w:ind w:start="107"/>
              <w:rPr>
                <w:b/>
                <w:i/>
                <w:sz w:val="20"/>
              </w:rPr>
            </w:pPr>
            <w:r>
              <w:rPr>
                <w:b/>
                <w:i/>
                <w:sz w:val="18"/>
              </w:rPr>
              <w:t xml:space="preserve">Score </w:t>
            </w:r>
            <w:r>
              <w:rPr>
                <w:b/>
                <w:i/>
                <w:sz w:val="18"/>
              </w:rPr>
              <w:t xml:space="preserve">moyen </w:t>
            </w:r>
            <w:r>
              <w:rPr>
                <w:b/>
                <w:i/>
                <w:sz w:val="18"/>
              </w:rPr>
              <w:t xml:space="preserve">[±SD] </w:t>
            </w:r>
            <w:r>
              <w:rPr>
                <w:b/>
                <w:i/>
                <w:sz w:val="18"/>
              </w:rPr>
              <w:t xml:space="preserve">du </w:t>
            </w:r>
            <w:r>
              <w:rPr>
                <w:b/>
                <w:i/>
                <w:sz w:val="18"/>
              </w:rPr>
              <w:t xml:space="preserve">Youth </w:t>
            </w:r>
            <w:r>
              <w:rPr>
                <w:b/>
                <w:i/>
                <w:sz w:val="18"/>
              </w:rPr>
              <w:t xml:space="preserve">Self-Report </w:t>
            </w:r>
            <w:r>
              <w:rPr>
                <w:b/>
                <w:i/>
                <w:sz w:val="18"/>
              </w:rPr>
              <w:t xml:space="preserve">(externalisation </w:t>
            </w:r>
            <w:r>
              <w:rPr>
                <w:b/>
                <w:i/>
                <w:sz w:val="18"/>
              </w:rPr>
              <w:t xml:space="preserve">T)</w:t>
            </w:r>
            <w:r>
              <w:rPr>
                <w:b/>
                <w:i/>
                <w:sz w:val="18"/>
              </w:rPr>
              <w:t xml:space="preserve">, </w:t>
            </w:r>
            <w:r>
              <w:rPr>
                <w:b/>
                <w:i/>
                <w:sz w:val="20"/>
              </w:rPr>
              <w:t xml:space="preserve">point </w:t>
            </w:r>
            <w:r>
              <w:rPr>
                <w:b/>
                <w:i/>
                <w:sz w:val="20"/>
              </w:rPr>
              <w:t xml:space="preserve">temporel </w:t>
            </w:r>
            <w:r>
              <w:rPr>
                <w:b/>
                <w:i/>
                <w:sz w:val="20"/>
              </w:rPr>
              <w:t xml:space="preserve">au </w:t>
            </w:r>
            <w:r>
              <w:rPr>
                <w:b/>
                <w:i/>
                <w:sz w:val="20"/>
              </w:rPr>
              <w:t xml:space="preserve">départ </w:t>
            </w:r>
            <w:r>
              <w:rPr>
                <w:b/>
                <w:i/>
                <w:sz w:val="20"/>
              </w:rPr>
              <w:t xml:space="preserve">(T0 </w:t>
            </w:r>
            <w:r>
              <w:rPr>
                <w:b/>
                <w:i/>
                <w:sz w:val="20"/>
              </w:rPr>
              <w:t xml:space="preserve">avant </w:t>
            </w:r>
            <w:r>
              <w:rPr>
                <w:b/>
                <w:i/>
                <w:sz w:val="20"/>
              </w:rPr>
              <w:t xml:space="preserve">GnRHa) </w:t>
            </w:r>
            <w:r>
              <w:rPr>
                <w:b/>
                <w:i/>
                <w:sz w:val="20"/>
              </w:rPr>
              <w:t xml:space="preserve">par rapport au </w:t>
            </w:r>
            <w:r>
              <w:rPr>
                <w:b/>
                <w:i/>
                <w:sz w:val="20"/>
              </w:rPr>
              <w:t xml:space="preserve">suivi </w:t>
            </w:r>
            <w:r>
              <w:rPr>
                <w:b/>
                <w:i/>
                <w:sz w:val="20"/>
              </w:rPr>
              <w:t xml:space="preserve">(T1 </w:t>
            </w:r>
            <w:r>
              <w:rPr>
                <w:b/>
                <w:i/>
                <w:sz w:val="20"/>
              </w:rPr>
              <w:t xml:space="preserve">juste </w:t>
            </w:r>
            <w:r>
              <w:rPr>
                <w:b/>
                <w:i/>
                <w:sz w:val="20"/>
              </w:rPr>
              <w:t xml:space="preserve">avant les </w:t>
            </w:r>
            <w:r>
              <w:rPr>
                <w:b/>
                <w:i/>
                <w:sz w:val="20"/>
              </w:rPr>
              <w:t xml:space="preserve">hormones d'</w:t>
            </w:r>
            <w:r>
              <w:rPr>
                <w:b/>
                <w:i/>
                <w:sz w:val="20"/>
              </w:rPr>
              <w:t xml:space="preserve">affirmation du genre</w:t>
            </w:r>
            <w:r>
              <w:rPr>
                <w:b/>
                <w:i/>
                <w:sz w:val="20"/>
              </w:rPr>
              <w:t xml:space="preserve">).</w:t>
            </w:r>
          </w:p>
        </w:tc>
      </w:tr>
      <w:tr w:rsidR="00432386">
        <w:trPr>
          <w:trHeight w:val="1449"/>
        </w:trPr>
        <w:tc>
          <w:tcPr>
            <w:tcW w:w="1592" w:type="dxa"/>
          </w:tcPr>
          <w:p w:rsidR="00432386" w:rsidRDefault="00432386">
            <w:pPr>
              <w:pStyle w:val="TableParagraph"/>
              <w:rPr>
                <w:b/>
                <w:sz w:val="20"/>
              </w:rPr>
            </w:pPr>
          </w:p>
          <w:p w:rsidR="00432386" w:rsidRDefault="00432386">
            <w:pPr>
              <w:pStyle w:val="TableParagraph"/>
              <w:rPr>
                <w:b/>
                <w:sz w:val="16"/>
              </w:rPr>
            </w:pPr>
          </w:p>
          <w:p>
            <w:pPr>
              <w:pStyle w:val="TableParagraph"/>
              <w:ind w:start="230" w:end="219"/>
              <w:jc w:val="center"/>
              <w:rPr>
                <w:sz w:val="18"/>
              </w:rPr>
            </w:pPr>
            <w:r>
              <w:rPr>
                <w:sz w:val="18"/>
              </w:rPr>
              <w:t xml:space="preserve">1 étude de cohorte </w:t>
            </w:r>
            <w:r>
              <w:rPr>
                <w:sz w:val="18"/>
              </w:rPr>
              <w:t xml:space="preserve">de Vries et al </w:t>
            </w:r>
            <w:r>
              <w:rPr>
                <w:sz w:val="18"/>
              </w:rPr>
              <w:t xml:space="preserve">2011</w:t>
            </w:r>
          </w:p>
        </w:tc>
        <w:tc>
          <w:tcPr>
            <w:tcW w:w="1100" w:type="dxa"/>
          </w:tcPr>
          <w:p>
            <w:pPr>
              <w:pStyle w:val="TableParagraph"/>
              <w:ind w:start="114" w:end="89" w:firstLine="127"/>
              <w:rPr>
                <w:sz w:val="12"/>
              </w:rPr>
            </w:pPr>
            <w:r>
              <w:rPr>
                <w:sz w:val="18"/>
              </w:rPr>
              <w:t xml:space="preserve">De sérieuses </w:t>
            </w:r>
            <w:r>
              <w:rPr>
                <w:sz w:val="18"/>
              </w:rPr>
              <w:t xml:space="preserve">limitations1</w:t>
            </w:r>
          </w:p>
        </w:tc>
        <w:tc>
          <w:tcPr>
            <w:tcW w:w="1441" w:type="dxa"/>
          </w:tcPr>
          <w:p>
            <w:pPr>
              <w:pStyle w:val="TableParagraph"/>
              <w:spacing w:line="278" w:lineRule="auto"/>
              <w:ind w:start="236" w:end="226" w:firstLine="48"/>
              <w:rPr>
                <w:sz w:val="18"/>
              </w:rPr>
            </w:pPr>
            <w:r>
              <w:rPr>
                <w:sz w:val="18"/>
              </w:rPr>
              <w:t xml:space="preserve">Pas de </w:t>
            </w:r>
            <w:r>
              <w:rPr>
                <w:spacing w:val="-1"/>
                <w:sz w:val="18"/>
              </w:rPr>
              <w:t xml:space="preserve">caractère indirect </w:t>
            </w:r>
            <w:r>
              <w:rPr>
                <w:sz w:val="18"/>
              </w:rPr>
              <w:t xml:space="preserve">grave</w:t>
            </w:r>
          </w:p>
        </w:tc>
        <w:tc>
          <w:tcPr>
            <w:tcW w:w="1538" w:type="dxa"/>
          </w:tcPr>
          <w:p>
            <w:pPr>
              <w:pStyle w:val="TableParagraph"/>
              <w:spacing w:before="1"/>
              <w:ind w:start="192"/>
              <w:rPr>
                <w:sz w:val="18"/>
              </w:rPr>
            </w:pPr>
            <w:r>
              <w:rPr>
                <w:sz w:val="18"/>
              </w:rPr>
              <w:t xml:space="preserve">Non </w:t>
            </w:r>
            <w:r>
              <w:rPr>
                <w:sz w:val="18"/>
              </w:rPr>
              <w:t xml:space="preserve">applicable</w:t>
            </w:r>
          </w:p>
        </w:tc>
        <w:tc>
          <w:tcPr>
            <w:tcW w:w="1278" w:type="dxa"/>
          </w:tcPr>
          <w:p>
            <w:pPr>
              <w:pStyle w:val="TableParagraph"/>
              <w:spacing w:line="278" w:lineRule="auto"/>
              <w:ind w:start="231" w:end="216" w:firstLine="261"/>
              <w:rPr>
                <w:sz w:val="18"/>
              </w:rPr>
            </w:pPr>
            <w:r>
              <w:rPr>
                <w:sz w:val="18"/>
              </w:rPr>
              <w:t xml:space="preserve">Non </w:t>
            </w:r>
            <w:r>
              <w:rPr>
                <w:sz w:val="18"/>
              </w:rPr>
              <w:t xml:space="preserve">calculable</w:t>
            </w:r>
          </w:p>
        </w:tc>
        <w:tc>
          <w:tcPr>
            <w:tcW w:w="1137" w:type="dxa"/>
          </w:tcPr>
          <w:p>
            <w:pPr>
              <w:pStyle w:val="TableParagraph"/>
              <w:spacing w:line="206" w:lineRule="exact"/>
              <w:ind w:start="108" w:end="113"/>
              <w:jc w:val="center"/>
              <w:rPr>
                <w:sz w:val="12"/>
              </w:rPr>
            </w:pPr>
            <w:r>
              <w:rPr>
                <w:sz w:val="18"/>
              </w:rPr>
              <w:t xml:space="preserve">n-NR7</w:t>
            </w:r>
          </w:p>
          <w:p>
            <w:pPr>
              <w:pStyle w:val="TableParagraph"/>
              <w:spacing w:before="2"/>
              <w:ind w:start="109" w:end="113"/>
              <w:jc w:val="center"/>
              <w:rPr>
                <w:sz w:val="18"/>
              </w:rPr>
            </w:pPr>
            <w:r>
              <w:rPr>
                <w:sz w:val="18"/>
              </w:rPr>
              <w:t xml:space="preserve">score à T0 </w:t>
            </w:r>
            <w:r>
              <w:rPr>
                <w:sz w:val="18"/>
              </w:rPr>
              <w:t xml:space="preserve">48,72</w:t>
            </w:r>
          </w:p>
          <w:p>
            <w:pPr>
              <w:pStyle w:val="TableParagraph"/>
              <w:spacing w:line="206" w:lineRule="exact"/>
              <w:ind w:start="110" w:end="113"/>
              <w:jc w:val="center"/>
              <w:rPr>
                <w:sz w:val="18"/>
              </w:rPr>
            </w:pPr>
            <w:r>
              <w:rPr>
                <w:sz w:val="18"/>
              </w:rPr>
              <w:t xml:space="preserve">[±11.83]</w:t>
            </w:r>
          </w:p>
          <w:p>
            <w:pPr>
              <w:pStyle w:val="TableParagraph"/>
              <w:ind w:start="109" w:end="113"/>
              <w:jc w:val="center"/>
              <w:rPr>
                <w:sz w:val="18"/>
              </w:rPr>
            </w:pPr>
            <w:r>
              <w:rPr>
                <w:sz w:val="18"/>
              </w:rPr>
              <w:t xml:space="preserve">score à T1 </w:t>
            </w:r>
            <w:r>
              <w:rPr>
                <w:sz w:val="18"/>
              </w:rPr>
              <w:t xml:space="preserve">46,52</w:t>
            </w:r>
          </w:p>
          <w:p>
            <w:pPr>
              <w:pStyle w:val="TableParagraph"/>
              <w:spacing w:line="187" w:lineRule="exact"/>
              <w:ind w:start="110" w:end="112"/>
              <w:jc w:val="center"/>
              <w:rPr>
                <w:sz w:val="18"/>
              </w:rPr>
            </w:pPr>
            <w:r>
              <w:rPr>
                <w:sz w:val="18"/>
              </w:rPr>
              <w:t xml:space="preserve">[±9.23]</w:t>
            </w:r>
          </w:p>
        </w:tc>
        <w:tc>
          <w:tcPr>
            <w:tcW w:w="1137" w:type="dxa"/>
          </w:tcPr>
          <w:p>
            <w:pPr>
              <w:pStyle w:val="TableParagraph"/>
              <w:spacing w:line="206" w:lineRule="exact"/>
              <w:ind w:start="110" w:end="113"/>
              <w:jc w:val="center"/>
              <w:rPr>
                <w:sz w:val="12"/>
              </w:rPr>
            </w:pPr>
            <w:r>
              <w:rPr>
                <w:sz w:val="18"/>
              </w:rPr>
              <w:t xml:space="preserve">n-NR7</w:t>
            </w:r>
          </w:p>
          <w:p>
            <w:pPr>
              <w:pStyle w:val="TableParagraph"/>
              <w:spacing w:before="2"/>
              <w:ind w:start="110" w:end="112"/>
              <w:jc w:val="center"/>
              <w:rPr>
                <w:sz w:val="18"/>
              </w:rPr>
            </w:pPr>
            <w:r>
              <w:rPr>
                <w:sz w:val="18"/>
              </w:rPr>
              <w:t xml:space="preserve">score à T0 </w:t>
            </w:r>
            <w:r>
              <w:rPr>
                <w:sz w:val="18"/>
              </w:rPr>
              <w:t xml:space="preserve">57,24</w:t>
            </w:r>
          </w:p>
          <w:p>
            <w:pPr>
              <w:pStyle w:val="TableParagraph"/>
              <w:spacing w:line="206" w:lineRule="exact"/>
              <w:ind w:start="110" w:end="111"/>
              <w:jc w:val="center"/>
              <w:rPr>
                <w:sz w:val="18"/>
              </w:rPr>
            </w:pPr>
            <w:r>
              <w:rPr>
                <w:sz w:val="18"/>
              </w:rPr>
              <w:t xml:space="preserve">[±10.59]</w:t>
            </w:r>
          </w:p>
          <w:p>
            <w:pPr>
              <w:pStyle w:val="TableParagraph"/>
              <w:ind w:start="110" w:end="112"/>
              <w:jc w:val="center"/>
              <w:rPr>
                <w:sz w:val="18"/>
              </w:rPr>
            </w:pPr>
            <w:r>
              <w:rPr>
                <w:sz w:val="18"/>
              </w:rPr>
              <w:t xml:space="preserve">score à T1 </w:t>
            </w:r>
            <w:r>
              <w:rPr>
                <w:sz w:val="18"/>
              </w:rPr>
              <w:t xml:space="preserve">52,97</w:t>
            </w:r>
          </w:p>
          <w:p>
            <w:pPr>
              <w:pStyle w:val="TableParagraph"/>
              <w:spacing w:line="187" w:lineRule="exact"/>
              <w:ind w:start="110" w:end="110"/>
              <w:jc w:val="center"/>
              <w:rPr>
                <w:sz w:val="18"/>
              </w:rPr>
            </w:pPr>
            <w:r>
              <w:rPr>
                <w:sz w:val="18"/>
              </w:rPr>
              <w:t xml:space="preserve">[±8.51]</w:t>
            </w:r>
          </w:p>
        </w:tc>
        <w:tc>
          <w:tcPr>
            <w:tcW w:w="2705" w:type="dxa"/>
          </w:tcPr>
          <w:p>
            <w:pPr>
              <w:pStyle w:val="TableParagraph"/>
              <w:spacing w:line="206" w:lineRule="exact"/>
              <w:ind w:start="169" w:end="181"/>
              <w:jc w:val="center"/>
              <w:rPr>
                <w:sz w:val="18"/>
              </w:rPr>
            </w:pPr>
            <w:r>
              <w:rPr>
                <w:i/>
                <w:sz w:val="18"/>
              </w:rPr>
              <w:t xml:space="preserve">Rapport F </w:t>
            </w:r>
            <w:r>
              <w:rPr>
                <w:sz w:val="18"/>
              </w:rPr>
              <w:t xml:space="preserve">9,14 </w:t>
            </w:r>
            <w:r>
              <w:rPr>
                <w:sz w:val="18"/>
              </w:rPr>
              <w:t xml:space="preserve">(</w:t>
            </w:r>
            <w:r>
              <w:rPr>
                <w:i/>
                <w:sz w:val="18"/>
              </w:rPr>
              <w:t xml:space="preserve">df, </w:t>
            </w:r>
            <w:r>
              <w:rPr>
                <w:i/>
                <w:sz w:val="18"/>
              </w:rPr>
              <w:t xml:space="preserve">errdf </w:t>
            </w:r>
            <w:r>
              <w:rPr>
                <w:sz w:val="18"/>
              </w:rPr>
              <w:t xml:space="preserve">: </w:t>
            </w:r>
            <w:r>
              <w:rPr>
                <w:sz w:val="18"/>
              </w:rPr>
              <w:t xml:space="preserve">1,52),</w:t>
            </w:r>
          </w:p>
          <w:p>
            <w:pPr>
              <w:pStyle w:val="TableParagraph"/>
              <w:spacing w:before="30"/>
              <w:ind w:start="169" w:end="179"/>
              <w:jc w:val="center"/>
              <w:rPr>
                <w:sz w:val="18"/>
              </w:rPr>
            </w:pPr>
            <w:r>
              <w:rPr>
                <w:i/>
                <w:sz w:val="18"/>
              </w:rPr>
              <w:t xml:space="preserve">P=0</w:t>
            </w:r>
            <w:r>
              <w:rPr>
                <w:sz w:val="18"/>
              </w:rPr>
              <w:t xml:space="preserve">.004</w:t>
            </w:r>
          </w:p>
        </w:tc>
        <w:tc>
          <w:tcPr>
            <w:tcW w:w="993" w:type="dxa"/>
          </w:tcPr>
          <w:p>
            <w:pPr>
              <w:pStyle w:val="TableParagraph"/>
              <w:spacing w:before="1"/>
              <w:ind w:start="86" w:end="95"/>
              <w:jc w:val="center"/>
              <w:rPr>
                <w:sz w:val="18"/>
              </w:rPr>
            </w:pPr>
            <w:r>
              <w:rPr>
                <w:sz w:val="18"/>
              </w:rPr>
              <w:t xml:space="preserve">Important</w:t>
            </w:r>
          </w:p>
        </w:tc>
        <w:tc>
          <w:tcPr>
            <w:tcW w:w="1267" w:type="dxa"/>
          </w:tcPr>
          <w:p>
            <w:pPr>
              <w:pStyle w:val="TableParagraph"/>
              <w:spacing w:before="1"/>
              <w:ind w:start="125" w:end="142"/>
              <w:jc w:val="center"/>
              <w:rPr>
                <w:sz w:val="18"/>
              </w:rPr>
            </w:pPr>
            <w:r>
              <w:rPr>
                <w:sz w:val="18"/>
              </w:rPr>
              <w:t xml:space="preserve">TRES </w:t>
            </w:r>
            <w:r>
              <w:rPr>
                <w:sz w:val="18"/>
              </w:rPr>
              <w:t xml:space="preserve">FAIBLE</w:t>
            </w:r>
          </w:p>
        </w:tc>
      </w:tr>
    </w:tbl>
    <w:p>
      <w:pPr>
        <w:spacing w:before="3"/>
        <w:ind w:start="120"/>
        <w:rPr>
          <w:sz w:val="20"/>
        </w:rPr>
      </w:pPr>
      <w:r>
        <w:rPr>
          <w:b/>
          <w:sz w:val="20"/>
        </w:rPr>
        <w:t xml:space="preserve">Abréviations : </w:t>
      </w:r>
      <w:r>
        <w:rPr>
          <w:sz w:val="20"/>
        </w:rPr>
        <w:t xml:space="preserve">GnRH, </w:t>
      </w:r>
      <w:r>
        <w:rPr>
          <w:sz w:val="20"/>
        </w:rPr>
        <w:t xml:space="preserve">gonadotrophin </w:t>
      </w:r>
      <w:r>
        <w:rPr>
          <w:sz w:val="20"/>
        </w:rPr>
        <w:t xml:space="preserve">releasing </w:t>
      </w:r>
      <w:r>
        <w:rPr>
          <w:sz w:val="20"/>
        </w:rPr>
        <w:t xml:space="preserve">hormone ; </w:t>
      </w:r>
      <w:r>
        <w:rPr>
          <w:sz w:val="20"/>
        </w:rPr>
        <w:t xml:space="preserve">NR, </w:t>
      </w:r>
      <w:r>
        <w:rPr>
          <w:sz w:val="20"/>
        </w:rPr>
        <w:t xml:space="preserve">non </w:t>
      </w:r>
      <w:r>
        <w:rPr>
          <w:sz w:val="20"/>
        </w:rPr>
        <w:t xml:space="preserve">rapporté ; </w:t>
      </w:r>
      <w:r>
        <w:rPr>
          <w:i/>
          <w:sz w:val="20"/>
        </w:rPr>
        <w:t xml:space="preserve">P</w:t>
      </w:r>
      <w:r>
        <w:rPr>
          <w:sz w:val="20"/>
        </w:rPr>
        <w:t xml:space="preserve">, </w:t>
      </w:r>
      <w:r>
        <w:rPr>
          <w:sz w:val="20"/>
        </w:rPr>
        <w:t xml:space="preserve">valeur P ; </w:t>
      </w:r>
      <w:r>
        <w:rPr>
          <w:sz w:val="20"/>
        </w:rPr>
        <w:t xml:space="preserve">SD, </w:t>
      </w:r>
      <w:r>
        <w:rPr>
          <w:sz w:val="20"/>
        </w:rPr>
        <w:t xml:space="preserve">écart-type.</w:t>
      </w:r>
    </w:p>
    <w:p w:rsidR="00432386" w:rsidRDefault="00432386">
      <w:pPr>
        <w:pStyle w:val="Corpsdetexte"/>
        <w:spacing w:before="0"/>
        <w:ind w:start="0"/>
        <w:rPr>
          <w:sz w:val="20"/>
        </w:rPr>
      </w:pPr>
    </w:p>
    <w:p>
      <w:pPr>
        <w:spacing w:line="276" w:lineRule="auto"/>
        <w:ind w:start="120" w:end="1493"/>
        <w:rPr>
          <w:i/>
          <w:sz w:val="18"/>
        </w:rPr>
      </w:pPr>
      <w:r>
        <w:rPr>
          <w:i/>
          <w:sz w:val="18"/>
        </w:rPr>
        <w:t xml:space="preserve">1 Déclassement d'un niveau - l'étude de cohorte de de Vries et al. (2011) a été évaluée comme présentant un risque élevé de biais (qualité générale médiocre ; absence d'aveugle et de groupe témoin). </w:t>
      </w:r>
      <w:r>
        <w:rPr>
          <w:i/>
          <w:sz w:val="18"/>
        </w:rPr>
        <w:t xml:space="preserve">2 </w:t>
      </w:r>
      <w:r>
        <w:rPr>
          <w:i/>
          <w:sz w:val="18"/>
        </w:rPr>
        <w:t xml:space="preserve">La </w:t>
      </w:r>
      <w:r>
        <w:rPr>
          <w:i/>
          <w:sz w:val="18"/>
        </w:rPr>
        <w:t xml:space="preserve">taille de l'échantillon </w:t>
      </w:r>
      <w:r>
        <w:rPr>
          <w:i/>
          <w:sz w:val="18"/>
        </w:rPr>
        <w:t xml:space="preserve">global </w:t>
      </w:r>
      <w:r>
        <w:rPr>
          <w:i/>
          <w:sz w:val="18"/>
        </w:rPr>
        <w:t xml:space="preserve">complétant le résultat aux </w:t>
      </w:r>
      <w:r>
        <w:rPr>
          <w:i/>
          <w:sz w:val="18"/>
        </w:rPr>
        <w:t xml:space="preserve">deux points temporels </w:t>
      </w:r>
      <w:r>
        <w:rPr>
          <w:i/>
          <w:sz w:val="18"/>
        </w:rPr>
        <w:t xml:space="preserve">était de </w:t>
      </w:r>
      <w:r>
        <w:rPr>
          <w:i/>
          <w:sz w:val="18"/>
        </w:rPr>
        <w:t xml:space="preserve">57.</w:t>
      </w:r>
    </w:p>
    <w:p>
      <w:pPr>
        <w:spacing w:line="175" w:lineRule="exact"/>
        <w:ind w:start="120"/>
        <w:rPr>
          <w:i/>
          <w:sz w:val="18"/>
        </w:rPr>
      </w:pPr>
      <w:r>
        <w:rPr>
          <w:i/>
          <w:spacing w:val="-1"/>
          <w:sz w:val="18"/>
        </w:rPr>
        <w:t xml:space="preserve">3 </w:t>
      </w:r>
      <w:r>
        <w:rPr>
          <w:i/>
          <w:spacing w:val="-1"/>
          <w:sz w:val="18"/>
        </w:rPr>
        <w:t xml:space="preserve">Il y </w:t>
      </w:r>
      <w:r>
        <w:rPr>
          <w:i/>
          <w:spacing w:val="-1"/>
          <w:sz w:val="18"/>
        </w:rPr>
        <w:t xml:space="preserve">a eu un </w:t>
      </w:r>
      <w:r>
        <w:rPr>
          <w:i/>
          <w:spacing w:val="-1"/>
          <w:sz w:val="18"/>
        </w:rPr>
        <w:t xml:space="preserve">effet d'</w:t>
      </w:r>
      <w:r>
        <w:rPr>
          <w:i/>
          <w:spacing w:val="-1"/>
          <w:sz w:val="18"/>
        </w:rPr>
        <w:t xml:space="preserve">interaction </w:t>
      </w:r>
      <w:r>
        <w:rPr>
          <w:i/>
          <w:spacing w:val="-1"/>
          <w:sz w:val="18"/>
        </w:rPr>
        <w:t xml:space="preserve">significatif </w:t>
      </w:r>
      <w:r>
        <w:rPr>
          <w:i/>
          <w:spacing w:val="-1"/>
          <w:sz w:val="18"/>
        </w:rPr>
        <w:t xml:space="preserve">entre le </w:t>
      </w:r>
      <w:r>
        <w:rPr>
          <w:i/>
          <w:spacing w:val="-1"/>
          <w:sz w:val="18"/>
        </w:rPr>
        <w:t xml:space="preserve">sexe </w:t>
      </w:r>
      <w:r>
        <w:rPr>
          <w:i/>
          <w:spacing w:val="-1"/>
          <w:sz w:val="18"/>
        </w:rPr>
        <w:t xml:space="preserve">assigné à la </w:t>
      </w:r>
      <w:r>
        <w:rPr>
          <w:i/>
          <w:sz w:val="18"/>
        </w:rPr>
        <w:t xml:space="preserve">naissance </w:t>
      </w:r>
      <w:r>
        <w:rPr>
          <w:i/>
          <w:sz w:val="18"/>
        </w:rPr>
        <w:t xml:space="preserve">et le BDI </w:t>
      </w:r>
      <w:r>
        <w:rPr>
          <w:i/>
          <w:sz w:val="18"/>
        </w:rPr>
        <w:t xml:space="preserve">entre </w:t>
      </w:r>
      <w:r>
        <w:rPr>
          <w:i/>
          <w:sz w:val="18"/>
        </w:rPr>
        <w:t xml:space="preserve">T0 et T1 ; les </w:t>
      </w:r>
      <w:r>
        <w:rPr>
          <w:i/>
          <w:sz w:val="18"/>
        </w:rPr>
        <w:t xml:space="preserve">femmes </w:t>
      </w:r>
      <w:r>
        <w:rPr>
          <w:i/>
          <w:sz w:val="18"/>
        </w:rPr>
        <w:t xml:space="preserve">assignées à la </w:t>
      </w:r>
      <w:r>
        <w:rPr>
          <w:i/>
          <w:sz w:val="18"/>
        </w:rPr>
        <w:t xml:space="preserve">naissance </w:t>
      </w:r>
      <w:r>
        <w:rPr>
          <w:i/>
          <w:sz w:val="18"/>
        </w:rPr>
        <w:t xml:space="preserve">sont devenues plus insatisfaites </w:t>
      </w:r>
      <w:r>
        <w:rPr>
          <w:i/>
          <w:sz w:val="18"/>
        </w:rPr>
        <w:t xml:space="preserve">de leur état de santé.</w:t>
      </w:r>
    </w:p>
    <w:p>
      <w:pPr>
        <w:ind w:start="120" w:end="1202"/>
        <w:rPr>
          <w:i/>
          <w:sz w:val="18"/>
        </w:rPr>
      </w:pPr>
      <w:r>
        <w:rPr>
          <w:i/>
          <w:sz w:val="18"/>
        </w:rPr>
        <w:t xml:space="preserve">F </w:t>
      </w:r>
      <w:r>
        <w:rPr>
          <w:i/>
          <w:sz w:val="18"/>
        </w:rPr>
        <w:t xml:space="preserve">secondaire </w:t>
      </w:r>
      <w:r>
        <w:rPr>
          <w:i/>
          <w:sz w:val="18"/>
        </w:rPr>
        <w:t xml:space="preserve">(df, errdf), P : 14,59 (1,55), P&lt;0,001) et F neutre </w:t>
      </w:r>
      <w:r>
        <w:rPr>
          <w:i/>
          <w:spacing w:val="50"/>
          <w:sz w:val="18"/>
        </w:rPr>
        <w:t xml:space="preserve">(</w:t>
      </w:r>
      <w:r>
        <w:rPr>
          <w:i/>
          <w:sz w:val="18"/>
        </w:rPr>
        <w:t xml:space="preserve">df, errdf), P : 15,26 (1,55), P&lt;0,001) </w:t>
      </w:r>
      <w:r>
        <w:rPr>
          <w:i/>
          <w:sz w:val="18"/>
        </w:rPr>
        <w:t xml:space="preserve">caractéristiques sexuelles par rapport au sexe assigné à la naissance des hommes. </w:t>
      </w:r>
      <w:r>
        <w:rPr>
          <w:i/>
          <w:sz w:val="18"/>
        </w:rPr>
        <w:t xml:space="preserve">4 </w:t>
      </w:r>
      <w:r>
        <w:rPr>
          <w:i/>
          <w:sz w:val="18"/>
        </w:rPr>
        <w:t xml:space="preserve">Limites </w:t>
      </w:r>
      <w:r>
        <w:rPr>
          <w:i/>
          <w:sz w:val="18"/>
        </w:rPr>
        <w:t xml:space="preserve">sérieuses </w:t>
      </w:r>
      <w:r>
        <w:rPr>
          <w:i/>
          <w:sz w:val="18"/>
        </w:rPr>
        <w:t xml:space="preserve">- </w:t>
      </w:r>
      <w:r>
        <w:rPr>
          <w:i/>
          <w:sz w:val="18"/>
        </w:rPr>
        <w:t xml:space="preserve">l'</w:t>
      </w:r>
      <w:r>
        <w:rPr>
          <w:i/>
          <w:sz w:val="18"/>
        </w:rPr>
        <w:t xml:space="preserve">étude de cohorte </w:t>
      </w:r>
      <w:r>
        <w:rPr>
          <w:i/>
          <w:sz w:val="18"/>
        </w:rPr>
        <w:t xml:space="preserve">de </w:t>
      </w:r>
      <w:r>
        <w:rPr>
          <w:i/>
          <w:sz w:val="18"/>
        </w:rPr>
        <w:t xml:space="preserve">Costa et </w:t>
      </w:r>
      <w:r>
        <w:rPr>
          <w:i/>
          <w:sz w:val="18"/>
        </w:rPr>
        <w:t xml:space="preserve">al. </w:t>
      </w:r>
      <w:r>
        <w:rPr>
          <w:i/>
          <w:sz w:val="18"/>
        </w:rPr>
        <w:t xml:space="preserve">2015 </w:t>
      </w:r>
      <w:r>
        <w:rPr>
          <w:i/>
          <w:sz w:val="18"/>
        </w:rPr>
        <w:t xml:space="preserve">a été </w:t>
      </w:r>
      <w:r>
        <w:rPr>
          <w:i/>
          <w:sz w:val="18"/>
        </w:rPr>
        <w:t xml:space="preserve">évaluée </w:t>
      </w:r>
      <w:r>
        <w:rPr>
          <w:i/>
          <w:sz w:val="18"/>
        </w:rPr>
        <w:t xml:space="preserve">comme </w:t>
      </w:r>
      <w:r>
        <w:rPr>
          <w:i/>
          <w:sz w:val="18"/>
        </w:rPr>
        <w:t xml:space="preserve">présentant un </w:t>
      </w:r>
      <w:r>
        <w:rPr>
          <w:i/>
          <w:sz w:val="18"/>
        </w:rPr>
        <w:t xml:space="preserve">risque élevé </w:t>
      </w:r>
      <w:r>
        <w:rPr>
          <w:i/>
          <w:sz w:val="18"/>
        </w:rPr>
        <w:t xml:space="preserve">de biais (</w:t>
      </w:r>
      <w:r>
        <w:rPr>
          <w:i/>
          <w:sz w:val="18"/>
        </w:rPr>
        <w:t xml:space="preserve">qualité </w:t>
      </w:r>
      <w:r>
        <w:rPr>
          <w:i/>
          <w:sz w:val="18"/>
        </w:rPr>
        <w:t xml:space="preserve">médiocre</w:t>
      </w:r>
      <w:r>
        <w:rPr>
          <w:i/>
          <w:sz w:val="18"/>
        </w:rPr>
        <w:t xml:space="preserve">).</w:t>
      </w:r>
    </w:p>
    <w:p>
      <w:pPr>
        <w:pStyle w:val="Paragraphedeliste"/>
        <w:numPr>
          <w:ilvl w:val="0"/>
          <w:numId w:val="2"/>
        </w:numPr>
        <w:tabs>
          <w:tab w:val="left" w:pos="272"/>
        </w:tabs>
        <w:spacing w:before="1"/>
        <w:ind w:end="999" w:firstLine="0"/>
        <w:rPr>
          <w:i/>
          <w:sz w:val="18"/>
        </w:rPr>
      </w:pPr>
      <w:r>
        <w:rPr>
          <w:i/>
          <w:sz w:val="18"/>
        </w:rPr>
        <w:t xml:space="preserve">Au départ, les scores CGAS n'étaient associés à aucune </w:t>
      </w:r>
      <w:r>
        <w:rPr>
          <w:i/>
          <w:sz w:val="18"/>
        </w:rPr>
        <w:t xml:space="preserve">variable</w:t>
      </w:r>
      <w:r>
        <w:rPr>
          <w:i/>
          <w:sz w:val="18"/>
        </w:rPr>
        <w:t xml:space="preserve"> démographique</w:t>
      </w:r>
      <w:r>
        <w:rPr>
          <w:i/>
          <w:sz w:val="18"/>
        </w:rPr>
        <w:t xml:space="preserve">, tant chez les hommes que chez les femmes assignés au sexe de naissance. Il n'y avait pas de </w:t>
      </w:r>
      <w:r>
        <w:rPr>
          <w:i/>
          <w:sz w:val="18"/>
        </w:rPr>
        <w:t xml:space="preserve">différences </w:t>
      </w:r>
      <w:r>
        <w:rPr>
          <w:i/>
          <w:sz w:val="18"/>
        </w:rPr>
        <w:t xml:space="preserve">statistiquement significatives </w:t>
      </w:r>
      <w:r>
        <w:rPr>
          <w:i/>
          <w:sz w:val="18"/>
        </w:rPr>
        <w:t xml:space="preserve">dans les </w:t>
      </w:r>
      <w:r>
        <w:rPr>
          <w:i/>
          <w:sz w:val="18"/>
        </w:rPr>
        <w:t xml:space="preserve">scores </w:t>
      </w:r>
      <w:r>
        <w:rPr>
          <w:i/>
          <w:sz w:val="18"/>
        </w:rPr>
        <w:t xml:space="preserve">CGAS </w:t>
      </w:r>
      <w:r>
        <w:rPr>
          <w:i/>
          <w:sz w:val="18"/>
        </w:rPr>
        <w:t xml:space="preserve">entre les </w:t>
      </w:r>
      <w:r>
        <w:rPr>
          <w:i/>
          <w:sz w:val="18"/>
        </w:rPr>
        <w:t xml:space="preserve">hommes et les </w:t>
      </w:r>
      <w:r>
        <w:rPr>
          <w:i/>
          <w:sz w:val="18"/>
        </w:rPr>
        <w:t xml:space="preserve">femmes </w:t>
      </w:r>
      <w:r>
        <w:rPr>
          <w:i/>
          <w:sz w:val="18"/>
        </w:rPr>
        <w:t xml:space="preserve">dysphoriques de </w:t>
      </w:r>
      <w:r>
        <w:rPr>
          <w:i/>
          <w:sz w:val="18"/>
        </w:rPr>
        <w:t xml:space="preserve">sexe </w:t>
      </w:r>
      <w:r>
        <w:rPr>
          <w:i/>
          <w:sz w:val="18"/>
        </w:rPr>
        <w:t xml:space="preserve">assigné à </w:t>
      </w:r>
      <w:r>
        <w:rPr>
          <w:i/>
          <w:sz w:val="18"/>
        </w:rPr>
        <w:t xml:space="preserve">la </w:t>
      </w:r>
      <w:r>
        <w:rPr>
          <w:i/>
          <w:sz w:val="18"/>
        </w:rPr>
        <w:t xml:space="preserve">naissance </w:t>
      </w:r>
      <w:r>
        <w:rPr>
          <w:i/>
          <w:sz w:val="18"/>
        </w:rPr>
        <w:t xml:space="preserve">dans </w:t>
      </w:r>
      <w:r>
        <w:rPr>
          <w:i/>
          <w:sz w:val="18"/>
        </w:rPr>
        <w:t xml:space="preserve">toutes les </w:t>
      </w:r>
      <w:r>
        <w:rPr>
          <w:i/>
          <w:sz w:val="18"/>
        </w:rPr>
        <w:t xml:space="preserve">évaluations de </w:t>
      </w:r>
      <w:r>
        <w:rPr>
          <w:i/>
          <w:sz w:val="18"/>
        </w:rPr>
        <w:t xml:space="preserve">suivi </w:t>
      </w:r>
      <w:r>
        <w:rPr>
          <w:i/>
          <w:sz w:val="18"/>
        </w:rPr>
        <w:t xml:space="preserve">(P&gt;0,1 ; </w:t>
      </w:r>
      <w:r>
        <w:rPr>
          <w:i/>
          <w:sz w:val="18"/>
        </w:rPr>
        <w:t xml:space="preserve">données</w:t>
      </w:r>
      <w:r>
        <w:rPr>
          <w:i/>
          <w:sz w:val="18"/>
        </w:rPr>
        <w:t xml:space="preserve"> complètes </w:t>
      </w:r>
      <w:r>
        <w:rPr>
          <w:i/>
          <w:spacing w:val="-3"/>
          <w:sz w:val="18"/>
        </w:rPr>
        <w:t xml:space="preserve">non </w:t>
      </w:r>
      <w:r>
        <w:rPr>
          <w:i/>
          <w:sz w:val="18"/>
        </w:rPr>
        <w:t xml:space="preserve">rapportées).</w:t>
      </w:r>
    </w:p>
    <w:p>
      <w:pPr>
        <w:pStyle w:val="Paragraphedeliste"/>
        <w:numPr>
          <w:ilvl w:val="0"/>
          <w:numId w:val="2"/>
        </w:numPr>
        <w:tabs>
          <w:tab w:val="left" w:pos="272"/>
        </w:tabs>
        <w:spacing w:before="0"/>
        <w:ind w:end="8104" w:firstLine="0"/>
        <w:rPr>
          <w:i/>
          <w:sz w:val="18"/>
        </w:rPr>
      </w:pPr>
      <w:r>
        <w:rPr>
          <w:i/>
          <w:sz w:val="18"/>
        </w:rPr>
        <w:t xml:space="preserve">La taille de l'échantillon global qui a complété le résultat aux deux points de temps était de 41 </w:t>
      </w:r>
      <w:r>
        <w:rPr>
          <w:i/>
          <w:sz w:val="18"/>
        </w:rPr>
        <w:t xml:space="preserve">7 </w:t>
      </w:r>
      <w:r>
        <w:rPr>
          <w:i/>
          <w:sz w:val="18"/>
        </w:rPr>
        <w:t xml:space="preserve">La </w:t>
      </w:r>
      <w:r>
        <w:rPr>
          <w:i/>
          <w:sz w:val="18"/>
        </w:rPr>
        <w:t xml:space="preserve">taille de l'</w:t>
      </w:r>
      <w:r>
        <w:rPr>
          <w:i/>
          <w:sz w:val="18"/>
        </w:rPr>
        <w:t xml:space="preserve">échantillon </w:t>
      </w:r>
      <w:r>
        <w:rPr>
          <w:i/>
          <w:sz w:val="18"/>
        </w:rPr>
        <w:t xml:space="preserve">global </w:t>
      </w:r>
      <w:r>
        <w:rPr>
          <w:i/>
          <w:sz w:val="18"/>
        </w:rPr>
        <w:t xml:space="preserve">qui a complété </w:t>
      </w:r>
      <w:r>
        <w:rPr>
          <w:i/>
          <w:sz w:val="18"/>
        </w:rPr>
        <w:t xml:space="preserve">le </w:t>
      </w:r>
      <w:r>
        <w:rPr>
          <w:i/>
          <w:sz w:val="18"/>
        </w:rPr>
        <w:t xml:space="preserve">résultat </w:t>
      </w:r>
      <w:r>
        <w:rPr>
          <w:i/>
          <w:sz w:val="18"/>
        </w:rPr>
        <w:t xml:space="preserve">aux </w:t>
      </w:r>
      <w:r>
        <w:rPr>
          <w:i/>
          <w:sz w:val="18"/>
        </w:rPr>
        <w:t xml:space="preserve">deux </w:t>
      </w:r>
      <w:r>
        <w:rPr>
          <w:i/>
          <w:sz w:val="18"/>
        </w:rPr>
        <w:t xml:space="preserve">points de </w:t>
      </w:r>
      <w:r>
        <w:rPr>
          <w:i/>
          <w:sz w:val="18"/>
        </w:rPr>
        <w:t xml:space="preserve">temps </w:t>
      </w:r>
      <w:r>
        <w:rPr>
          <w:i/>
          <w:sz w:val="18"/>
        </w:rPr>
        <w:t xml:space="preserve">était de </w:t>
      </w:r>
      <w:r>
        <w:rPr>
          <w:i/>
          <w:sz w:val="18"/>
        </w:rPr>
        <w:t xml:space="preserve">54.</w:t>
      </w:r>
    </w:p>
    <w:p w:rsidR="00432386" w:rsidRDefault="00432386">
      <w:pPr>
        <w:rPr>
          <w:sz w:val="18"/>
        </w:rPr>
        <w:sectPr w:rsidR="00432386">
          <w:pgSz w:w="16840" w:h="11910" w:orient="landscape"/>
          <w:pgMar w:top="1100" w:right="1100" w:bottom="1380" w:left="1320" w:header="0" w:footer="1182" w:gutter="0"/>
          <w:cols w:space="720"/>
        </w:sectPr>
      </w:pPr>
    </w:p>
    <w:p w:rsidR="00432386" w:rsidRDefault="00432386">
      <w:pPr>
        <w:pStyle w:val="Corpsdetexte"/>
        <w:spacing w:before="0"/>
        <w:ind w:start="0"/>
        <w:rPr>
          <w:i/>
          <w:sz w:val="20"/>
        </w:rPr>
      </w:pPr>
    </w:p>
    <w:p>
      <w:pPr>
        <w:pStyle w:val="Titre1"/>
        <w:spacing w:before="92"/>
        <w:ind w:start="100"/>
      </w:pPr>
      <w:bookmarkStart w:name="_bookmark20" w:id="21"/>
      <w:bookmarkEnd w:id="21"/>
      <w:r>
        <w:rPr>
          <w:color w:val="365F91"/>
        </w:rPr>
        <w:t xml:space="preserve">Glossaire</w:t>
      </w:r>
    </w:p>
    <w:p w:rsidR="00432386" w:rsidRDefault="00432386">
      <w:pPr>
        <w:pStyle w:val="Corpsdetexte"/>
        <w:spacing w:before="0" w:after="1"/>
        <w:ind w:start="0"/>
        <w:rPr>
          <w:b/>
          <w:sz w:val="21"/>
        </w:r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405"/>
        <w:gridCol w:w="6614"/>
      </w:tblGrid>
      <w:tr w:rsidR="00432386">
        <w:trPr>
          <w:trHeight w:val="1264"/>
        </w:trPr>
        <w:tc>
          <w:tcPr>
            <w:tcW w:w="2405" w:type="dxa"/>
          </w:tcPr>
          <w:p>
            <w:pPr>
              <w:pStyle w:val="TableParagraph"/>
              <w:ind w:start="107" w:end="414"/>
            </w:pPr>
            <w:r>
              <w:t xml:space="preserve">Inventaire de </w:t>
            </w:r>
            <w:r>
              <w:t xml:space="preserve">dépression </w:t>
            </w:r>
            <w:r>
              <w:t xml:space="preserve">de Beck-II </w:t>
            </w:r>
            <w:r>
              <w:t xml:space="preserve">(BDI-II)</w:t>
            </w:r>
          </w:p>
        </w:tc>
        <w:tc>
          <w:tcPr>
            <w:tcW w:w="6614" w:type="dxa"/>
          </w:tcPr>
          <w:p>
            <w:pPr>
              <w:pStyle w:val="TableParagraph"/>
              <w:ind w:start="107" w:end="252"/>
            </w:pPr>
            <w:r>
              <w:t xml:space="preserve">Le BDI-II est un outil d'évaluation des symptômes dépressifs. Il </w:t>
            </w:r>
            <w:r>
              <w:t xml:space="preserve">n'y a pas de score spécifique pour catégoriser la gravité de la dépression, mais il est </w:t>
            </w:r>
            <w:r>
              <w:t xml:space="preserve">suggéré que 0 à 13 correspond à des symptômes minimes, 14 à 19 à une </w:t>
            </w:r>
            <w:r>
              <w:t xml:space="preserve">dépression </w:t>
            </w:r>
            <w:r>
              <w:t xml:space="preserve">légère</w:t>
            </w:r>
            <w:r>
              <w:t xml:space="preserve">, </w:t>
            </w:r>
            <w:r>
              <w:t xml:space="preserve">20 </w:t>
            </w:r>
            <w:r>
              <w:t xml:space="preserve">à </w:t>
            </w:r>
            <w:r>
              <w:t xml:space="preserve">28 à </w:t>
            </w:r>
            <w:r>
              <w:t xml:space="preserve">une </w:t>
            </w:r>
            <w:r>
              <w:t xml:space="preserve">dépression </w:t>
            </w:r>
            <w:r>
              <w:t xml:space="preserve">modérée, </w:t>
            </w:r>
            <w:r>
              <w:t xml:space="preserve">et </w:t>
            </w:r>
            <w:r>
              <w:t xml:space="preserve">sévère</w:t>
            </w:r>
          </w:p>
          <w:p>
            <w:pPr>
              <w:pStyle w:val="TableParagraph"/>
              <w:spacing w:line="233" w:lineRule="exact"/>
              <w:ind w:start="107"/>
            </w:pPr>
            <w:r>
              <w:t xml:space="preserve">La </w:t>
            </w:r>
            <w:r>
              <w:t xml:space="preserve">dépression </w:t>
            </w:r>
            <w:r>
              <w:t xml:space="preserve">est de </w:t>
            </w:r>
            <w:r>
              <w:t xml:space="preserve">29 </w:t>
            </w:r>
            <w:r>
              <w:t xml:space="preserve">à </w:t>
            </w:r>
            <w:r>
              <w:t xml:space="preserve">63 ans.</w:t>
            </w:r>
          </w:p>
        </w:tc>
      </w:tr>
      <w:tr w:rsidR="00432386">
        <w:trPr>
          <w:trHeight w:val="1516"/>
        </w:trPr>
        <w:tc>
          <w:tcPr>
            <w:tcW w:w="2405" w:type="dxa"/>
          </w:tcPr>
          <w:p>
            <w:pPr>
              <w:pStyle w:val="TableParagraph"/>
              <w:ind w:start="107" w:end="482"/>
            </w:pPr>
            <w:r>
              <w:t xml:space="preserve">Échelle d'image corporelle </w:t>
            </w:r>
            <w:r>
              <w:t xml:space="preserve">(BIS)</w:t>
            </w:r>
          </w:p>
        </w:tc>
        <w:tc>
          <w:tcPr>
            <w:tcW w:w="6614" w:type="dxa"/>
          </w:tcPr>
          <w:p>
            <w:pPr>
              <w:pStyle w:val="TableParagraph"/>
              <w:ind w:start="107" w:end="92"/>
              <w:jc w:val="both"/>
            </w:pPr>
            <w:r>
              <w:t xml:space="preserve">Le BIS est utilisé pour mesurer la satisfaction corporelle. L'échelle se compose </w:t>
            </w:r>
            <w:r>
              <w:t xml:space="preserve">de 30 caractéristiques corporelles, que la personne évalue sur une échelle de 5 points. </w:t>
            </w:r>
            <w:r>
              <w:t xml:space="preserve">Chacun de ces 30 éléments est classé dans l'un des trois groupes de base suivants, en fonction de son </w:t>
            </w:r>
            <w:r>
              <w:rPr>
                <w:spacing w:val="-1"/>
              </w:rPr>
              <w:t xml:space="preserve">importance </w:t>
            </w:r>
            <w:r>
              <w:rPr>
                <w:spacing w:val="-1"/>
              </w:rPr>
              <w:t xml:space="preserve">relative </w:t>
            </w:r>
            <w:r>
              <w:t xml:space="preserve">en</w:t>
            </w:r>
            <w:r>
              <w:t xml:space="preserve"> tant que </w:t>
            </w:r>
            <w:r>
              <w:t xml:space="preserve">caractéristique </w:t>
            </w:r>
            <w:r>
              <w:t xml:space="preserve">corporelle </w:t>
            </w:r>
            <w:r>
              <w:t xml:space="preserve">définissant le sexe </w:t>
            </w:r>
            <w:r>
              <w:t xml:space="preserve">: </w:t>
            </w:r>
            <w:r>
              <w:t xml:space="preserve">caractéristiques </w:t>
            </w:r>
            <w:r>
              <w:t xml:space="preserve">sexuelles </w:t>
            </w:r>
            <w:r>
              <w:t xml:space="preserve">primaires</w:t>
            </w:r>
            <w:r>
              <w:t xml:space="preserve">, </w:t>
            </w:r>
            <w:r>
              <w:t xml:space="preserve">caractéristiques </w:t>
            </w:r>
            <w:r>
              <w:t xml:space="preserve">sexuelles </w:t>
            </w:r>
            <w:r>
              <w:t xml:space="preserve">secondaires </w:t>
            </w:r>
            <w:r>
              <w:t xml:space="preserve">et caractéristiques </w:t>
            </w:r>
            <w:r>
              <w:t xml:space="preserve">corporelles </w:t>
            </w:r>
            <w:r>
              <w:t xml:space="preserve">neutres.</w:t>
            </w:r>
          </w:p>
          <w:p>
            <w:pPr>
              <w:pStyle w:val="TableParagraph"/>
              <w:spacing w:line="232" w:lineRule="exact"/>
              <w:ind w:start="107"/>
              <w:jc w:val="both"/>
            </w:pPr>
            <w:r>
              <w:t xml:space="preserve">caractéristiques. </w:t>
            </w:r>
            <w:r>
              <w:t xml:space="preserve">Un </w:t>
            </w:r>
            <w:r>
              <w:t xml:space="preserve">score </w:t>
            </w:r>
            <w:r>
              <w:t xml:space="preserve">plus élevé </w:t>
            </w:r>
            <w:r>
              <w:t xml:space="preserve">indique une </w:t>
            </w:r>
            <w:r>
              <w:t xml:space="preserve">plus grande </w:t>
            </w:r>
            <w:r>
              <w:t xml:space="preserve">insatisfaction.</w:t>
            </w:r>
          </w:p>
        </w:tc>
      </w:tr>
      <w:tr w:rsidR="00432386">
        <w:trPr>
          <w:trHeight w:val="761"/>
        </w:trPr>
        <w:tc>
          <w:tcPr>
            <w:tcW w:w="2405" w:type="dxa"/>
          </w:tcPr>
          <w:p>
            <w:pPr>
              <w:pStyle w:val="TableParagraph"/>
              <w:spacing w:before="2" w:line="253" w:lineRule="exact"/>
              <w:ind w:start="107"/>
            </w:pPr>
            <w:r>
              <w:t xml:space="preserve">Minéraux </w:t>
            </w:r>
            <w:r>
              <w:t xml:space="preserve">osseux</w:t>
            </w:r>
          </w:p>
          <w:p>
            <w:pPr>
              <w:pStyle w:val="TableParagraph"/>
              <w:spacing w:line="252" w:lineRule="exact"/>
              <w:ind w:start="107" w:end="641"/>
            </w:pPr>
            <w:r>
              <w:t xml:space="preserve">densité apparente </w:t>
            </w:r>
            <w:r>
              <w:t xml:space="preserve">(BMAD)</w:t>
            </w:r>
          </w:p>
        </w:tc>
        <w:tc>
          <w:tcPr>
            <w:tcW w:w="6614" w:type="dxa"/>
          </w:tcPr>
          <w:p>
            <w:pPr>
              <w:pStyle w:val="TableParagraph"/>
              <w:spacing w:before="2" w:line="253" w:lineRule="exact"/>
              <w:ind w:start="107"/>
            </w:pPr>
            <w:r>
              <w:t xml:space="preserve">BMAD </w:t>
            </w:r>
            <w:r>
              <w:t xml:space="preserve">est </w:t>
            </w:r>
            <w:r>
              <w:t xml:space="preserve">une </w:t>
            </w:r>
            <w:r>
              <w:t xml:space="preserve">valeur de </w:t>
            </w:r>
            <w:r>
              <w:t xml:space="preserve">la </w:t>
            </w:r>
            <w:r>
              <w:t xml:space="preserve">densité </w:t>
            </w:r>
            <w:r>
              <w:t xml:space="preserve">minérale </w:t>
            </w:r>
            <w:r>
              <w:t xml:space="preserve">osseuse </w:t>
            </w:r>
            <w:r>
              <w:t xml:space="preserve">(DMO) </w:t>
            </w:r>
            <w:r>
              <w:t xml:space="preserve">ajustée en fonction de la </w:t>
            </w:r>
            <w:r>
              <w:t xml:space="preserve">taille.</w:t>
            </w:r>
          </w:p>
          <w:p>
            <w:pPr>
              <w:pStyle w:val="TableParagraph"/>
              <w:spacing w:line="252" w:lineRule="exact"/>
              <w:ind w:start="107" w:end="839"/>
            </w:pPr>
            <w:r>
              <w:t xml:space="preserve">l'intégration des mesures de la taille corporelle en utilisant les normes britanniques chez les </w:t>
            </w:r>
            <w:r>
              <w:t xml:space="preserve">adolescents </w:t>
            </w:r>
            <w:r>
              <w:t xml:space="preserve">en pleine croissance</w:t>
            </w:r>
            <w:r>
              <w:t xml:space="preserve">.</w:t>
            </w:r>
          </w:p>
        </w:tc>
      </w:tr>
      <w:tr w:rsidR="00432386">
        <w:trPr>
          <w:trHeight w:val="505"/>
        </w:trPr>
        <w:tc>
          <w:tcPr>
            <w:tcW w:w="2405" w:type="dxa"/>
          </w:tcPr>
          <w:p>
            <w:pPr>
              <w:pStyle w:val="TableParagraph"/>
              <w:spacing w:line="252" w:lineRule="exact"/>
              <w:ind w:start="107" w:end="587"/>
            </w:pPr>
            <w:r>
              <w:t xml:space="preserve">Liste de contrôle du </w:t>
            </w:r>
            <w:r>
              <w:t xml:space="preserve">comportement de l'enfant </w:t>
            </w:r>
            <w:r>
              <w:t xml:space="preserve">(CBCL)</w:t>
            </w:r>
          </w:p>
        </w:tc>
        <w:tc>
          <w:tcPr>
            <w:tcW w:w="6614" w:type="dxa"/>
          </w:tcPr>
          <w:p>
            <w:pPr>
              <w:pStyle w:val="TableParagraph"/>
              <w:spacing w:line="252" w:lineRule="exact"/>
              <w:ind w:start="107" w:end="485"/>
            </w:pPr>
            <w:r>
              <w:t xml:space="preserve">La CBCL est une liste de contrôle que les parents remplissent pour détecter les </w:t>
            </w:r>
            <w:r>
              <w:t xml:space="preserve">problèmes </w:t>
            </w:r>
            <w:r>
              <w:t xml:space="preserve">émotionnels et </w:t>
            </w:r>
            <w:r>
              <w:t xml:space="preserve">comportementaux </w:t>
            </w:r>
            <w:r>
              <w:t xml:space="preserve">chez les </w:t>
            </w:r>
            <w:r>
              <w:t xml:space="preserve">enfants </w:t>
            </w:r>
            <w:r>
              <w:t xml:space="preserve">et les </w:t>
            </w:r>
            <w:r>
              <w:t xml:space="preserve">adolescents.</w:t>
            </w:r>
          </w:p>
        </w:tc>
      </w:tr>
      <w:tr w:rsidR="00432386">
        <w:trPr>
          <w:trHeight w:val="758"/>
        </w:trPr>
        <w:tc>
          <w:tcPr>
            <w:tcW w:w="2405" w:type="dxa"/>
          </w:tcPr>
          <w:p>
            <w:pPr>
              <w:pStyle w:val="TableParagraph"/>
              <w:spacing w:line="252" w:lineRule="exact"/>
              <w:ind w:start="107"/>
            </w:pPr>
            <w:r>
              <w:t xml:space="preserve">Enfants </w:t>
            </w:r>
            <w:r>
              <w:t xml:space="preserve">du monde</w:t>
            </w:r>
          </w:p>
          <w:p>
            <w:pPr>
              <w:pStyle w:val="TableParagraph"/>
              <w:spacing w:line="254" w:lineRule="exact"/>
              <w:ind w:start="107" w:end="458"/>
            </w:pPr>
            <w:r>
              <w:t xml:space="preserve">Échelle d'évaluation </w:t>
            </w:r>
            <w:r>
              <w:t xml:space="preserve">(CGAS)</w:t>
            </w:r>
          </w:p>
        </w:tc>
        <w:tc>
          <w:tcPr>
            <w:tcW w:w="6614" w:type="dxa"/>
          </w:tcPr>
          <w:p>
            <w:pPr>
              <w:pStyle w:val="TableParagraph"/>
              <w:ind w:start="107" w:end="227"/>
            </w:pPr>
            <w:r>
              <w:t xml:space="preserve">L'outil CGAS est une mesure validée du fonctionnement global sur une </w:t>
            </w:r>
            <w:r>
              <w:t xml:space="preserve">échelle d'</w:t>
            </w:r>
            <w:r>
              <w:t xml:space="preserve">évaluation </w:t>
            </w:r>
            <w:r>
              <w:t xml:space="preserve">unique </w:t>
            </w:r>
            <w:r>
              <w:t xml:space="preserve">de </w:t>
            </w:r>
            <w:r>
              <w:t xml:space="preserve">1 </w:t>
            </w:r>
            <w:r>
              <w:t xml:space="preserve">à </w:t>
            </w:r>
            <w:r>
              <w:t xml:space="preserve">100. Les </w:t>
            </w:r>
            <w:r>
              <w:t xml:space="preserve">scores </w:t>
            </w:r>
            <w:r>
              <w:t xml:space="preserve">les plus bas </w:t>
            </w:r>
            <w:r>
              <w:t xml:space="preserve">indiquent un </w:t>
            </w:r>
            <w:r>
              <w:t xml:space="preserve">mauvais</w:t>
            </w:r>
          </w:p>
          <w:p>
            <w:pPr>
              <w:pStyle w:val="TableParagraph"/>
              <w:spacing w:line="232" w:lineRule="exact"/>
              <w:ind w:start="107"/>
            </w:pPr>
            <w:r>
              <w:t xml:space="preserve">fonctionnement.</w:t>
            </w:r>
          </w:p>
        </w:tc>
      </w:tr>
      <w:tr w:rsidR="00432386">
        <w:trPr>
          <w:trHeight w:val="758"/>
        </w:trPr>
        <w:tc>
          <w:tcPr>
            <w:tcW w:w="2405" w:type="dxa"/>
          </w:tcPr>
          <w:p>
            <w:pPr>
              <w:pStyle w:val="TableParagraph"/>
              <w:spacing w:line="250" w:lineRule="exact"/>
              <w:ind w:start="107"/>
            </w:pPr>
            <w:r>
              <w:t xml:space="preserve">Genre</w:t>
            </w:r>
          </w:p>
        </w:tc>
        <w:tc>
          <w:tcPr>
            <w:tcW w:w="6614" w:type="dxa"/>
          </w:tcPr>
          <w:p>
            <w:pPr>
              <w:pStyle w:val="TableParagraph"/>
              <w:spacing w:line="250" w:lineRule="exact"/>
              <w:ind w:start="107"/>
            </w:pPr>
            <w:r>
              <w:t xml:space="preserve">Les </w:t>
            </w:r>
            <w:r>
              <w:t xml:space="preserve">rôles, les </w:t>
            </w:r>
            <w:r>
              <w:t xml:space="preserve">comportements, les </w:t>
            </w:r>
            <w:r>
              <w:t xml:space="preserve">activités, les </w:t>
            </w:r>
            <w:r>
              <w:t xml:space="preserve">attributs </w:t>
            </w:r>
            <w:r>
              <w:t xml:space="preserve">et les </w:t>
            </w:r>
            <w:r>
              <w:t xml:space="preserve">opportunités </w:t>
            </w:r>
            <w:r>
              <w:t xml:space="preserve">qui</w:t>
            </w:r>
          </w:p>
          <w:p>
            <w:pPr>
              <w:pStyle w:val="TableParagraph"/>
              <w:spacing w:line="252" w:lineRule="exact"/>
              <w:ind w:start="107" w:end="203"/>
            </w:pPr>
            <w:r>
              <w:t xml:space="preserve">toute société considère comme approprié pour les filles et les garçons, les femmes </w:t>
            </w:r>
            <w:r>
              <w:t xml:space="preserve">et les </w:t>
            </w:r>
            <w:r>
              <w:t xml:space="preserve">hommes.</w:t>
            </w:r>
          </w:p>
        </w:tc>
      </w:tr>
      <w:tr w:rsidR="00432386">
        <w:trPr>
          <w:trHeight w:val="1264"/>
        </w:trPr>
        <w:tc>
          <w:tcPr>
            <w:tcW w:w="2405" w:type="dxa"/>
          </w:tcPr>
          <w:p>
            <w:pPr>
              <w:pStyle w:val="TableParagraph"/>
              <w:ind w:start="107"/>
            </w:pPr>
            <w:r>
              <w:t xml:space="preserve">Dysphorie de </w:t>
            </w:r>
            <w:r>
              <w:t xml:space="preserve">genre</w:t>
            </w:r>
          </w:p>
        </w:tc>
        <w:tc>
          <w:tcPr>
            <w:tcW w:w="6614" w:type="dxa"/>
          </w:tcPr>
          <w:p>
            <w:pPr>
              <w:pStyle w:val="TableParagraph"/>
              <w:ind w:start="107" w:end="142"/>
            </w:pPr>
            <w:r>
              <w:t xml:space="preserve">Gêne ou détresse causée par une divergence entre l'</w:t>
            </w:r>
            <w:r>
              <w:t xml:space="preserve">identité de genre d'une personne (comment elle se perçoit par rapport à </w:t>
            </w:r>
            <w:r>
              <w:t xml:space="preserve">son genre) et le sexe </w:t>
            </w:r>
            <w:r>
              <w:t xml:space="preserve">qui lui a été assigné à la naissance (et le </w:t>
            </w:r>
            <w:r>
              <w:t xml:space="preserve">rôle de </w:t>
            </w:r>
            <w:r>
              <w:t xml:space="preserve">genre </w:t>
            </w:r>
            <w:r>
              <w:t xml:space="preserve">associé</w:t>
            </w:r>
            <w:r>
              <w:t xml:space="preserve">, </w:t>
            </w:r>
            <w:r>
              <w:t xml:space="preserve">et/ou le </w:t>
            </w:r>
            <w:r>
              <w:t xml:space="preserve">sexe </w:t>
            </w:r>
            <w:r>
              <w:t xml:space="preserve">primaire </w:t>
            </w:r>
            <w:r>
              <w:t xml:space="preserve">et </w:t>
            </w:r>
            <w:r>
              <w:t xml:space="preserve">secondaire).</w:t>
            </w:r>
          </w:p>
          <w:p>
            <w:pPr>
              <w:pStyle w:val="TableParagraph"/>
              <w:spacing w:line="233" w:lineRule="exact"/>
              <w:ind w:start="107"/>
            </w:pPr>
            <w:r>
              <w:t xml:space="preserve">caractéristiques).</w:t>
            </w:r>
          </w:p>
        </w:tc>
      </w:tr>
      <w:tr w:rsidR="00432386">
        <w:trPr>
          <w:trHeight w:val="1771"/>
        </w:trPr>
        <w:tc>
          <w:tcPr>
            <w:tcW w:w="2405" w:type="dxa"/>
          </w:tcPr>
          <w:p>
            <w:pPr>
              <w:pStyle w:val="TableParagraph"/>
              <w:ind w:start="107" w:end="441"/>
            </w:pPr>
            <w:r>
              <w:t xml:space="preserve">Analogues de l'</w:t>
            </w:r>
            <w:r>
              <w:t xml:space="preserve">hormone de libération de la </w:t>
            </w:r>
            <w:r>
              <w:t xml:space="preserve">gonadotrophine </w:t>
            </w:r>
            <w:r>
              <w:t xml:space="preserve">(GnRH)</w:t>
            </w:r>
          </w:p>
        </w:tc>
        <w:tc>
          <w:tcPr>
            <w:tcW w:w="6614" w:type="dxa"/>
          </w:tcPr>
          <w:p>
            <w:pPr>
              <w:pStyle w:val="TableParagraph"/>
              <w:ind w:start="107" w:end="154"/>
            </w:pPr>
            <w:r>
              <w:t xml:space="preserve">Les analogues de la GnRH bloquent de manière compétitive les récepteurs de la GnRH pour empêcher la </w:t>
            </w:r>
            <w:r>
              <w:t xml:space="preserve">libération spontanée de deux hormones gonadotrophines, l'</w:t>
            </w:r>
            <w:r>
              <w:t xml:space="preserve">hormone folliculo-stimulante (FSH) et l'hormone lutéinisante (LH), par l'</w:t>
            </w:r>
            <w:r>
              <w:t xml:space="preserve">hypophyse. La réduction de la sécrétion de FSH et de LH </w:t>
            </w:r>
            <w:r>
              <w:t xml:space="preserve">réduit la sécrétion d'œstradiol par les ovaires chez les personnes dont </w:t>
            </w:r>
            <w:r>
              <w:t xml:space="preserve">le </w:t>
            </w:r>
            <w:r>
              <w:t xml:space="preserve">sexe </w:t>
            </w:r>
            <w:r>
              <w:t xml:space="preserve">assigné à </w:t>
            </w:r>
            <w:r>
              <w:t xml:space="preserve">la </w:t>
            </w:r>
            <w:r>
              <w:t xml:space="preserve">naissance </w:t>
            </w:r>
            <w:r>
              <w:t xml:space="preserve">était </w:t>
            </w:r>
            <w:r>
              <w:t xml:space="preserve">féminin </w:t>
            </w:r>
            <w:r>
              <w:t xml:space="preserve">et la </w:t>
            </w:r>
            <w:r>
              <w:t xml:space="preserve">sécrétion de </w:t>
            </w:r>
            <w:r>
              <w:t xml:space="preserve">testostérone </w:t>
            </w:r>
            <w:r>
              <w:t xml:space="preserve">par les </w:t>
            </w:r>
            <w:r>
              <w:t xml:space="preserve">ovaires chez les personnes dont le sexe </w:t>
            </w:r>
            <w:r>
              <w:t xml:space="preserve">assigné à la naissance </w:t>
            </w:r>
            <w:r>
              <w:t xml:space="preserve">était </w:t>
            </w:r>
            <w:r>
              <w:t xml:space="preserve">féminin.</w:t>
            </w:r>
          </w:p>
          <w:p>
            <w:pPr>
              <w:pStyle w:val="TableParagraph"/>
              <w:spacing w:line="233" w:lineRule="exact"/>
              <w:ind w:start="107"/>
            </w:pPr>
            <w:r>
              <w:t xml:space="preserve">les </w:t>
            </w:r>
            <w:r>
              <w:t xml:space="preserve">testicules </w:t>
            </w:r>
            <w:r>
              <w:t xml:space="preserve">chez </w:t>
            </w:r>
            <w:r>
              <w:t xml:space="preserve">ceux </w:t>
            </w:r>
            <w:r>
              <w:t xml:space="preserve">dont le </w:t>
            </w:r>
            <w:r>
              <w:t xml:space="preserve">sexe </w:t>
            </w:r>
            <w:r>
              <w:t xml:space="preserve">assigné à </w:t>
            </w:r>
            <w:r>
              <w:t xml:space="preserve">la </w:t>
            </w:r>
            <w:r>
              <w:t xml:space="preserve">naissance </w:t>
            </w:r>
            <w:r>
              <w:t xml:space="preserve">était </w:t>
            </w:r>
            <w:r>
              <w:t xml:space="preserve">masculin.</w:t>
            </w:r>
          </w:p>
        </w:tc>
      </w:tr>
      <w:tr w:rsidR="00432386">
        <w:trPr>
          <w:trHeight w:val="1012"/>
        </w:trPr>
        <w:tc>
          <w:tcPr>
            <w:tcW w:w="2405" w:type="dxa"/>
          </w:tcPr>
          <w:p>
            <w:pPr>
              <w:pStyle w:val="TableParagraph"/>
              <w:ind w:start="107"/>
            </w:pPr>
            <w:r>
              <w:t xml:space="preserve">Sexe </w:t>
            </w:r>
            <w:r>
              <w:t xml:space="preserve">assigné à </w:t>
            </w:r>
            <w:r>
              <w:t xml:space="preserve">la </w:t>
            </w:r>
            <w:r>
              <w:t xml:space="preserve">naissance</w:t>
            </w:r>
          </w:p>
        </w:tc>
        <w:tc>
          <w:tcPr>
            <w:tcW w:w="6614" w:type="dxa"/>
          </w:tcPr>
          <w:p>
            <w:pPr>
              <w:pStyle w:val="TableParagraph"/>
              <w:ind w:start="107" w:end="228"/>
            </w:pPr>
            <w:r>
              <w:t xml:space="preserve">Le sexe attribué à la naissance (mâle ou femelle) est un terme biologique qui </w:t>
            </w:r>
            <w:r>
              <w:t xml:space="preserve">repose sur les gènes et sur la façon dont </w:t>
            </w:r>
            <w:r>
              <w:t xml:space="preserve">les organes </w:t>
            </w:r>
            <w:r>
              <w:t xml:space="preserve">sexuels et </w:t>
            </w:r>
            <w:r>
              <w:t xml:space="preserve">reproducteurs </w:t>
            </w:r>
            <w:r>
              <w:t xml:space="preserve">externes et internes </w:t>
            </w:r>
            <w:r>
              <w:t xml:space="preserve">fonctionnent </w:t>
            </w:r>
            <w:r>
              <w:t xml:space="preserve">et </w:t>
            </w:r>
            <w:r>
              <w:t xml:space="preserve">réagissent </w:t>
            </w:r>
            <w:r>
              <w:t xml:space="preserve">aux </w:t>
            </w:r>
            <w:r>
              <w:t xml:space="preserve">hormones. </w:t>
            </w:r>
            <w:r>
              <w:t xml:space="preserve">Le </w:t>
            </w:r>
            <w:r>
              <w:t xml:space="preserve">sexe </w:t>
            </w:r>
            <w:r>
              <w:t xml:space="preserve">est </w:t>
            </w:r>
            <w:r>
              <w:t xml:space="preserve">la</w:t>
            </w:r>
          </w:p>
          <w:p>
            <w:pPr>
              <w:pStyle w:val="TableParagraph"/>
              <w:spacing w:line="234" w:lineRule="exact"/>
              <w:ind w:start="107"/>
            </w:pPr>
            <w:r>
              <w:t xml:space="preserve">étiquette </w:t>
            </w:r>
            <w:r>
              <w:t xml:space="preserve">qui est </w:t>
            </w:r>
            <w:r>
              <w:t xml:space="preserve">enregistrée </w:t>
            </w:r>
            <w:r>
              <w:t xml:space="preserve">lors de </w:t>
            </w:r>
            <w:r>
              <w:t xml:space="preserve">la </w:t>
            </w:r>
            <w:r>
              <w:t xml:space="preserve">déclaration de </w:t>
            </w:r>
            <w:r>
              <w:t xml:space="preserve">naissance d'</w:t>
            </w:r>
            <w:r>
              <w:t xml:space="preserve">un </w:t>
            </w:r>
            <w:r>
              <w:t xml:space="preserve">bébé</w:t>
            </w:r>
            <w:r>
              <w:t xml:space="preserve">.</w:t>
            </w:r>
          </w:p>
        </w:tc>
      </w:tr>
      <w:tr w:rsidR="00432386">
        <w:trPr>
          <w:trHeight w:val="251"/>
        </w:trPr>
        <w:tc>
          <w:tcPr>
            <w:tcW w:w="2405" w:type="dxa"/>
          </w:tcPr>
          <w:p>
            <w:pPr>
              <w:pStyle w:val="TableParagraph"/>
              <w:spacing w:line="232" w:lineRule="exact"/>
              <w:ind w:start="107"/>
            </w:pPr>
            <w:r>
              <w:t xml:space="preserve">Stade de </w:t>
            </w:r>
            <w:r>
              <w:t xml:space="preserve">Tanner</w:t>
            </w:r>
          </w:p>
        </w:tc>
        <w:tc>
          <w:tcPr>
            <w:tcW w:w="6614" w:type="dxa"/>
          </w:tcPr>
          <w:p>
            <w:pPr>
              <w:pStyle w:val="TableParagraph"/>
              <w:spacing w:line="232" w:lineRule="exact"/>
              <w:ind w:start="107"/>
            </w:pPr>
            <w:r>
              <w:t xml:space="preserve">Le </w:t>
            </w:r>
            <w:r>
              <w:t xml:space="preserve">stade de </w:t>
            </w:r>
            <w:r>
              <w:t xml:space="preserve">Tanner </w:t>
            </w:r>
            <w:r>
              <w:t xml:space="preserve">est </w:t>
            </w:r>
            <w:r>
              <w:t xml:space="preserve">une </w:t>
            </w:r>
            <w:r>
              <w:t xml:space="preserve">échelle </w:t>
            </w:r>
            <w:r>
              <w:t xml:space="preserve">du </w:t>
            </w:r>
            <w:r>
              <w:t xml:space="preserve">développement </w:t>
            </w:r>
            <w:r>
              <w:t xml:space="preserve">physique</w:t>
            </w:r>
            <w:r>
              <w:t xml:space="preserve">.</w:t>
            </w:r>
          </w:p>
        </w:tc>
      </w:tr>
      <w:tr w:rsidR="00432386">
        <w:trPr>
          <w:trHeight w:val="1265"/>
        </w:trPr>
        <w:tc>
          <w:tcPr>
            <w:tcW w:w="2405" w:type="dxa"/>
          </w:tcPr>
          <w:p>
            <w:pPr>
              <w:pStyle w:val="TableParagraph"/>
              <w:ind w:start="107" w:end="213"/>
            </w:pPr>
            <w:r>
              <w:t xml:space="preserve">Trait de </w:t>
            </w:r>
            <w:r>
              <w:t xml:space="preserve">colère </w:t>
            </w:r>
            <w:r>
              <w:t xml:space="preserve">Échelles de Spielberger de </w:t>
            </w:r>
            <w:r>
              <w:t xml:space="preserve">l</w:t>
            </w:r>
            <w:r>
              <w:t xml:space="preserve">'</w:t>
            </w:r>
            <w:r>
              <w:t xml:space="preserve">État-Trait</w:t>
            </w:r>
          </w:p>
          <w:p>
            <w:pPr>
              <w:pStyle w:val="TableParagraph"/>
              <w:spacing w:line="252" w:lineRule="exact"/>
              <w:ind w:start="107" w:end="213"/>
            </w:pPr>
            <w:r>
              <w:t xml:space="preserve">Inventaire de personnalité </w:t>
            </w:r>
            <w:r>
              <w:t xml:space="preserve">(TPI)</w:t>
            </w:r>
          </w:p>
        </w:tc>
        <w:tc>
          <w:tcPr>
            <w:tcW w:w="6614" w:type="dxa"/>
          </w:tcPr>
          <w:p>
            <w:pPr>
              <w:pStyle w:val="TableParagraph"/>
              <w:ind w:start="107" w:end="183"/>
              <w:jc w:val="both"/>
            </w:pPr>
            <w:r>
              <w:t xml:space="preserve">Le </w:t>
            </w:r>
            <w:r>
              <w:t xml:space="preserve">TPI est un outil d'inventaire validé en 20 points qui mesure l'</w:t>
            </w:r>
            <w:r>
              <w:t xml:space="preserve">intensité de la colère en tant que disposition à éprouver des sentiments de colère </w:t>
            </w:r>
            <w:r>
              <w:t xml:space="preserve">en tant </w:t>
            </w:r>
            <w:r>
              <w:t xml:space="preserve">que </w:t>
            </w:r>
            <w:r>
              <w:t xml:space="preserve">trait de </w:t>
            </w:r>
            <w:r>
              <w:t xml:space="preserve">personnalité</w:t>
            </w:r>
            <w:r>
              <w:t xml:space="preserve">. Des </w:t>
            </w:r>
            <w:r>
              <w:t xml:space="preserve">scores </w:t>
            </w:r>
            <w:r>
              <w:t xml:space="preserve">plus élevés </w:t>
            </w:r>
            <w:r>
              <w:t xml:space="preserve">indiquent une </w:t>
            </w:r>
            <w:r>
              <w:t xml:space="preserve">plus grande </w:t>
            </w:r>
            <w:r>
              <w:t xml:space="preserve">colère.</w:t>
            </w:r>
          </w:p>
        </w:tc>
      </w:tr>
      <w:tr w:rsidR="00432386">
        <w:trPr>
          <w:trHeight w:val="1012"/>
        </w:trPr>
        <w:tc>
          <w:tcPr>
            <w:tcW w:w="2405" w:type="dxa"/>
          </w:tcPr>
          <w:p>
            <w:pPr>
              <w:pStyle w:val="TableParagraph"/>
              <w:spacing w:before="2"/>
              <w:ind w:start="107" w:end="299"/>
            </w:pPr>
            <w:r>
              <w:t xml:space="preserve">Transgenre </w:t>
            </w:r>
            <w:r>
              <w:t xml:space="preserve">(y compris transmale </w:t>
            </w:r>
            <w:r>
              <w:t xml:space="preserve">et </w:t>
            </w:r>
            <w:r>
              <w:t xml:space="preserve">transfemale)</w:t>
            </w:r>
          </w:p>
        </w:tc>
        <w:tc>
          <w:tcPr>
            <w:tcW w:w="6614" w:type="dxa"/>
          </w:tcPr>
          <w:p>
            <w:pPr>
              <w:pStyle w:val="TableParagraph"/>
              <w:spacing w:before="2"/>
              <w:ind w:start="107" w:end="179"/>
            </w:pPr>
            <w:r>
              <w:t xml:space="preserve">Transgenre est un terme désignant une personne dont l'identité de genre ne </w:t>
            </w:r>
            <w:r>
              <w:t xml:space="preserve">correspond </w:t>
            </w:r>
            <w:r>
              <w:t xml:space="preserve">pas à </w:t>
            </w:r>
            <w:r>
              <w:t xml:space="preserve">son sexe enregistré à la naissance. Un transsexuel est une personne </w:t>
            </w:r>
            <w:r>
              <w:t xml:space="preserve">qui </w:t>
            </w:r>
            <w:r>
              <w:t xml:space="preserve">s'identifie comme un </w:t>
            </w:r>
            <w:r>
              <w:t xml:space="preserve">homme </w:t>
            </w:r>
            <w:r>
              <w:t xml:space="preserve">et </w:t>
            </w:r>
            <w:r>
              <w:t xml:space="preserve">un </w:t>
            </w:r>
            <w:r>
              <w:t xml:space="preserve">transsexuel </w:t>
            </w:r>
            <w:r>
              <w:t xml:space="preserve">est une </w:t>
            </w:r>
            <w:r>
              <w:t xml:space="preserve">personne </w:t>
            </w:r>
            <w:r>
              <w:t xml:space="preserve">qui...</w:t>
            </w:r>
          </w:p>
          <w:p>
            <w:pPr>
              <w:pStyle w:val="TableParagraph"/>
              <w:spacing w:line="231" w:lineRule="exact"/>
              <w:ind w:start="107"/>
            </w:pPr>
            <w:r>
              <w:t xml:space="preserve">s'identifie comme </w:t>
            </w:r>
            <w:r>
              <w:t xml:space="preserve">une </w:t>
            </w:r>
            <w:r>
              <w:t xml:space="preserve">femme.</w:t>
            </w:r>
          </w:p>
        </w:tc>
      </w:tr>
    </w:tbl>
    <w:p w:rsidR="00432386" w:rsidRDefault="00432386">
      <w:pPr>
        <w:spacing w:line="231" w:lineRule="exact"/>
        <w:sectPr w:rsidR="00432386">
          <w:footerReference w:type="default" r:id="rId306"/>
          <w:pgSz w:w="11910" w:h="16840"/>
          <w:pgMar w:top="1580" w:right="1320" w:bottom="1460" w:left="1340" w:header="0" w:footer="1263" w:gutter="0"/>
          <w:cols w:space="720"/>
        </w:sectPr>
      </w:pPr>
    </w:p>
    <w:tbl>
      <w:tblPr>
        <w:tblStyle w:val="TableNormal"/>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405"/>
        <w:gridCol w:w="6614"/>
      </w:tblGrid>
      <w:tr w:rsidR="00432386">
        <w:trPr>
          <w:trHeight w:val="1264"/>
        </w:trPr>
        <w:tc>
          <w:tcPr>
            <w:tcW w:w="2405" w:type="dxa"/>
          </w:tcPr>
          <w:p>
            <w:pPr>
              <w:pStyle w:val="TableParagraph"/>
              <w:ind w:start="107" w:end="666"/>
            </w:pPr>
            <w:r>
              <w:t xml:space="preserve">Échelle de dysphorie de </w:t>
            </w:r>
            <w:r>
              <w:lastRenderedPageBreak/>
              <w:t xml:space="preserve">genre d'Utrecht </w:t>
            </w:r>
            <w:r>
              <w:t xml:space="preserve">(UGDS)</w:t>
            </w:r>
          </w:p>
        </w:tc>
        <w:tc>
          <w:tcPr>
            <w:tcW w:w="6614" w:type="dxa"/>
          </w:tcPr>
          <w:p>
            <w:pPr>
              <w:pStyle w:val="TableParagraph"/>
              <w:ind w:start="107" w:end="154"/>
            </w:pPr>
            <w:r>
              <w:t xml:space="preserve">L'UGDS est un outil de dépistage validé destiné aux adolescents et aux </w:t>
            </w:r>
            <w:r>
              <w:t xml:space="preserve">adultes pour évaluer la dysphorie de genre. Il se compose de 12 items </w:t>
            </w:r>
            <w:r>
              <w:t xml:space="preserve">auxquels il faut répondre </w:t>
            </w:r>
            <w:r>
              <w:t xml:space="preserve">sur </w:t>
            </w:r>
            <w:r>
              <w:t xml:space="preserve">une </w:t>
            </w:r>
            <w:r>
              <w:t xml:space="preserve">échelle de </w:t>
            </w:r>
            <w:r>
              <w:t xml:space="preserve">1 </w:t>
            </w:r>
            <w:r>
              <w:t xml:space="preserve">à </w:t>
            </w:r>
            <w:r>
              <w:t xml:space="preserve">5 points, ce </w:t>
            </w:r>
            <w:r>
              <w:t xml:space="preserve">qui permet </w:t>
            </w:r>
            <w:r>
              <w:t xml:space="preserve">d'obtenir </w:t>
            </w:r>
            <w:r>
              <w:t xml:space="preserve">un </w:t>
            </w:r>
            <w:r>
              <w:t xml:space="preserve">score global.</w:t>
            </w:r>
          </w:p>
          <w:p>
            <w:pPr>
              <w:pStyle w:val="TableParagraph"/>
              <w:spacing w:line="254" w:lineRule="exact"/>
              <w:ind w:start="107" w:end="276"/>
            </w:pPr>
            <w:r>
              <w:t xml:space="preserve">entre 12 et 60. Plus </w:t>
            </w:r>
            <w:r>
              <w:t xml:space="preserve">le score UGDS est élevé, plus l'</w:t>
            </w:r>
            <w:r>
              <w:t xml:space="preserve">impact </w:t>
            </w:r>
            <w:r>
              <w:t xml:space="preserve">sur la </w:t>
            </w:r>
            <w:r>
              <w:t xml:space="preserve">dysphorie de </w:t>
            </w:r>
            <w:r>
              <w:t xml:space="preserve">genre </w:t>
            </w:r>
            <w:r>
              <w:t xml:space="preserve">est important</w:t>
            </w:r>
            <w:r>
              <w:t xml:space="preserve">.</w:t>
            </w:r>
          </w:p>
        </w:tc>
      </w:tr>
      <w:tr w:rsidR="00432386">
        <w:trPr>
          <w:trHeight w:val="2023"/>
        </w:trPr>
        <w:tc>
          <w:tcPr>
            <w:tcW w:w="2405" w:type="dxa"/>
          </w:tcPr>
          <w:p>
            <w:pPr>
              <w:pStyle w:val="TableParagraph"/>
              <w:spacing w:line="242" w:lineRule="auto"/>
              <w:ind w:start="107" w:end="519"/>
            </w:pPr>
            <w:r>
              <w:t xml:space="preserve">Auto-rapport des jeunes </w:t>
            </w:r>
            <w:r>
              <w:t xml:space="preserve">(YSR)</w:t>
            </w:r>
          </w:p>
        </w:tc>
        <w:tc>
          <w:tcPr>
            <w:tcW w:w="6614" w:type="dxa"/>
          </w:tcPr>
          <w:p>
            <w:pPr>
              <w:pStyle w:val="TableParagraph"/>
              <w:ind w:start="107" w:end="191"/>
            </w:pPr>
            <w:r>
              <w:t xml:space="preserve">L'YSR auto-administré est une liste de contrôle permettant de détecter les </w:t>
            </w:r>
            <w:r>
              <w:t xml:space="preserve">problèmes </w:t>
            </w:r>
            <w:r>
              <w:t xml:space="preserve">émotionnels et </w:t>
            </w:r>
            <w:r>
              <w:t xml:space="preserve">comportementaux chez les enfants et les adolescents. Il est </w:t>
            </w:r>
            <w:r>
              <w:t xml:space="preserve">auto-rempli par l'enfant ou l'adolescent. Les échelles se composent d'un </w:t>
            </w:r>
            <w:r>
              <w:t xml:space="preserve">score total de problèmes, qui est la somme des scores de tous les </w:t>
            </w:r>
            <w:r>
              <w:t xml:space="preserve">items de problèmes. Une échelle de problèmes d'internalisation additionne les scores d'</w:t>
            </w:r>
            <w:r>
              <w:t xml:space="preserve">anxiété/dépression, de </w:t>
            </w:r>
            <w:r>
              <w:t xml:space="preserve">repli sur soi/dépression </w:t>
            </w:r>
            <w:r>
              <w:t xml:space="preserve">et de problèmes </w:t>
            </w:r>
            <w:r>
              <w:t xml:space="preserve">somatiques.</w:t>
            </w:r>
          </w:p>
          <w:p>
            <w:pPr>
              <w:pStyle w:val="TableParagraph"/>
              <w:spacing w:line="252" w:lineRule="exact"/>
              <w:ind w:start="107" w:end="1060"/>
            </w:pPr>
            <w:r>
              <w:t xml:space="preserve">tandis que </w:t>
            </w:r>
            <w:r>
              <w:t xml:space="preserve">l'échelle des problèmes extériorisés </w:t>
            </w:r>
            <w:r>
              <w:t xml:space="preserve">combine le </w:t>
            </w:r>
            <w:r>
              <w:t xml:space="preserve">non-respect des règles </w:t>
            </w:r>
            <w:r>
              <w:t xml:space="preserve">et le </w:t>
            </w:r>
            <w:r>
              <w:t xml:space="preserve">comportement </w:t>
            </w:r>
            <w:r>
              <w:t xml:space="preserve">agressif</w:t>
            </w:r>
            <w:r>
              <w:t xml:space="preserve">.</w:t>
            </w:r>
          </w:p>
        </w:tc>
      </w:tr>
    </w:tbl>
    <w:p w:rsidR="00432386" w:rsidRDefault="00432386">
      <w:pPr>
        <w:pStyle w:val="Corpsdetexte"/>
        <w:spacing w:before="0"/>
        <w:ind w:start="0"/>
        <w:rPr>
          <w:b/>
          <w:sz w:val="20"/>
        </w:rPr>
      </w:pPr>
    </w:p>
    <w:p w:rsidR="00432386" w:rsidRDefault="00432386">
      <w:pPr>
        <w:pStyle w:val="Corpsdetexte"/>
        <w:spacing w:before="9"/>
        <w:ind w:start="0"/>
        <w:rPr>
          <w:b/>
          <w:sz w:val="21"/>
        </w:rPr>
      </w:pPr>
    </w:p>
    <w:p>
      <w:pPr>
        <w:pStyle w:val="Titre1"/>
        <w:ind w:start="100"/>
      </w:pPr>
      <w:bookmarkStart w:name="_bookmark21" w:id="22"/>
      <w:bookmarkEnd w:id="22"/>
      <w:r>
        <w:rPr>
          <w:color w:val="365F91"/>
        </w:rPr>
        <w:t xml:space="preserve">Références</w:t>
      </w:r>
    </w:p>
    <w:p w:rsidR="00432386" w:rsidRDefault="00432386">
      <w:pPr>
        <w:pStyle w:val="Corpsdetexte"/>
        <w:spacing w:before="1"/>
        <w:ind w:start="0"/>
        <w:rPr>
          <w:b/>
          <w:sz w:val="21"/>
        </w:rPr>
      </w:pPr>
    </w:p>
    <w:p>
      <w:pPr>
        <w:pStyle w:val="Titre2"/>
        <w:ind w:start="100"/>
      </w:pPr>
      <w:r>
        <w:t xml:space="preserve">Études </w:t>
      </w:r>
      <w:r>
        <w:t xml:space="preserve">incluses</w:t>
      </w:r>
    </w:p>
    <w:p w:rsidR="00432386" w:rsidRDefault="00432386">
      <w:pPr>
        <w:pStyle w:val="Corpsdetexte"/>
        <w:spacing w:before="6"/>
        <w:ind w:start="0"/>
        <w:rPr>
          <w:b/>
          <w:sz w:val="20"/>
        </w:rPr>
      </w:pPr>
    </w:p>
    <w:p>
      <w:pPr>
        <w:pStyle w:val="Paragraphedeliste"/>
        <w:numPr>
          <w:ilvl w:val="0"/>
          <w:numId w:val="1"/>
        </w:numPr>
        <w:tabs>
          <w:tab w:val="left" w:pos="555"/>
        </w:tabs>
        <w:spacing w:before="1" w:line="273" w:lineRule="auto"/>
        <w:ind w:end="125"/>
        <w:jc w:val="both"/>
      </w:pPr>
      <w:hyperlink r:id="rId307">
        <w:r>
          <w:rPr>
            <w:color w:val="0000FF"/>
            <w:u w:val="single" w:color="0000FF"/>
          </w:rPr>
          <w:t xml:space="preserve">Brik T, Vrouenraets L, de Vries M et al. (2020). Trajectoires d'adolescents traités par des </w:t>
        </w:r>
      </w:hyperlink>
      <w:hyperlink r:id="rId308">
        <w:r>
          <w:rPr>
            <w:color w:val="0000FF"/>
            <w:u w:val="single" w:color="0000FF"/>
          </w:rPr>
          <w:t xml:space="preserve">analogues de l'hormone de libération de la gonadotrophine pour la dysphorie de genre</w:t>
        </w:r>
      </w:hyperlink>
      <w:r>
        <w:t xml:space="preserve">. Archives of Sexual </w:t>
      </w:r>
      <w:r>
        <w:t xml:space="preserve">Behaviour. </w:t>
      </w:r>
      <w:r>
        <w:t xml:space="preserve">[consulté le </w:t>
      </w:r>
      <w:r>
        <w:t xml:space="preserve">6 </w:t>
      </w:r>
      <w:r>
        <w:t xml:space="preserve">août </w:t>
      </w:r>
      <w:r>
        <w:t xml:space="preserve">2020]</w:t>
      </w:r>
    </w:p>
    <w:p>
      <w:pPr>
        <w:pStyle w:val="Paragraphedeliste"/>
        <w:numPr>
          <w:ilvl w:val="0"/>
          <w:numId w:val="1"/>
        </w:numPr>
        <w:tabs>
          <w:tab w:val="left" w:pos="553"/>
          <w:tab w:val="left" w:pos="555"/>
        </w:tabs>
        <w:spacing w:before="124" w:line="276" w:lineRule="auto"/>
        <w:ind w:end="530"/>
      </w:pPr>
      <w:r>
        <w:t xml:space="preserve">Costa R, Dunsford M, Skagerberg E et al. (2015) Soutien psychologique, </w:t>
      </w:r>
      <w:r>
        <w:t xml:space="preserve">suppression de la </w:t>
      </w:r>
      <w:r>
        <w:t xml:space="preserve">puberté </w:t>
      </w:r>
      <w:r>
        <w:t xml:space="preserve">et fonctionnement psychosocial chez les adolescents atteints de dysphorie de genre. </w:t>
      </w:r>
      <w:r>
        <w:t xml:space="preserve">Journal of Sexual Medicine. [en ligne] Volume 12(11), pages 2206-2214. Disponible à l'adresse </w:t>
      </w:r>
      <w:hyperlink r:id="rId309">
        <w:r>
          <w:rPr>
            <w:color w:val="0000FF"/>
            <w:u w:val="single" w:color="0000FF"/>
          </w:rPr>
          <w:t xml:space="preserve">: https://doi.org/10.1111/jsm.13034 </w:t>
        </w:r>
      </w:hyperlink>
      <w:r>
        <w:t xml:space="preserve">[consulté le </w:t>
      </w:r>
      <w:r>
        <w:t xml:space="preserve">7 </w:t>
      </w:r>
      <w:r>
        <w:t xml:space="preserve">août </w:t>
      </w:r>
      <w:r>
        <w:t xml:space="preserve">2020].</w:t>
      </w:r>
    </w:p>
    <w:p>
      <w:pPr>
        <w:pStyle w:val="Paragraphedeliste"/>
        <w:numPr>
          <w:ilvl w:val="0"/>
          <w:numId w:val="1"/>
        </w:numPr>
        <w:tabs>
          <w:tab w:val="left" w:pos="553"/>
          <w:tab w:val="left" w:pos="555"/>
        </w:tabs>
        <w:spacing w:before="115" w:line="273" w:lineRule="auto"/>
        <w:ind w:end="167"/>
      </w:pPr>
      <w:hyperlink r:id="rId310">
        <w:r>
          <w:rPr>
            <w:color w:val="0000FF"/>
            <w:u w:val="single" w:color="0000FF"/>
          </w:rPr>
          <w:t xml:space="preserve">de Vries A, Steensma T, Doreleijers T et al. (2011) Puberty Suppression in </w:t>
        </w:r>
        <w:r>
          <w:rPr>
            <w:color w:val="0000FF"/>
            <w:u w:val="single" w:color="0000FF"/>
          </w:rPr>
          <w:t xml:space="preserve">Adolescents </w:t>
        </w:r>
      </w:hyperlink>
      <w:hyperlink r:id="rId311">
        <w:r>
          <w:rPr>
            <w:color w:val="0000FF"/>
            <w:u w:val="single" w:color="0000FF"/>
          </w:rPr>
          <w:t xml:space="preserve">with Gender Identity Disorder : A Prospective Follow-Up Study</w:t>
        </w:r>
      </w:hyperlink>
      <w:r>
        <w:t xml:space="preserve">. The Journal of Sexual </w:t>
      </w:r>
      <w:r>
        <w:t xml:space="preserve">Medicine </w:t>
      </w:r>
      <w:r>
        <w:t xml:space="preserve">Volume </w:t>
      </w:r>
      <w:r>
        <w:t xml:space="preserve">8, </w:t>
      </w:r>
      <w:r>
        <w:t xml:space="preserve">numéro </w:t>
      </w:r>
      <w:r>
        <w:t xml:space="preserve">8, </w:t>
      </w:r>
      <w:r>
        <w:t xml:space="preserve">août, </w:t>
      </w:r>
      <w:r>
        <w:t xml:space="preserve">pages </w:t>
      </w:r>
      <w:r>
        <w:t xml:space="preserve">2276-2283. </w:t>
      </w:r>
      <w:r>
        <w:t xml:space="preserve">[Consulté le </w:t>
      </w:r>
      <w:r>
        <w:t xml:space="preserve">11 </w:t>
      </w:r>
      <w:r>
        <w:t xml:space="preserve">août 2020].</w:t>
      </w:r>
    </w:p>
    <w:p>
      <w:pPr>
        <w:pStyle w:val="Paragraphedeliste"/>
        <w:numPr>
          <w:ilvl w:val="0"/>
          <w:numId w:val="1"/>
        </w:numPr>
        <w:tabs>
          <w:tab w:val="left" w:pos="553"/>
          <w:tab w:val="left" w:pos="555"/>
        </w:tabs>
        <w:spacing w:before="125" w:line="273" w:lineRule="auto"/>
        <w:ind w:end="567"/>
      </w:pPr>
      <w:r>
        <w:t xml:space="preserve">Joseph T, Ting </w:t>
      </w:r>
      <w:r>
        <w:t xml:space="preserve">J, Butler G (2019) L'effet du traitement par analogue de la GnRH sur la </w:t>
      </w:r>
      <w:r>
        <w:t xml:space="preserve">densité minérale </w:t>
      </w:r>
      <w:r>
        <w:t xml:space="preserve">osseuse </w:t>
      </w:r>
      <w:r>
        <w:t xml:space="preserve">chez les jeunes adolescents atteints de dysphorie de genre : résultats d'une grande </w:t>
      </w:r>
      <w:r>
        <w:t xml:space="preserve">cohorte </w:t>
      </w:r>
      <w:r>
        <w:t xml:space="preserve">nationale</w:t>
      </w:r>
      <w:r>
        <w:t xml:space="preserve">. </w:t>
      </w:r>
      <w:r>
        <w:t xml:space="preserve">Journal </w:t>
      </w:r>
      <w:r>
        <w:t xml:space="preserve">de l'</w:t>
      </w:r>
      <w:r>
        <w:t xml:space="preserve">endocrinologie </w:t>
      </w:r>
      <w:r>
        <w:t xml:space="preserve">et du </w:t>
      </w:r>
      <w:r>
        <w:t xml:space="preserve">métabolisme </w:t>
      </w:r>
      <w:r>
        <w:t xml:space="preserve">pédiatriques </w:t>
      </w:r>
      <w:r>
        <w:t xml:space="preserve">32(</w:t>
      </w:r>
      <w:r>
        <w:t xml:space="preserve">10) : 1077-1081.</w:t>
      </w:r>
    </w:p>
    <w:p>
      <w:pPr>
        <w:pStyle w:val="Paragraphedeliste"/>
        <w:numPr>
          <w:ilvl w:val="0"/>
          <w:numId w:val="1"/>
        </w:numPr>
        <w:tabs>
          <w:tab w:val="left" w:pos="553"/>
          <w:tab w:val="left" w:pos="555"/>
        </w:tabs>
        <w:spacing w:before="121" w:line="273" w:lineRule="auto"/>
        <w:ind w:end="249"/>
      </w:pPr>
      <w:hyperlink r:id="rId312">
        <w:r>
          <w:rPr>
            <w:color w:val="0000FF"/>
            <w:u w:val="single" w:color="0000FF"/>
          </w:rPr>
          <w:t xml:space="preserve">Khatchadourian K, Shazhan A, Metzger D. (2014) Gestion clinique des jeunes atteints de </w:t>
        </w:r>
      </w:hyperlink>
      <w:hyperlink r:id="rId313">
        <w:r>
          <w:rPr>
            <w:color w:val="0000FF"/>
            <w:u w:val="single" w:color="0000FF"/>
          </w:rPr>
          <w:t xml:space="preserve">dysphorie de genre à Vancouver</w:t>
        </w:r>
      </w:hyperlink>
      <w:r>
        <w:t xml:space="preserve">. Le journal de la pédiatrie</w:t>
      </w:r>
      <w:r>
        <w:t xml:space="preserve">. Volume 164, numéro 4, avril, </w:t>
      </w:r>
      <w:r>
        <w:t xml:space="preserve">pages </w:t>
      </w:r>
      <w:r>
        <w:t xml:space="preserve">906-911. </w:t>
      </w:r>
      <w:r>
        <w:t xml:space="preserve">[Consulté le 14 </w:t>
      </w:r>
      <w:r>
        <w:t xml:space="preserve">août </w:t>
      </w:r>
      <w:r>
        <w:t xml:space="preserve">2020]</w:t>
      </w:r>
    </w:p>
    <w:p>
      <w:pPr>
        <w:pStyle w:val="Paragraphedeliste"/>
        <w:numPr>
          <w:ilvl w:val="0"/>
          <w:numId w:val="1"/>
        </w:numPr>
        <w:tabs>
          <w:tab w:val="left" w:pos="553"/>
          <w:tab w:val="left" w:pos="555"/>
        </w:tabs>
        <w:spacing w:before="124" w:line="276" w:lineRule="auto"/>
        <w:ind w:end="213"/>
      </w:pPr>
      <w:r>
        <w:t xml:space="preserve">Klink D, Caris M, Heijboer A et al. (2015) Masse osseuse chez le jeune adulte après un </w:t>
      </w:r>
      <w:r>
        <w:t xml:space="preserve">traitement par analogue de l'hormone de libération de la gonadotrophine et un traitement par hormone transsexuelle chez les </w:t>
      </w:r>
      <w:r>
        <w:t xml:space="preserve">adolescents </w:t>
      </w:r>
      <w:r>
        <w:t xml:space="preserve">atteints de dysphorie de genre. Le Journal de l'endocrinologie clinique et du </w:t>
      </w:r>
      <w:r>
        <w:t xml:space="preserve">métabolisme </w:t>
      </w:r>
      <w:r>
        <w:t xml:space="preserve">100(2) : </w:t>
      </w:r>
      <w:r>
        <w:t xml:space="preserve">e270-5</w:t>
      </w:r>
    </w:p>
    <w:p>
      <w:pPr>
        <w:pStyle w:val="Paragraphedeliste"/>
        <w:numPr>
          <w:ilvl w:val="0"/>
          <w:numId w:val="1"/>
        </w:numPr>
        <w:tabs>
          <w:tab w:val="left" w:pos="553"/>
          <w:tab w:val="left" w:pos="555"/>
        </w:tabs>
        <w:spacing w:before="116" w:line="276" w:lineRule="auto"/>
        <w:ind w:end="236"/>
      </w:pPr>
      <w:r>
        <w:t xml:space="preserve">Schagen SEE, Cohen-Kettenis PT, Delemarre-van de Waal HA et al. (2016) Efficacité </w:t>
      </w:r>
      <w:r>
        <w:t xml:space="preserve">et sécurité du traitement par agoniste de l'hormone de libération de la gonadotrophine pour supprimer la </w:t>
      </w:r>
      <w:r>
        <w:t xml:space="preserve">puberté chez les adolescents dysphoriques de genre. Le journal de la médecine sexuelle 13(7) : 1125- </w:t>
      </w:r>
      <w:r>
        <w:t xml:space="preserve">32.</w:t>
      </w:r>
    </w:p>
    <w:p>
      <w:pPr>
        <w:pStyle w:val="Paragraphedeliste"/>
        <w:numPr>
          <w:ilvl w:val="0"/>
          <w:numId w:val="1"/>
        </w:numPr>
        <w:tabs>
          <w:tab w:val="left" w:pos="553"/>
          <w:tab w:val="left" w:pos="555"/>
        </w:tabs>
        <w:spacing w:before="116" w:line="273" w:lineRule="auto"/>
        <w:ind w:end="383"/>
      </w:pPr>
      <w:hyperlink r:id="rId314">
        <w:r>
          <w:rPr>
            <w:color w:val="0000FF"/>
            <w:u w:val="single" w:color="0000FF"/>
          </w:rPr>
          <w:t xml:space="preserve">Staphorsius A, Baudewijntje P, Kreukels P, et al. (2015) Puberty suppression and </w:t>
        </w:r>
      </w:hyperlink>
      <w:hyperlink r:id="rId315">
        <w:r>
          <w:rPr>
            <w:color w:val="0000FF"/>
            <w:u w:val="single" w:color="0000FF"/>
          </w:rPr>
          <w:t xml:space="preserve">executive functioning : An fMRI-study in adolescents with gender dysphoria. </w:t>
        </w:r>
      </w:hyperlink>
      <w:hyperlink r:id="rId316">
        <w:r>
          <w:rPr>
            <w:color w:val="0000FF"/>
            <w:u w:val="single" w:color="0000FF"/>
          </w:rPr>
          <w:t xml:space="preserve">Psychoneuroendocrinologie </w:t>
        </w:r>
      </w:hyperlink>
      <w:r>
        <w:t xml:space="preserve">Volume </w:t>
      </w:r>
      <w:r>
        <w:t xml:space="preserve">565. </w:t>
      </w:r>
      <w:r>
        <w:t xml:space="preserve">Pages </w:t>
      </w:r>
      <w:r>
        <w:t xml:space="preserve">190-199. </w:t>
      </w:r>
      <w:r>
        <w:t xml:space="preserve">[Consulté le </w:t>
      </w:r>
      <w:r>
        <w:t xml:space="preserve">10 </w:t>
      </w:r>
      <w:r>
        <w:t xml:space="preserve">août </w:t>
      </w:r>
      <w:r>
        <w:t xml:space="preserve">2020]</w:t>
      </w:r>
    </w:p>
    <w:p w:rsidR="00432386" w:rsidRDefault="00432386">
      <w:pPr>
        <w:spacing w:line="273" w:lineRule="auto"/>
        <w:sectPr w:rsidR="00432386">
          <w:type w:val="continuous"/>
          <w:pgSz w:w="11910" w:h="16840"/>
          <w:pgMar w:top="1420" w:right="1320" w:bottom="1460" w:left="1340" w:header="0" w:footer="1263" w:gutter="0"/>
          <w:cols w:space="720"/>
        </w:sectPr>
      </w:pPr>
    </w:p>
    <w:p>
      <w:pPr>
        <w:pStyle w:val="Paragraphedeliste"/>
        <w:numPr>
          <w:ilvl w:val="0"/>
          <w:numId w:val="1"/>
        </w:numPr>
        <w:tabs>
          <w:tab w:val="left" w:pos="555"/>
        </w:tabs>
        <w:spacing w:before="81" w:line="276" w:lineRule="auto"/>
        <w:ind w:end="785"/>
        <w:jc w:val="both"/>
      </w:pPr>
      <w:r>
        <w:lastRenderedPageBreak/>
        <w:t xml:space="preserve">Vlot, Mariska C, Klink, Daniel T, den Heijer, Martin et al. (2017) Effet de la </w:t>
      </w:r>
      <w:r>
        <w:t xml:space="preserve">suppression </w:t>
      </w:r>
      <w:r>
        <w:lastRenderedPageBreak/>
        <w:t xml:space="preserve">pubertaire </w:t>
      </w:r>
      <w:r>
        <w:t xml:space="preserve">et de l'hormonothérapie transsexuelle sur les marqueurs du turnover osseux et la </w:t>
      </w:r>
      <w:r>
        <w:t xml:space="preserve">densité </w:t>
      </w:r>
      <w:r>
        <w:t xml:space="preserve">minérale </w:t>
      </w:r>
      <w:r>
        <w:t xml:space="preserve">apparente </w:t>
      </w:r>
      <w:r>
        <w:t xml:space="preserve">osseuse </w:t>
      </w:r>
      <w:r>
        <w:t xml:space="preserve">(DMAO) </w:t>
      </w:r>
      <w:r>
        <w:t xml:space="preserve">chez les </w:t>
      </w:r>
      <w:r>
        <w:t xml:space="preserve">adolescents </w:t>
      </w:r>
      <w:r>
        <w:t xml:space="preserve">transgenres</w:t>
      </w:r>
      <w:r>
        <w:t xml:space="preserve">. </w:t>
      </w:r>
      <w:r>
        <w:t xml:space="preserve">Bone </w:t>
      </w:r>
      <w:r>
        <w:t xml:space="preserve">95 : 11-19</w:t>
      </w:r>
    </w:p>
    <w:p>
      <w:pPr>
        <w:pStyle w:val="Titre2"/>
        <w:spacing w:before="119"/>
        <w:ind w:start="100"/>
        <w:jc w:val="both"/>
      </w:pPr>
      <w:r>
        <w:t xml:space="preserve">Autres </w:t>
      </w:r>
      <w:r>
        <w:t xml:space="preserve">références</w:t>
      </w:r>
    </w:p>
    <w:p w:rsidR="00432386" w:rsidRDefault="00432386">
      <w:pPr>
        <w:pStyle w:val="Corpsdetexte"/>
        <w:spacing w:before="4"/>
        <w:ind w:start="0"/>
        <w:rPr>
          <w:b/>
          <w:sz w:val="20"/>
        </w:rPr>
      </w:pPr>
    </w:p>
    <w:p>
      <w:pPr>
        <w:pStyle w:val="Paragraphedeliste"/>
        <w:numPr>
          <w:ilvl w:val="0"/>
          <w:numId w:val="1"/>
        </w:numPr>
        <w:tabs>
          <w:tab w:val="left" w:pos="553"/>
          <w:tab w:val="left" w:pos="555"/>
        </w:tabs>
        <w:spacing w:before="0" w:line="273" w:lineRule="auto"/>
        <w:ind w:end="253"/>
      </w:pPr>
      <w:r>
        <w:t xml:space="preserve">Organisation mondiale de la santé (2018) Classification internationale des maladies 11. Disponible </w:t>
      </w:r>
      <w:r>
        <w:t xml:space="preserve">sur </w:t>
      </w:r>
      <w:hyperlink r:id="rId317">
        <w:r>
          <w:rPr>
            <w:color w:val="0000FF"/>
            <w:u w:val="single" w:color="0000FF"/>
          </w:rPr>
          <w:t xml:space="preserve">https://icd.who.int/ </w:t>
        </w:r>
      </w:hyperlink>
      <w:r>
        <w:t xml:space="preserve">[en ligne ; </w:t>
      </w:r>
      <w:r>
        <w:t xml:space="preserve">consulté le </w:t>
      </w:r>
      <w:r>
        <w:t xml:space="preserve">20 </w:t>
      </w:r>
      <w:r>
        <w:t xml:space="preserve">août </w:t>
      </w:r>
      <w:r>
        <w:t xml:space="preserve">2020].</w:t>
      </w:r>
    </w:p>
    <w:p>
      <w:pPr>
        <w:pStyle w:val="Paragraphedeliste"/>
        <w:numPr>
          <w:ilvl w:val="0"/>
          <w:numId w:val="1"/>
        </w:numPr>
        <w:tabs>
          <w:tab w:val="left" w:pos="553"/>
          <w:tab w:val="left" w:pos="555"/>
        </w:tabs>
        <w:spacing w:before="122" w:line="273" w:lineRule="auto"/>
        <w:ind w:end="399"/>
      </w:pPr>
      <w:hyperlink r:id="rId318">
        <w:r>
          <w:rPr>
            <w:color w:val="0000FF"/>
            <w:u w:val="single" w:color="0000FF"/>
          </w:rPr>
          <w:t xml:space="preserve">Association américaine de psychiatrie. (2013). Manuel diagnostique et statistique des </w:t>
        </w:r>
      </w:hyperlink>
      <w:hyperlink r:id="rId319">
        <w:r>
          <w:rPr>
            <w:color w:val="0000FF"/>
            <w:u w:val="single" w:color="0000FF"/>
          </w:rPr>
          <w:t xml:space="preserve">troubles </w:t>
        </w:r>
      </w:hyperlink>
      <w:hyperlink r:id="rId318">
        <w:r>
          <w:rPr>
            <w:color w:val="0000FF"/>
            <w:u w:val="single" w:color="0000FF"/>
          </w:rPr>
          <w:t xml:space="preserve">mentaux </w:t>
        </w:r>
      </w:hyperlink>
      <w:hyperlink r:id="rId319">
        <w:r>
          <w:rPr>
            <w:color w:val="0000FF"/>
            <w:u w:val="single" w:color="0000FF"/>
          </w:rPr>
          <w:t xml:space="preserve">(DSM-5) (5e éd.). </w:t>
        </w:r>
      </w:hyperlink>
      <w:r>
        <w:t xml:space="preserve">Washington, DC et Londres : American Psychiatric </w:t>
      </w:r>
      <w:r>
        <w:t xml:space="preserve">Publishing. </w:t>
      </w:r>
      <w:r>
        <w:t xml:space="preserve">pp.451-460. </w:t>
      </w:r>
      <w:r>
        <w:t xml:space="preserve">[consulté le </w:t>
      </w:r>
      <w:r>
        <w:t xml:space="preserve">20 </w:t>
      </w:r>
      <w:r>
        <w:t xml:space="preserve">août </w:t>
      </w:r>
      <w:r>
        <w:t xml:space="preserve">2020]</w:t>
      </w:r>
    </w:p>
    <w:p>
      <w:pPr>
        <w:pStyle w:val="Paragraphedeliste"/>
        <w:numPr>
          <w:ilvl w:val="0"/>
          <w:numId w:val="1"/>
        </w:numPr>
        <w:tabs>
          <w:tab w:val="left" w:pos="553"/>
          <w:tab w:val="left" w:pos="555"/>
        </w:tabs>
        <w:spacing w:before="124" w:line="271" w:lineRule="auto"/>
        <w:ind w:end="376"/>
      </w:pPr>
      <w:hyperlink r:id="rId320">
        <w:r>
          <w:rPr>
            <w:color w:val="0000FF"/>
            <w:u w:val="single" w:color="0000FF"/>
          </w:rPr>
          <w:t xml:space="preserve">NHS England (2013). Contrat standard du NHS pour le service de développement de l'identité de genre </w:t>
        </w:r>
      </w:hyperlink>
      <w:hyperlink r:id="rId321">
        <w:r>
          <w:rPr>
            <w:color w:val="0000FF"/>
            <w:u w:val="single" w:color="0000FF"/>
          </w:rPr>
          <w:t xml:space="preserve">pour les</w:t>
        </w:r>
        <w:r>
          <w:rPr>
            <w:color w:val="0000FF"/>
            <w:u w:val="single" w:color="0000FF"/>
          </w:rPr>
          <w:t xml:space="preserve">enfants et les</w:t>
        </w:r>
        <w:r>
          <w:rPr>
            <w:color w:val="0000FF"/>
            <w:u w:val="single" w:color="0000FF"/>
          </w:rPr>
          <w:t xml:space="preserve">adolescents </w:t>
        </w:r>
      </w:hyperlink>
      <w:r>
        <w:t xml:space="preserve">[consulté le </w:t>
      </w:r>
      <w:r>
        <w:t xml:space="preserve">20 </w:t>
      </w:r>
      <w:r>
        <w:t xml:space="preserve">août </w:t>
      </w:r>
      <w:r>
        <w:t xml:space="preserve">2020].</w:t>
      </w:r>
    </w:p>
    <w:p w:rsidR="00432386" w:rsidRDefault="00432386">
      <w:pPr>
        <w:pStyle w:val="Corpsdetexte"/>
        <w:spacing w:before="0"/>
        <w:ind w:start="0"/>
        <w:rPr>
          <w:sz w:val="20"/>
        </w:rPr>
      </w:pPr>
    </w:p>
    <w:p w:rsidR="00432386" w:rsidRDefault="00432386">
      <w:pPr>
        <w:pStyle w:val="Corpsdetexte"/>
        <w:spacing w:before="0"/>
        <w:ind w:start="0"/>
        <w:rPr>
          <w:sz w:val="20"/>
        </w:rPr>
      </w:pPr>
    </w:p>
    <w:p w:rsidR="00432386" w:rsidRDefault="00432386">
      <w:pPr>
        <w:pStyle w:val="Corpsdetexte"/>
        <w:spacing w:before="0"/>
        <w:ind w:start="0"/>
        <w:rPr>
          <w:sz w:val="20"/>
        </w:rPr>
      </w:pPr>
    </w:p>
    <w:p w:rsidR="00432386" w:rsidRDefault="00432386">
      <w:pPr>
        <w:pStyle w:val="Corpsdetexte"/>
        <w:spacing w:before="0"/>
        <w:ind w:start="0"/>
        <w:rPr>
          <w:sz w:val="20"/>
        </w:rPr>
      </w:pPr>
    </w:p>
    <w:p w:rsidR="00432386" w:rsidRDefault="00432386">
      <w:pPr>
        <w:pStyle w:val="Corpsdetexte"/>
        <w:spacing w:before="0"/>
        <w:ind w:start="0"/>
        <w:rPr>
          <w:sz w:val="20"/>
        </w:rPr>
      </w:pPr>
    </w:p>
    <w:p w:rsidR="00432386" w:rsidRDefault="00432386">
      <w:pPr>
        <w:pStyle w:val="Corpsdetexte"/>
        <w:spacing w:before="5"/>
        <w:ind w:start="0"/>
        <w:rPr>
          <w:sz w:val="28"/>
        </w:rPr>
      </w:pPr>
    </w:p>
    <w:p>
      <w:pPr>
        <w:pStyle w:val="Titre2"/>
        <w:spacing w:before="94"/>
        <w:ind w:start="100"/>
      </w:pPr>
      <w:r>
        <w:t xml:space="preserve">Copyright</w:t>
      </w:r>
    </w:p>
    <w:p w:rsidR="00432386" w:rsidRDefault="00432386">
      <w:pPr>
        <w:pStyle w:val="Corpsdetexte"/>
        <w:spacing w:before="9"/>
        <w:ind w:start="0"/>
        <w:rPr>
          <w:b/>
          <w:sz w:val="20"/>
        </w:rPr>
      </w:pPr>
    </w:p>
    <w:p>
      <w:pPr>
        <w:pStyle w:val="Corpsdetexte"/>
        <w:spacing w:before="0"/>
        <w:ind w:start="100"/>
      </w:pPr>
      <w:r>
        <w:t xml:space="preserve">© </w:t>
      </w:r>
      <w:r>
        <w:t xml:space="preserve">NICE </w:t>
      </w:r>
      <w:r>
        <w:t xml:space="preserve">2021. </w:t>
      </w:r>
      <w:r>
        <w:t xml:space="preserve">Tous </w:t>
      </w:r>
      <w:r>
        <w:t xml:space="preserve">droits </w:t>
      </w:r>
      <w:r>
        <w:t xml:space="preserve">réservés. </w:t>
      </w:r>
      <w:r>
        <w:t xml:space="preserve">Sous réserve </w:t>
      </w:r>
      <w:r>
        <w:t xml:space="preserve">de la </w:t>
      </w:r>
      <w:hyperlink w:anchor="notice-of-rights" r:id="rId322">
        <w:r>
          <w:rPr>
            <w:color w:val="0000FF"/>
            <w:u w:val="single" w:color="0000FF"/>
          </w:rPr>
          <w:t xml:space="preserve">notification</w:t>
        </w:r>
        <w:r>
          <w:rPr>
            <w:color w:val="0000FF"/>
            <w:u w:val="single" w:color="0000FF"/>
          </w:rPr>
          <w:t xml:space="preserve">des</w:t>
        </w:r>
        <w:r>
          <w:rPr>
            <w:color w:val="0000FF"/>
            <w:u w:val="single" w:color="0000FF"/>
          </w:rPr>
          <w:t xml:space="preserve">droits</w:t>
        </w:r>
      </w:hyperlink>
    </w:p>
    <w:sectPr w:rsidR="00432386">
      <w:pgSz w:w="11910" w:h="16840"/>
      <w:pgMar w:top="1340" w:right="1320" w:bottom="1460" w:left="1340" w:header="0" w:footer="1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5C" w:rsidRDefault="00BE015C">
      <w:r>
        <w:separator/>
      </w:r>
    </w:p>
  </w:endnote>
  <w:endnote w:type="continuationSeparator" w:id="0">
    <w:p w:rsidR="00BE015C" w:rsidRDefault="00BE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6" w:rsidRDefault="00BE015C">
    <w:pPr>
      <w:pStyle w:val="Corpsdetexte"/>
      <w:spacing w:before="0" w:line="14" w:lineRule="auto"/>
      <w:ind w:start="0"/>
      <w:rPr>
        <w:sz w:val="17"/>
      </w:rPr>
    </w:pPr>
    <w:r>
      <w:pict>
        <v:shapetype id="_x0000_t202" coordsize="21600,21600" o:spt="202" path="m,l,21600r21600,l21600,xe">
          <v:stroke joinstyle="miter"/>
          <v:path gradientshapeok="t" o:connecttype="rect"/>
        </v:shapetype>
        <v:shape id="docshape1" style="position:absolute;margin-left:288.55pt;margin-top:767.8pt;width:19.25pt;height:14.35pt;z-index:-23844352;mso-position-horizontal-relative:page;mso-position-vertical-relative:page" o:spid="_x0000_s2053" filled="f" stroked="f" type="#_x0000_t202">
          <v:textbox inset="0,0,0,0">
            <w:txbxContent>
              <w:p>
                <w:pPr>
                  <w:pStyle w:val="Corpsdetexte"/>
                  <w:spacing w:before="13"/>
                  <w:ind w:start="60"/>
                </w:pPr>
                <w:r>
                  <w:fldChar w:fldCharType="begin"/>
                </w:r>
                <w:r>
                  <w:instrText xml:space="preserve"> PAGE </w:instrText>
                </w:r>
                <w:r>
                  <w:fldChar w:fldCharType="separate"/>
                </w:r>
                <w:r w:rsidR="00BE5F99">
                  <w:rPr>
                    <w:noProof/>
                  </w:rPr>
                  <w:t xml:space="preserve">2</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6" w:rsidRDefault="00BE015C">
    <w:pPr>
      <w:pStyle w:val="Corpsdetexte"/>
      <w:spacing w:before="0" w:line="14" w:lineRule="auto"/>
      <w:ind w:start="0"/>
      <w:rPr>
        <w:sz w:val="20"/>
      </w:rPr>
    </w:pPr>
    <w:r>
      <w:pict>
        <v:shapetype id="_x0000_t202" coordsize="21600,21600" o:spt="202" path="m,l,21600r21600,l21600,xe">
          <v:stroke joinstyle="miter"/>
          <v:path gradientshapeok="t" o:connecttype="rect"/>
        </v:shapetype>
        <v:shape id="docshape24" style="position:absolute;margin-left:411.9pt;margin-top:521.2pt;width:19.25pt;height:14.35pt;z-index:-23843840;mso-position-horizontal-relative:page;mso-position-vertical-relative:page" o:spid="_x0000_s2052" filled="f" stroked="f" type="#_x0000_t202">
          <v:textbox inset="0,0,0,0">
            <w:txbxContent>
              <w:p>
                <w:pPr>
                  <w:pStyle w:val="Corpsdetexte"/>
                  <w:spacing w:before="13"/>
                  <w:ind w:start="60"/>
                </w:pPr>
                <w:r>
                  <w:fldChar w:fldCharType="begin"/>
                </w:r>
                <w:r>
                  <w:instrText xml:space="preserve"> PAGE </w:instrText>
                </w:r>
                <w:r>
                  <w:fldChar w:fldCharType="separate"/>
                </w:r>
                <w:r w:rsidR="00BE5F99">
                  <w:rPr>
                    <w:noProof/>
                  </w:rPr>
                  <w:t xml:space="preserve">97</w:t>
                </w:r>
                <w: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6" w:rsidRDefault="00BE015C">
    <w:pPr>
      <w:pStyle w:val="Corpsdetexte"/>
      <w:spacing w:before="0" w:line="14" w:lineRule="auto"/>
      <w:ind w:start="0"/>
      <w:rPr>
        <w:sz w:val="20"/>
      </w:rPr>
    </w:pPr>
    <w:r>
      <w:pict>
        <v:shapetype id="_x0000_t202" coordsize="21600,21600" o:spt="202" path="m,l,21600r21600,l21600,xe">
          <v:stroke joinstyle="miter"/>
          <v:path gradientshapeok="t" o:connecttype="rect"/>
        </v:shapetype>
        <v:shape id="docshape25" style="position:absolute;margin-left:290.55pt;margin-top:767.8pt;width:14.25pt;height:14.35pt;z-index:-23843328;mso-position-horizontal-relative:page;mso-position-vertical-relative:page" o:spid="_x0000_s2051" filled="f" stroked="f" type="#_x0000_t202">
          <v:textbox inset="0,0,0,0">
            <w:txbxContent>
              <w:p>
                <w:pPr>
                  <w:pStyle w:val="Corpsdetexte"/>
                  <w:spacing w:before="13"/>
                  <w:ind w:start="20"/>
                </w:pPr>
                <w:r>
                  <w:t xml:space="preserve">98</w:t>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6" w:rsidRDefault="00BE015C">
    <w:pPr>
      <w:pStyle w:val="Corpsdetexte"/>
      <w:spacing w:before="0" w:line="14" w:lineRule="auto"/>
      <w:ind w:start="0"/>
      <w:rPr>
        <w:sz w:val="17"/>
      </w:rPr>
    </w:pPr>
    <w:r>
      <w:pict>
        <v:shapetype id="_x0000_t202" coordsize="21600,21600" o:spt="202" path="m,l,21600r21600,l21600,xe">
          <v:stroke joinstyle="miter"/>
          <v:path gradientshapeok="t" o:connecttype="rect"/>
        </v:shapetype>
        <v:shape id="docshape26" style="position:absolute;margin-left:408.75pt;margin-top:521.2pt;width:25.4pt;height:14.35pt;z-index:-23842816;mso-position-horizontal-relative:page;mso-position-vertical-relative:page" o:spid="_x0000_s2050" filled="f" stroked="f" type="#_x0000_t202">
          <v:textbox inset="0,0,0,0">
            <w:txbxContent>
              <w:p>
                <w:pPr>
                  <w:pStyle w:val="Corpsdetexte"/>
                  <w:spacing w:before="13"/>
                  <w:ind w:start="60"/>
                </w:pPr>
                <w:r>
                  <w:fldChar w:fldCharType="begin"/>
                </w:r>
                <w:r>
                  <w:instrText xml:space="preserve"> PAGE </w:instrText>
                </w:r>
                <w:r>
                  <w:fldChar w:fldCharType="separate"/>
                </w:r>
                <w:r w:rsidR="00BE5F99">
                  <w:rPr>
                    <w:noProof/>
                  </w:rPr>
                  <w:t xml:space="preserve">128</w:t>
                </w:r>
                <w: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6" w:rsidRDefault="00BE015C">
    <w:pPr>
      <w:pStyle w:val="Corpsdetexte"/>
      <w:spacing w:before="0" w:line="14" w:lineRule="auto"/>
      <w:ind w:start="0"/>
      <w:rPr>
        <w:sz w:val="20"/>
      </w:rPr>
    </w:pPr>
    <w:r>
      <w:pict>
        <v:shapetype id="_x0000_t202" coordsize="21600,21600" o:spt="202" path="m,l,21600r21600,l21600,xe">
          <v:stroke joinstyle="miter"/>
          <v:path gradientshapeok="t" o:connecttype="rect"/>
        </v:shapetype>
        <v:shape id="docshape27" style="position:absolute;margin-left:285.55pt;margin-top:767.8pt;width:25.4pt;height:14.35pt;z-index:-23842304;mso-position-horizontal-relative:page;mso-position-vertical-relative:page" o:spid="_x0000_s2049" filled="f" stroked="f" type="#_x0000_t202">
          <v:textbox inset="0,0,0,0">
            <w:txbxContent>
              <w:p>
                <w:pPr>
                  <w:pStyle w:val="Corpsdetexte"/>
                  <w:spacing w:before="13"/>
                  <w:ind w:start="60"/>
                </w:pPr>
                <w:r>
                  <w:fldChar w:fldCharType="begin"/>
                </w:r>
                <w:r>
                  <w:instrText xml:space="preserve"> PAGE </w:instrText>
                </w:r>
                <w:r>
                  <w:fldChar w:fldCharType="separate"/>
                </w:r>
                <w:r w:rsidR="00BE5F99">
                  <w:rPr>
                    <w:noProof/>
                  </w:rPr>
                  <w:t xml:space="preserve">130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5C" w:rsidRDefault="00BE015C">
      <w:r>
        <w:separator/>
      </w:r>
    </w:p>
  </w:footnote>
  <w:footnote w:type="continuationSeparator" w:id="0">
    <w:p w:rsidR="00BE015C" w:rsidRDefault="00BE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795"/>
    <w:multiLevelType w:val="hybridMultilevel"/>
    <w:tmpl w:val="796A4E26"/>
    <w:lvl w:ilvl="0" w:tplc="82881DFA">
      <w:start w:val="8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9141B64">
      <w:numFmt w:val="bullet"/>
      <w:lvlText w:val="•"/>
      <w:lvlJc w:val="left"/>
      <w:pPr>
        <w:ind w:left="1612" w:hanging="552"/>
      </w:pPr>
      <w:rPr>
        <w:rFonts w:hint="default"/>
        <w:lang w:val="en-GB" w:eastAsia="en-US" w:bidi="ar-SA"/>
      </w:rPr>
    </w:lvl>
    <w:lvl w:ilvl="2" w:tplc="2AD6AA1A">
      <w:numFmt w:val="bullet"/>
      <w:lvlText w:val="•"/>
      <w:lvlJc w:val="left"/>
      <w:pPr>
        <w:ind w:left="2505" w:hanging="552"/>
      </w:pPr>
      <w:rPr>
        <w:rFonts w:hint="default"/>
        <w:lang w:val="en-GB" w:eastAsia="en-US" w:bidi="ar-SA"/>
      </w:rPr>
    </w:lvl>
    <w:lvl w:ilvl="3" w:tplc="32DA3FC8">
      <w:numFmt w:val="bullet"/>
      <w:lvlText w:val="•"/>
      <w:lvlJc w:val="left"/>
      <w:pPr>
        <w:ind w:left="3397" w:hanging="552"/>
      </w:pPr>
      <w:rPr>
        <w:rFonts w:hint="default"/>
        <w:lang w:val="en-GB" w:eastAsia="en-US" w:bidi="ar-SA"/>
      </w:rPr>
    </w:lvl>
    <w:lvl w:ilvl="4" w:tplc="617C51A0">
      <w:numFmt w:val="bullet"/>
      <w:lvlText w:val="•"/>
      <w:lvlJc w:val="left"/>
      <w:pPr>
        <w:ind w:left="4290" w:hanging="552"/>
      </w:pPr>
      <w:rPr>
        <w:rFonts w:hint="default"/>
        <w:lang w:val="en-GB" w:eastAsia="en-US" w:bidi="ar-SA"/>
      </w:rPr>
    </w:lvl>
    <w:lvl w:ilvl="5" w:tplc="D136B41C">
      <w:numFmt w:val="bullet"/>
      <w:lvlText w:val="•"/>
      <w:lvlJc w:val="left"/>
      <w:pPr>
        <w:ind w:left="5183" w:hanging="552"/>
      </w:pPr>
      <w:rPr>
        <w:rFonts w:hint="default"/>
        <w:lang w:val="en-GB" w:eastAsia="en-US" w:bidi="ar-SA"/>
      </w:rPr>
    </w:lvl>
    <w:lvl w:ilvl="6" w:tplc="348C450E">
      <w:numFmt w:val="bullet"/>
      <w:lvlText w:val="•"/>
      <w:lvlJc w:val="left"/>
      <w:pPr>
        <w:ind w:left="6075" w:hanging="552"/>
      </w:pPr>
      <w:rPr>
        <w:rFonts w:hint="default"/>
        <w:lang w:val="en-GB" w:eastAsia="en-US" w:bidi="ar-SA"/>
      </w:rPr>
    </w:lvl>
    <w:lvl w:ilvl="7" w:tplc="93B28B1E">
      <w:numFmt w:val="bullet"/>
      <w:lvlText w:val="•"/>
      <w:lvlJc w:val="left"/>
      <w:pPr>
        <w:ind w:left="6968" w:hanging="552"/>
      </w:pPr>
      <w:rPr>
        <w:rFonts w:hint="default"/>
        <w:lang w:val="en-GB" w:eastAsia="en-US" w:bidi="ar-SA"/>
      </w:rPr>
    </w:lvl>
    <w:lvl w:ilvl="8" w:tplc="9FD2ED02">
      <w:numFmt w:val="bullet"/>
      <w:lvlText w:val="•"/>
      <w:lvlJc w:val="left"/>
      <w:pPr>
        <w:ind w:left="7861" w:hanging="552"/>
      </w:pPr>
      <w:rPr>
        <w:rFonts w:hint="default"/>
        <w:lang w:val="en-GB" w:eastAsia="en-US" w:bidi="ar-SA"/>
      </w:rPr>
    </w:lvl>
  </w:abstractNum>
  <w:abstractNum w:abstractNumId="1">
    <w:nsid w:val="006D76C7"/>
    <w:multiLevelType w:val="hybridMultilevel"/>
    <w:tmpl w:val="F3C6B3AA"/>
    <w:lvl w:ilvl="0" w:tplc="F4A4C8B0">
      <w:start w:val="133"/>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BC3275AC">
      <w:numFmt w:val="bullet"/>
      <w:lvlText w:val="•"/>
      <w:lvlJc w:val="left"/>
      <w:pPr>
        <w:ind w:left="1720" w:hanging="675"/>
      </w:pPr>
      <w:rPr>
        <w:rFonts w:hint="default"/>
        <w:lang w:val="en-GB" w:eastAsia="en-US" w:bidi="ar-SA"/>
      </w:rPr>
    </w:lvl>
    <w:lvl w:ilvl="2" w:tplc="AB9031FC">
      <w:numFmt w:val="bullet"/>
      <w:lvlText w:val="•"/>
      <w:lvlJc w:val="left"/>
      <w:pPr>
        <w:ind w:left="2601" w:hanging="675"/>
      </w:pPr>
      <w:rPr>
        <w:rFonts w:hint="default"/>
        <w:lang w:val="en-GB" w:eastAsia="en-US" w:bidi="ar-SA"/>
      </w:rPr>
    </w:lvl>
    <w:lvl w:ilvl="3" w:tplc="D9A8C16C">
      <w:numFmt w:val="bullet"/>
      <w:lvlText w:val="•"/>
      <w:lvlJc w:val="left"/>
      <w:pPr>
        <w:ind w:left="3481" w:hanging="675"/>
      </w:pPr>
      <w:rPr>
        <w:rFonts w:hint="default"/>
        <w:lang w:val="en-GB" w:eastAsia="en-US" w:bidi="ar-SA"/>
      </w:rPr>
    </w:lvl>
    <w:lvl w:ilvl="4" w:tplc="030C6098">
      <w:numFmt w:val="bullet"/>
      <w:lvlText w:val="•"/>
      <w:lvlJc w:val="left"/>
      <w:pPr>
        <w:ind w:left="4362" w:hanging="675"/>
      </w:pPr>
      <w:rPr>
        <w:rFonts w:hint="default"/>
        <w:lang w:val="en-GB" w:eastAsia="en-US" w:bidi="ar-SA"/>
      </w:rPr>
    </w:lvl>
    <w:lvl w:ilvl="5" w:tplc="3C6EC3F0">
      <w:numFmt w:val="bullet"/>
      <w:lvlText w:val="•"/>
      <w:lvlJc w:val="left"/>
      <w:pPr>
        <w:ind w:left="5243" w:hanging="675"/>
      </w:pPr>
      <w:rPr>
        <w:rFonts w:hint="default"/>
        <w:lang w:val="en-GB" w:eastAsia="en-US" w:bidi="ar-SA"/>
      </w:rPr>
    </w:lvl>
    <w:lvl w:ilvl="6" w:tplc="7CA438B4">
      <w:numFmt w:val="bullet"/>
      <w:lvlText w:val="•"/>
      <w:lvlJc w:val="left"/>
      <w:pPr>
        <w:ind w:left="6123" w:hanging="675"/>
      </w:pPr>
      <w:rPr>
        <w:rFonts w:hint="default"/>
        <w:lang w:val="en-GB" w:eastAsia="en-US" w:bidi="ar-SA"/>
      </w:rPr>
    </w:lvl>
    <w:lvl w:ilvl="7" w:tplc="D37008A8">
      <w:numFmt w:val="bullet"/>
      <w:lvlText w:val="•"/>
      <w:lvlJc w:val="left"/>
      <w:pPr>
        <w:ind w:left="7004" w:hanging="675"/>
      </w:pPr>
      <w:rPr>
        <w:rFonts w:hint="default"/>
        <w:lang w:val="en-GB" w:eastAsia="en-US" w:bidi="ar-SA"/>
      </w:rPr>
    </w:lvl>
    <w:lvl w:ilvl="8" w:tplc="7096CDE0">
      <w:numFmt w:val="bullet"/>
      <w:lvlText w:val="•"/>
      <w:lvlJc w:val="left"/>
      <w:pPr>
        <w:ind w:left="7885" w:hanging="675"/>
      </w:pPr>
      <w:rPr>
        <w:rFonts w:hint="default"/>
        <w:lang w:val="en-GB" w:eastAsia="en-US" w:bidi="ar-SA"/>
      </w:rPr>
    </w:lvl>
  </w:abstractNum>
  <w:abstractNum w:abstractNumId="2">
    <w:nsid w:val="01055CC3"/>
    <w:multiLevelType w:val="hybridMultilevel"/>
    <w:tmpl w:val="BE7A050C"/>
    <w:lvl w:ilvl="0" w:tplc="0F0CA44C">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5F084268">
      <w:numFmt w:val="bullet"/>
      <w:lvlText w:val="•"/>
      <w:lvlJc w:val="left"/>
      <w:pPr>
        <w:ind w:left="810" w:hanging="360"/>
      </w:pPr>
      <w:rPr>
        <w:rFonts w:hint="default"/>
        <w:lang w:val="en-GB" w:eastAsia="en-US" w:bidi="ar-SA"/>
      </w:rPr>
    </w:lvl>
    <w:lvl w:ilvl="2" w:tplc="FD987280">
      <w:numFmt w:val="bullet"/>
      <w:lvlText w:val="•"/>
      <w:lvlJc w:val="left"/>
      <w:pPr>
        <w:ind w:left="1160" w:hanging="360"/>
      </w:pPr>
      <w:rPr>
        <w:rFonts w:hint="default"/>
        <w:lang w:val="en-GB" w:eastAsia="en-US" w:bidi="ar-SA"/>
      </w:rPr>
    </w:lvl>
    <w:lvl w:ilvl="3" w:tplc="2F66D752">
      <w:numFmt w:val="bullet"/>
      <w:lvlText w:val="•"/>
      <w:lvlJc w:val="left"/>
      <w:pPr>
        <w:ind w:left="1510" w:hanging="360"/>
      </w:pPr>
      <w:rPr>
        <w:rFonts w:hint="default"/>
        <w:lang w:val="en-GB" w:eastAsia="en-US" w:bidi="ar-SA"/>
      </w:rPr>
    </w:lvl>
    <w:lvl w:ilvl="4" w:tplc="0C0A5B12">
      <w:numFmt w:val="bullet"/>
      <w:lvlText w:val="•"/>
      <w:lvlJc w:val="left"/>
      <w:pPr>
        <w:ind w:left="1860" w:hanging="360"/>
      </w:pPr>
      <w:rPr>
        <w:rFonts w:hint="default"/>
        <w:lang w:val="en-GB" w:eastAsia="en-US" w:bidi="ar-SA"/>
      </w:rPr>
    </w:lvl>
    <w:lvl w:ilvl="5" w:tplc="2774DF90">
      <w:numFmt w:val="bullet"/>
      <w:lvlText w:val="•"/>
      <w:lvlJc w:val="left"/>
      <w:pPr>
        <w:ind w:left="2210" w:hanging="360"/>
      </w:pPr>
      <w:rPr>
        <w:rFonts w:hint="default"/>
        <w:lang w:val="en-GB" w:eastAsia="en-US" w:bidi="ar-SA"/>
      </w:rPr>
    </w:lvl>
    <w:lvl w:ilvl="6" w:tplc="2E082ED6">
      <w:numFmt w:val="bullet"/>
      <w:lvlText w:val="•"/>
      <w:lvlJc w:val="left"/>
      <w:pPr>
        <w:ind w:left="2560" w:hanging="360"/>
      </w:pPr>
      <w:rPr>
        <w:rFonts w:hint="default"/>
        <w:lang w:val="en-GB" w:eastAsia="en-US" w:bidi="ar-SA"/>
      </w:rPr>
    </w:lvl>
    <w:lvl w:ilvl="7" w:tplc="4A6C95DC">
      <w:numFmt w:val="bullet"/>
      <w:lvlText w:val="•"/>
      <w:lvlJc w:val="left"/>
      <w:pPr>
        <w:ind w:left="2910" w:hanging="360"/>
      </w:pPr>
      <w:rPr>
        <w:rFonts w:hint="default"/>
        <w:lang w:val="en-GB" w:eastAsia="en-US" w:bidi="ar-SA"/>
      </w:rPr>
    </w:lvl>
    <w:lvl w:ilvl="8" w:tplc="B016CE2E">
      <w:numFmt w:val="bullet"/>
      <w:lvlText w:val="•"/>
      <w:lvlJc w:val="left"/>
      <w:pPr>
        <w:ind w:left="3260" w:hanging="360"/>
      </w:pPr>
      <w:rPr>
        <w:rFonts w:hint="default"/>
        <w:lang w:val="en-GB" w:eastAsia="en-US" w:bidi="ar-SA"/>
      </w:rPr>
    </w:lvl>
  </w:abstractNum>
  <w:abstractNum w:abstractNumId="3">
    <w:nsid w:val="017E7F3A"/>
    <w:multiLevelType w:val="hybridMultilevel"/>
    <w:tmpl w:val="5184A3C8"/>
    <w:lvl w:ilvl="0" w:tplc="DE4A3BD2">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3F6C79AE">
      <w:numFmt w:val="bullet"/>
      <w:lvlText w:val="•"/>
      <w:lvlJc w:val="left"/>
      <w:pPr>
        <w:ind w:left="1129" w:hanging="360"/>
      </w:pPr>
      <w:rPr>
        <w:rFonts w:hint="default"/>
        <w:lang w:val="en-GB" w:eastAsia="en-US" w:bidi="ar-SA"/>
      </w:rPr>
    </w:lvl>
    <w:lvl w:ilvl="2" w:tplc="7D00FA7A">
      <w:numFmt w:val="bullet"/>
      <w:lvlText w:val="•"/>
      <w:lvlJc w:val="left"/>
      <w:pPr>
        <w:ind w:left="1439" w:hanging="360"/>
      </w:pPr>
      <w:rPr>
        <w:rFonts w:hint="default"/>
        <w:lang w:val="en-GB" w:eastAsia="en-US" w:bidi="ar-SA"/>
      </w:rPr>
    </w:lvl>
    <w:lvl w:ilvl="3" w:tplc="D0980916">
      <w:numFmt w:val="bullet"/>
      <w:lvlText w:val="•"/>
      <w:lvlJc w:val="left"/>
      <w:pPr>
        <w:ind w:left="1749" w:hanging="360"/>
      </w:pPr>
      <w:rPr>
        <w:rFonts w:hint="default"/>
        <w:lang w:val="en-GB" w:eastAsia="en-US" w:bidi="ar-SA"/>
      </w:rPr>
    </w:lvl>
    <w:lvl w:ilvl="4" w:tplc="E5C2E936">
      <w:numFmt w:val="bullet"/>
      <w:lvlText w:val="•"/>
      <w:lvlJc w:val="left"/>
      <w:pPr>
        <w:ind w:left="2058" w:hanging="360"/>
      </w:pPr>
      <w:rPr>
        <w:rFonts w:hint="default"/>
        <w:lang w:val="en-GB" w:eastAsia="en-US" w:bidi="ar-SA"/>
      </w:rPr>
    </w:lvl>
    <w:lvl w:ilvl="5" w:tplc="3B36F51E">
      <w:numFmt w:val="bullet"/>
      <w:lvlText w:val="•"/>
      <w:lvlJc w:val="left"/>
      <w:pPr>
        <w:ind w:left="2368" w:hanging="360"/>
      </w:pPr>
      <w:rPr>
        <w:rFonts w:hint="default"/>
        <w:lang w:val="en-GB" w:eastAsia="en-US" w:bidi="ar-SA"/>
      </w:rPr>
    </w:lvl>
    <w:lvl w:ilvl="6" w:tplc="42AE8F1A">
      <w:numFmt w:val="bullet"/>
      <w:lvlText w:val="•"/>
      <w:lvlJc w:val="left"/>
      <w:pPr>
        <w:ind w:left="2678" w:hanging="360"/>
      </w:pPr>
      <w:rPr>
        <w:rFonts w:hint="default"/>
        <w:lang w:val="en-GB" w:eastAsia="en-US" w:bidi="ar-SA"/>
      </w:rPr>
    </w:lvl>
    <w:lvl w:ilvl="7" w:tplc="5E02F14C">
      <w:numFmt w:val="bullet"/>
      <w:lvlText w:val="•"/>
      <w:lvlJc w:val="left"/>
      <w:pPr>
        <w:ind w:left="2987" w:hanging="360"/>
      </w:pPr>
      <w:rPr>
        <w:rFonts w:hint="default"/>
        <w:lang w:val="en-GB" w:eastAsia="en-US" w:bidi="ar-SA"/>
      </w:rPr>
    </w:lvl>
    <w:lvl w:ilvl="8" w:tplc="9A7C2A88">
      <w:numFmt w:val="bullet"/>
      <w:lvlText w:val="•"/>
      <w:lvlJc w:val="left"/>
      <w:pPr>
        <w:ind w:left="3297" w:hanging="360"/>
      </w:pPr>
      <w:rPr>
        <w:rFonts w:hint="default"/>
        <w:lang w:val="en-GB" w:eastAsia="en-US" w:bidi="ar-SA"/>
      </w:rPr>
    </w:lvl>
  </w:abstractNum>
  <w:abstractNum w:abstractNumId="4">
    <w:nsid w:val="024A721D"/>
    <w:multiLevelType w:val="hybridMultilevel"/>
    <w:tmpl w:val="2ECCA396"/>
    <w:lvl w:ilvl="0" w:tplc="21A2984C">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3C0AA4A6">
      <w:numFmt w:val="bullet"/>
      <w:lvlText w:val="•"/>
      <w:lvlJc w:val="left"/>
      <w:pPr>
        <w:ind w:left="579" w:hanging="286"/>
      </w:pPr>
      <w:rPr>
        <w:rFonts w:hint="default"/>
        <w:lang w:val="en-GB" w:eastAsia="en-US" w:bidi="ar-SA"/>
      </w:rPr>
    </w:lvl>
    <w:lvl w:ilvl="2" w:tplc="DCBCD53A">
      <w:numFmt w:val="bullet"/>
      <w:lvlText w:val="•"/>
      <w:lvlJc w:val="left"/>
      <w:pPr>
        <w:ind w:left="719" w:hanging="286"/>
      </w:pPr>
      <w:rPr>
        <w:rFonts w:hint="default"/>
        <w:lang w:val="en-GB" w:eastAsia="en-US" w:bidi="ar-SA"/>
      </w:rPr>
    </w:lvl>
    <w:lvl w:ilvl="3" w:tplc="9C04C840">
      <w:numFmt w:val="bullet"/>
      <w:lvlText w:val="•"/>
      <w:lvlJc w:val="left"/>
      <w:pPr>
        <w:ind w:left="859" w:hanging="286"/>
      </w:pPr>
      <w:rPr>
        <w:rFonts w:hint="default"/>
        <w:lang w:val="en-GB" w:eastAsia="en-US" w:bidi="ar-SA"/>
      </w:rPr>
    </w:lvl>
    <w:lvl w:ilvl="4" w:tplc="E8DCEC6A">
      <w:numFmt w:val="bullet"/>
      <w:lvlText w:val="•"/>
      <w:lvlJc w:val="left"/>
      <w:pPr>
        <w:ind w:left="999" w:hanging="286"/>
      </w:pPr>
      <w:rPr>
        <w:rFonts w:hint="default"/>
        <w:lang w:val="en-GB" w:eastAsia="en-US" w:bidi="ar-SA"/>
      </w:rPr>
    </w:lvl>
    <w:lvl w:ilvl="5" w:tplc="63344852">
      <w:numFmt w:val="bullet"/>
      <w:lvlText w:val="•"/>
      <w:lvlJc w:val="left"/>
      <w:pPr>
        <w:ind w:left="1139" w:hanging="286"/>
      </w:pPr>
      <w:rPr>
        <w:rFonts w:hint="default"/>
        <w:lang w:val="en-GB" w:eastAsia="en-US" w:bidi="ar-SA"/>
      </w:rPr>
    </w:lvl>
    <w:lvl w:ilvl="6" w:tplc="C99CF58E">
      <w:numFmt w:val="bullet"/>
      <w:lvlText w:val="•"/>
      <w:lvlJc w:val="left"/>
      <w:pPr>
        <w:ind w:left="1278" w:hanging="286"/>
      </w:pPr>
      <w:rPr>
        <w:rFonts w:hint="default"/>
        <w:lang w:val="en-GB" w:eastAsia="en-US" w:bidi="ar-SA"/>
      </w:rPr>
    </w:lvl>
    <w:lvl w:ilvl="7" w:tplc="0A7EBFFC">
      <w:numFmt w:val="bullet"/>
      <w:lvlText w:val="•"/>
      <w:lvlJc w:val="left"/>
      <w:pPr>
        <w:ind w:left="1418" w:hanging="286"/>
      </w:pPr>
      <w:rPr>
        <w:rFonts w:hint="default"/>
        <w:lang w:val="en-GB" w:eastAsia="en-US" w:bidi="ar-SA"/>
      </w:rPr>
    </w:lvl>
    <w:lvl w:ilvl="8" w:tplc="B5F4F142">
      <w:numFmt w:val="bullet"/>
      <w:lvlText w:val="•"/>
      <w:lvlJc w:val="left"/>
      <w:pPr>
        <w:ind w:left="1558" w:hanging="286"/>
      </w:pPr>
      <w:rPr>
        <w:rFonts w:hint="default"/>
        <w:lang w:val="en-GB" w:eastAsia="en-US" w:bidi="ar-SA"/>
      </w:rPr>
    </w:lvl>
  </w:abstractNum>
  <w:abstractNum w:abstractNumId="5">
    <w:nsid w:val="03840AFB"/>
    <w:multiLevelType w:val="hybridMultilevel"/>
    <w:tmpl w:val="FEEA0124"/>
    <w:lvl w:ilvl="0" w:tplc="146E4268">
      <w:start w:val="131"/>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FB4C47AA">
      <w:numFmt w:val="bullet"/>
      <w:lvlText w:val="•"/>
      <w:lvlJc w:val="left"/>
      <w:pPr>
        <w:ind w:left="1720" w:hanging="675"/>
      </w:pPr>
      <w:rPr>
        <w:rFonts w:hint="default"/>
        <w:lang w:val="en-GB" w:eastAsia="en-US" w:bidi="ar-SA"/>
      </w:rPr>
    </w:lvl>
    <w:lvl w:ilvl="2" w:tplc="D61A524C">
      <w:numFmt w:val="bullet"/>
      <w:lvlText w:val="•"/>
      <w:lvlJc w:val="left"/>
      <w:pPr>
        <w:ind w:left="2601" w:hanging="675"/>
      </w:pPr>
      <w:rPr>
        <w:rFonts w:hint="default"/>
        <w:lang w:val="en-GB" w:eastAsia="en-US" w:bidi="ar-SA"/>
      </w:rPr>
    </w:lvl>
    <w:lvl w:ilvl="3" w:tplc="9D08A8D6">
      <w:numFmt w:val="bullet"/>
      <w:lvlText w:val="•"/>
      <w:lvlJc w:val="left"/>
      <w:pPr>
        <w:ind w:left="3481" w:hanging="675"/>
      </w:pPr>
      <w:rPr>
        <w:rFonts w:hint="default"/>
        <w:lang w:val="en-GB" w:eastAsia="en-US" w:bidi="ar-SA"/>
      </w:rPr>
    </w:lvl>
    <w:lvl w:ilvl="4" w:tplc="AFDE8416">
      <w:numFmt w:val="bullet"/>
      <w:lvlText w:val="•"/>
      <w:lvlJc w:val="left"/>
      <w:pPr>
        <w:ind w:left="4362" w:hanging="675"/>
      </w:pPr>
      <w:rPr>
        <w:rFonts w:hint="default"/>
        <w:lang w:val="en-GB" w:eastAsia="en-US" w:bidi="ar-SA"/>
      </w:rPr>
    </w:lvl>
    <w:lvl w:ilvl="5" w:tplc="C2386AB2">
      <w:numFmt w:val="bullet"/>
      <w:lvlText w:val="•"/>
      <w:lvlJc w:val="left"/>
      <w:pPr>
        <w:ind w:left="5243" w:hanging="675"/>
      </w:pPr>
      <w:rPr>
        <w:rFonts w:hint="default"/>
        <w:lang w:val="en-GB" w:eastAsia="en-US" w:bidi="ar-SA"/>
      </w:rPr>
    </w:lvl>
    <w:lvl w:ilvl="6" w:tplc="90D01238">
      <w:numFmt w:val="bullet"/>
      <w:lvlText w:val="•"/>
      <w:lvlJc w:val="left"/>
      <w:pPr>
        <w:ind w:left="6123" w:hanging="675"/>
      </w:pPr>
      <w:rPr>
        <w:rFonts w:hint="default"/>
        <w:lang w:val="en-GB" w:eastAsia="en-US" w:bidi="ar-SA"/>
      </w:rPr>
    </w:lvl>
    <w:lvl w:ilvl="7" w:tplc="736676EA">
      <w:numFmt w:val="bullet"/>
      <w:lvlText w:val="•"/>
      <w:lvlJc w:val="left"/>
      <w:pPr>
        <w:ind w:left="7004" w:hanging="675"/>
      </w:pPr>
      <w:rPr>
        <w:rFonts w:hint="default"/>
        <w:lang w:val="en-GB" w:eastAsia="en-US" w:bidi="ar-SA"/>
      </w:rPr>
    </w:lvl>
    <w:lvl w:ilvl="8" w:tplc="7A0EE578">
      <w:numFmt w:val="bullet"/>
      <w:lvlText w:val="•"/>
      <w:lvlJc w:val="left"/>
      <w:pPr>
        <w:ind w:left="7885" w:hanging="675"/>
      </w:pPr>
      <w:rPr>
        <w:rFonts w:hint="default"/>
        <w:lang w:val="en-GB" w:eastAsia="en-US" w:bidi="ar-SA"/>
      </w:rPr>
    </w:lvl>
  </w:abstractNum>
  <w:abstractNum w:abstractNumId="6">
    <w:nsid w:val="049C7AD1"/>
    <w:multiLevelType w:val="hybridMultilevel"/>
    <w:tmpl w:val="E21E27D4"/>
    <w:lvl w:ilvl="0" w:tplc="4330EFD0">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C0BA2134">
      <w:numFmt w:val="bullet"/>
      <w:lvlText w:val="•"/>
      <w:lvlJc w:val="left"/>
      <w:pPr>
        <w:ind w:left="1445" w:hanging="361"/>
      </w:pPr>
      <w:rPr>
        <w:rFonts w:hint="default"/>
        <w:lang w:val="en-GB" w:eastAsia="en-US" w:bidi="ar-SA"/>
      </w:rPr>
    </w:lvl>
    <w:lvl w:ilvl="2" w:tplc="39106CA0">
      <w:numFmt w:val="bullet"/>
      <w:lvlText w:val="•"/>
      <w:lvlJc w:val="left"/>
      <w:pPr>
        <w:ind w:left="2071" w:hanging="361"/>
      </w:pPr>
      <w:rPr>
        <w:rFonts w:hint="default"/>
        <w:lang w:val="en-GB" w:eastAsia="en-US" w:bidi="ar-SA"/>
      </w:rPr>
    </w:lvl>
    <w:lvl w:ilvl="3" w:tplc="D4DA2AA2">
      <w:numFmt w:val="bullet"/>
      <w:lvlText w:val="•"/>
      <w:lvlJc w:val="left"/>
      <w:pPr>
        <w:ind w:left="2697" w:hanging="361"/>
      </w:pPr>
      <w:rPr>
        <w:rFonts w:hint="default"/>
        <w:lang w:val="en-GB" w:eastAsia="en-US" w:bidi="ar-SA"/>
      </w:rPr>
    </w:lvl>
    <w:lvl w:ilvl="4" w:tplc="03E82C7C">
      <w:numFmt w:val="bullet"/>
      <w:lvlText w:val="•"/>
      <w:lvlJc w:val="left"/>
      <w:pPr>
        <w:ind w:left="3323" w:hanging="361"/>
      </w:pPr>
      <w:rPr>
        <w:rFonts w:hint="default"/>
        <w:lang w:val="en-GB" w:eastAsia="en-US" w:bidi="ar-SA"/>
      </w:rPr>
    </w:lvl>
    <w:lvl w:ilvl="5" w:tplc="ED00C4BE">
      <w:numFmt w:val="bullet"/>
      <w:lvlText w:val="•"/>
      <w:lvlJc w:val="left"/>
      <w:pPr>
        <w:ind w:left="3949" w:hanging="361"/>
      </w:pPr>
      <w:rPr>
        <w:rFonts w:hint="default"/>
        <w:lang w:val="en-GB" w:eastAsia="en-US" w:bidi="ar-SA"/>
      </w:rPr>
    </w:lvl>
    <w:lvl w:ilvl="6" w:tplc="54F8154A">
      <w:numFmt w:val="bullet"/>
      <w:lvlText w:val="•"/>
      <w:lvlJc w:val="left"/>
      <w:pPr>
        <w:ind w:left="4575" w:hanging="361"/>
      </w:pPr>
      <w:rPr>
        <w:rFonts w:hint="default"/>
        <w:lang w:val="en-GB" w:eastAsia="en-US" w:bidi="ar-SA"/>
      </w:rPr>
    </w:lvl>
    <w:lvl w:ilvl="7" w:tplc="2BB876DE">
      <w:numFmt w:val="bullet"/>
      <w:lvlText w:val="•"/>
      <w:lvlJc w:val="left"/>
      <w:pPr>
        <w:ind w:left="5201" w:hanging="361"/>
      </w:pPr>
      <w:rPr>
        <w:rFonts w:hint="default"/>
        <w:lang w:val="en-GB" w:eastAsia="en-US" w:bidi="ar-SA"/>
      </w:rPr>
    </w:lvl>
    <w:lvl w:ilvl="8" w:tplc="8F620754">
      <w:numFmt w:val="bullet"/>
      <w:lvlText w:val="•"/>
      <w:lvlJc w:val="left"/>
      <w:pPr>
        <w:ind w:left="5827" w:hanging="361"/>
      </w:pPr>
      <w:rPr>
        <w:rFonts w:hint="default"/>
        <w:lang w:val="en-GB" w:eastAsia="en-US" w:bidi="ar-SA"/>
      </w:rPr>
    </w:lvl>
  </w:abstractNum>
  <w:abstractNum w:abstractNumId="7">
    <w:nsid w:val="04EF74E1"/>
    <w:multiLevelType w:val="hybridMultilevel"/>
    <w:tmpl w:val="6FCA1BBA"/>
    <w:lvl w:ilvl="0" w:tplc="FE82734A">
      <w:start w:val="3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70C9D8C">
      <w:numFmt w:val="bullet"/>
      <w:lvlText w:val="•"/>
      <w:lvlJc w:val="left"/>
      <w:pPr>
        <w:ind w:left="1612" w:hanging="552"/>
      </w:pPr>
      <w:rPr>
        <w:rFonts w:hint="default"/>
        <w:lang w:val="en-GB" w:eastAsia="en-US" w:bidi="ar-SA"/>
      </w:rPr>
    </w:lvl>
    <w:lvl w:ilvl="2" w:tplc="ACF23B10">
      <w:numFmt w:val="bullet"/>
      <w:lvlText w:val="•"/>
      <w:lvlJc w:val="left"/>
      <w:pPr>
        <w:ind w:left="2505" w:hanging="552"/>
      </w:pPr>
      <w:rPr>
        <w:rFonts w:hint="default"/>
        <w:lang w:val="en-GB" w:eastAsia="en-US" w:bidi="ar-SA"/>
      </w:rPr>
    </w:lvl>
    <w:lvl w:ilvl="3" w:tplc="26922024">
      <w:numFmt w:val="bullet"/>
      <w:lvlText w:val="•"/>
      <w:lvlJc w:val="left"/>
      <w:pPr>
        <w:ind w:left="3397" w:hanging="552"/>
      </w:pPr>
      <w:rPr>
        <w:rFonts w:hint="default"/>
        <w:lang w:val="en-GB" w:eastAsia="en-US" w:bidi="ar-SA"/>
      </w:rPr>
    </w:lvl>
    <w:lvl w:ilvl="4" w:tplc="62780FC4">
      <w:numFmt w:val="bullet"/>
      <w:lvlText w:val="•"/>
      <w:lvlJc w:val="left"/>
      <w:pPr>
        <w:ind w:left="4290" w:hanging="552"/>
      </w:pPr>
      <w:rPr>
        <w:rFonts w:hint="default"/>
        <w:lang w:val="en-GB" w:eastAsia="en-US" w:bidi="ar-SA"/>
      </w:rPr>
    </w:lvl>
    <w:lvl w:ilvl="5" w:tplc="58F064B6">
      <w:numFmt w:val="bullet"/>
      <w:lvlText w:val="•"/>
      <w:lvlJc w:val="left"/>
      <w:pPr>
        <w:ind w:left="5183" w:hanging="552"/>
      </w:pPr>
      <w:rPr>
        <w:rFonts w:hint="default"/>
        <w:lang w:val="en-GB" w:eastAsia="en-US" w:bidi="ar-SA"/>
      </w:rPr>
    </w:lvl>
    <w:lvl w:ilvl="6" w:tplc="18363E5C">
      <w:numFmt w:val="bullet"/>
      <w:lvlText w:val="•"/>
      <w:lvlJc w:val="left"/>
      <w:pPr>
        <w:ind w:left="6075" w:hanging="552"/>
      </w:pPr>
      <w:rPr>
        <w:rFonts w:hint="default"/>
        <w:lang w:val="en-GB" w:eastAsia="en-US" w:bidi="ar-SA"/>
      </w:rPr>
    </w:lvl>
    <w:lvl w:ilvl="7" w:tplc="C2442642">
      <w:numFmt w:val="bullet"/>
      <w:lvlText w:val="•"/>
      <w:lvlJc w:val="left"/>
      <w:pPr>
        <w:ind w:left="6968" w:hanging="552"/>
      </w:pPr>
      <w:rPr>
        <w:rFonts w:hint="default"/>
        <w:lang w:val="en-GB" w:eastAsia="en-US" w:bidi="ar-SA"/>
      </w:rPr>
    </w:lvl>
    <w:lvl w:ilvl="8" w:tplc="1CC61DB0">
      <w:numFmt w:val="bullet"/>
      <w:lvlText w:val="•"/>
      <w:lvlJc w:val="left"/>
      <w:pPr>
        <w:ind w:left="7861" w:hanging="552"/>
      </w:pPr>
      <w:rPr>
        <w:rFonts w:hint="default"/>
        <w:lang w:val="en-GB" w:eastAsia="en-US" w:bidi="ar-SA"/>
      </w:rPr>
    </w:lvl>
  </w:abstractNum>
  <w:abstractNum w:abstractNumId="8">
    <w:nsid w:val="050C3E4E"/>
    <w:multiLevelType w:val="hybridMultilevel"/>
    <w:tmpl w:val="D25EEDB8"/>
    <w:lvl w:ilvl="0" w:tplc="38C403A6">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36F6DBC2">
      <w:numFmt w:val="bullet"/>
      <w:lvlText w:val="•"/>
      <w:lvlJc w:val="left"/>
      <w:pPr>
        <w:ind w:left="810" w:hanging="360"/>
      </w:pPr>
      <w:rPr>
        <w:rFonts w:hint="default"/>
        <w:lang w:val="en-GB" w:eastAsia="en-US" w:bidi="ar-SA"/>
      </w:rPr>
    </w:lvl>
    <w:lvl w:ilvl="2" w:tplc="1C2E7498">
      <w:numFmt w:val="bullet"/>
      <w:lvlText w:val="•"/>
      <w:lvlJc w:val="left"/>
      <w:pPr>
        <w:ind w:left="1160" w:hanging="360"/>
      </w:pPr>
      <w:rPr>
        <w:rFonts w:hint="default"/>
        <w:lang w:val="en-GB" w:eastAsia="en-US" w:bidi="ar-SA"/>
      </w:rPr>
    </w:lvl>
    <w:lvl w:ilvl="3" w:tplc="771C0ADE">
      <w:numFmt w:val="bullet"/>
      <w:lvlText w:val="•"/>
      <w:lvlJc w:val="left"/>
      <w:pPr>
        <w:ind w:left="1510" w:hanging="360"/>
      </w:pPr>
      <w:rPr>
        <w:rFonts w:hint="default"/>
        <w:lang w:val="en-GB" w:eastAsia="en-US" w:bidi="ar-SA"/>
      </w:rPr>
    </w:lvl>
    <w:lvl w:ilvl="4" w:tplc="56820B62">
      <w:numFmt w:val="bullet"/>
      <w:lvlText w:val="•"/>
      <w:lvlJc w:val="left"/>
      <w:pPr>
        <w:ind w:left="1860" w:hanging="360"/>
      </w:pPr>
      <w:rPr>
        <w:rFonts w:hint="default"/>
        <w:lang w:val="en-GB" w:eastAsia="en-US" w:bidi="ar-SA"/>
      </w:rPr>
    </w:lvl>
    <w:lvl w:ilvl="5" w:tplc="EA541682">
      <w:numFmt w:val="bullet"/>
      <w:lvlText w:val="•"/>
      <w:lvlJc w:val="left"/>
      <w:pPr>
        <w:ind w:left="2210" w:hanging="360"/>
      </w:pPr>
      <w:rPr>
        <w:rFonts w:hint="default"/>
        <w:lang w:val="en-GB" w:eastAsia="en-US" w:bidi="ar-SA"/>
      </w:rPr>
    </w:lvl>
    <w:lvl w:ilvl="6" w:tplc="CE50809E">
      <w:numFmt w:val="bullet"/>
      <w:lvlText w:val="•"/>
      <w:lvlJc w:val="left"/>
      <w:pPr>
        <w:ind w:left="2560" w:hanging="360"/>
      </w:pPr>
      <w:rPr>
        <w:rFonts w:hint="default"/>
        <w:lang w:val="en-GB" w:eastAsia="en-US" w:bidi="ar-SA"/>
      </w:rPr>
    </w:lvl>
    <w:lvl w:ilvl="7" w:tplc="CD3AB7B4">
      <w:numFmt w:val="bullet"/>
      <w:lvlText w:val="•"/>
      <w:lvlJc w:val="left"/>
      <w:pPr>
        <w:ind w:left="2910" w:hanging="360"/>
      </w:pPr>
      <w:rPr>
        <w:rFonts w:hint="default"/>
        <w:lang w:val="en-GB" w:eastAsia="en-US" w:bidi="ar-SA"/>
      </w:rPr>
    </w:lvl>
    <w:lvl w:ilvl="8" w:tplc="0A524A98">
      <w:numFmt w:val="bullet"/>
      <w:lvlText w:val="•"/>
      <w:lvlJc w:val="left"/>
      <w:pPr>
        <w:ind w:left="3260" w:hanging="360"/>
      </w:pPr>
      <w:rPr>
        <w:rFonts w:hint="default"/>
        <w:lang w:val="en-GB" w:eastAsia="en-US" w:bidi="ar-SA"/>
      </w:rPr>
    </w:lvl>
  </w:abstractNum>
  <w:abstractNum w:abstractNumId="9">
    <w:nsid w:val="063B2A18"/>
    <w:multiLevelType w:val="hybridMultilevel"/>
    <w:tmpl w:val="0D049E84"/>
    <w:lvl w:ilvl="0" w:tplc="9BF8E570">
      <w:start w:val="103"/>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B1C093F0">
      <w:numFmt w:val="bullet"/>
      <w:lvlText w:val="•"/>
      <w:lvlJc w:val="left"/>
      <w:pPr>
        <w:ind w:left="1720" w:hanging="675"/>
      </w:pPr>
      <w:rPr>
        <w:rFonts w:hint="default"/>
        <w:lang w:val="en-GB" w:eastAsia="en-US" w:bidi="ar-SA"/>
      </w:rPr>
    </w:lvl>
    <w:lvl w:ilvl="2" w:tplc="E06087AE">
      <w:numFmt w:val="bullet"/>
      <w:lvlText w:val="•"/>
      <w:lvlJc w:val="left"/>
      <w:pPr>
        <w:ind w:left="2601" w:hanging="675"/>
      </w:pPr>
      <w:rPr>
        <w:rFonts w:hint="default"/>
        <w:lang w:val="en-GB" w:eastAsia="en-US" w:bidi="ar-SA"/>
      </w:rPr>
    </w:lvl>
    <w:lvl w:ilvl="3" w:tplc="A5925538">
      <w:numFmt w:val="bullet"/>
      <w:lvlText w:val="•"/>
      <w:lvlJc w:val="left"/>
      <w:pPr>
        <w:ind w:left="3481" w:hanging="675"/>
      </w:pPr>
      <w:rPr>
        <w:rFonts w:hint="default"/>
        <w:lang w:val="en-GB" w:eastAsia="en-US" w:bidi="ar-SA"/>
      </w:rPr>
    </w:lvl>
    <w:lvl w:ilvl="4" w:tplc="A5C2A262">
      <w:numFmt w:val="bullet"/>
      <w:lvlText w:val="•"/>
      <w:lvlJc w:val="left"/>
      <w:pPr>
        <w:ind w:left="4362" w:hanging="675"/>
      </w:pPr>
      <w:rPr>
        <w:rFonts w:hint="default"/>
        <w:lang w:val="en-GB" w:eastAsia="en-US" w:bidi="ar-SA"/>
      </w:rPr>
    </w:lvl>
    <w:lvl w:ilvl="5" w:tplc="FA5AE02E">
      <w:numFmt w:val="bullet"/>
      <w:lvlText w:val="•"/>
      <w:lvlJc w:val="left"/>
      <w:pPr>
        <w:ind w:left="5243" w:hanging="675"/>
      </w:pPr>
      <w:rPr>
        <w:rFonts w:hint="default"/>
        <w:lang w:val="en-GB" w:eastAsia="en-US" w:bidi="ar-SA"/>
      </w:rPr>
    </w:lvl>
    <w:lvl w:ilvl="6" w:tplc="01DA6356">
      <w:numFmt w:val="bullet"/>
      <w:lvlText w:val="•"/>
      <w:lvlJc w:val="left"/>
      <w:pPr>
        <w:ind w:left="6123" w:hanging="675"/>
      </w:pPr>
      <w:rPr>
        <w:rFonts w:hint="default"/>
        <w:lang w:val="en-GB" w:eastAsia="en-US" w:bidi="ar-SA"/>
      </w:rPr>
    </w:lvl>
    <w:lvl w:ilvl="7" w:tplc="594ACA7E">
      <w:numFmt w:val="bullet"/>
      <w:lvlText w:val="•"/>
      <w:lvlJc w:val="left"/>
      <w:pPr>
        <w:ind w:left="7004" w:hanging="675"/>
      </w:pPr>
      <w:rPr>
        <w:rFonts w:hint="default"/>
        <w:lang w:val="en-GB" w:eastAsia="en-US" w:bidi="ar-SA"/>
      </w:rPr>
    </w:lvl>
    <w:lvl w:ilvl="8" w:tplc="DA023950">
      <w:numFmt w:val="bullet"/>
      <w:lvlText w:val="•"/>
      <w:lvlJc w:val="left"/>
      <w:pPr>
        <w:ind w:left="7885" w:hanging="675"/>
      </w:pPr>
      <w:rPr>
        <w:rFonts w:hint="default"/>
        <w:lang w:val="en-GB" w:eastAsia="en-US" w:bidi="ar-SA"/>
      </w:rPr>
    </w:lvl>
  </w:abstractNum>
  <w:abstractNum w:abstractNumId="10">
    <w:nsid w:val="06580121"/>
    <w:multiLevelType w:val="hybridMultilevel"/>
    <w:tmpl w:val="E272E20A"/>
    <w:lvl w:ilvl="0" w:tplc="5C360EC8">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4ABA383A">
      <w:numFmt w:val="bullet"/>
      <w:lvlText w:val="•"/>
      <w:lvlJc w:val="left"/>
      <w:pPr>
        <w:ind w:left="579" w:hanging="286"/>
      </w:pPr>
      <w:rPr>
        <w:rFonts w:hint="default"/>
        <w:lang w:val="en-GB" w:eastAsia="en-US" w:bidi="ar-SA"/>
      </w:rPr>
    </w:lvl>
    <w:lvl w:ilvl="2" w:tplc="957C60E6">
      <w:numFmt w:val="bullet"/>
      <w:lvlText w:val="•"/>
      <w:lvlJc w:val="left"/>
      <w:pPr>
        <w:ind w:left="719" w:hanging="286"/>
      </w:pPr>
      <w:rPr>
        <w:rFonts w:hint="default"/>
        <w:lang w:val="en-GB" w:eastAsia="en-US" w:bidi="ar-SA"/>
      </w:rPr>
    </w:lvl>
    <w:lvl w:ilvl="3" w:tplc="B90446CA">
      <w:numFmt w:val="bullet"/>
      <w:lvlText w:val="•"/>
      <w:lvlJc w:val="left"/>
      <w:pPr>
        <w:ind w:left="859" w:hanging="286"/>
      </w:pPr>
      <w:rPr>
        <w:rFonts w:hint="default"/>
        <w:lang w:val="en-GB" w:eastAsia="en-US" w:bidi="ar-SA"/>
      </w:rPr>
    </w:lvl>
    <w:lvl w:ilvl="4" w:tplc="3430A722">
      <w:numFmt w:val="bullet"/>
      <w:lvlText w:val="•"/>
      <w:lvlJc w:val="left"/>
      <w:pPr>
        <w:ind w:left="999" w:hanging="286"/>
      </w:pPr>
      <w:rPr>
        <w:rFonts w:hint="default"/>
        <w:lang w:val="en-GB" w:eastAsia="en-US" w:bidi="ar-SA"/>
      </w:rPr>
    </w:lvl>
    <w:lvl w:ilvl="5" w:tplc="69787EE2">
      <w:numFmt w:val="bullet"/>
      <w:lvlText w:val="•"/>
      <w:lvlJc w:val="left"/>
      <w:pPr>
        <w:ind w:left="1139" w:hanging="286"/>
      </w:pPr>
      <w:rPr>
        <w:rFonts w:hint="default"/>
        <w:lang w:val="en-GB" w:eastAsia="en-US" w:bidi="ar-SA"/>
      </w:rPr>
    </w:lvl>
    <w:lvl w:ilvl="6" w:tplc="27E87960">
      <w:numFmt w:val="bullet"/>
      <w:lvlText w:val="•"/>
      <w:lvlJc w:val="left"/>
      <w:pPr>
        <w:ind w:left="1278" w:hanging="286"/>
      </w:pPr>
      <w:rPr>
        <w:rFonts w:hint="default"/>
        <w:lang w:val="en-GB" w:eastAsia="en-US" w:bidi="ar-SA"/>
      </w:rPr>
    </w:lvl>
    <w:lvl w:ilvl="7" w:tplc="F57414B6">
      <w:numFmt w:val="bullet"/>
      <w:lvlText w:val="•"/>
      <w:lvlJc w:val="left"/>
      <w:pPr>
        <w:ind w:left="1418" w:hanging="286"/>
      </w:pPr>
      <w:rPr>
        <w:rFonts w:hint="default"/>
        <w:lang w:val="en-GB" w:eastAsia="en-US" w:bidi="ar-SA"/>
      </w:rPr>
    </w:lvl>
    <w:lvl w:ilvl="8" w:tplc="CBE803D0">
      <w:numFmt w:val="bullet"/>
      <w:lvlText w:val="•"/>
      <w:lvlJc w:val="left"/>
      <w:pPr>
        <w:ind w:left="1558" w:hanging="286"/>
      </w:pPr>
      <w:rPr>
        <w:rFonts w:hint="default"/>
        <w:lang w:val="en-GB" w:eastAsia="en-US" w:bidi="ar-SA"/>
      </w:rPr>
    </w:lvl>
  </w:abstractNum>
  <w:abstractNum w:abstractNumId="11">
    <w:nsid w:val="066626D4"/>
    <w:multiLevelType w:val="hybridMultilevel"/>
    <w:tmpl w:val="83EA2FA4"/>
    <w:lvl w:ilvl="0" w:tplc="FA4035C0">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60505A7A">
      <w:numFmt w:val="bullet"/>
      <w:lvlText w:val="•"/>
      <w:lvlJc w:val="left"/>
      <w:pPr>
        <w:ind w:left="1486" w:hanging="430"/>
      </w:pPr>
      <w:rPr>
        <w:rFonts w:hint="default"/>
        <w:lang w:val="en-GB" w:eastAsia="en-US" w:bidi="ar-SA"/>
      </w:rPr>
    </w:lvl>
    <w:lvl w:ilvl="2" w:tplc="54281C44">
      <w:numFmt w:val="bullet"/>
      <w:lvlText w:val="•"/>
      <w:lvlJc w:val="left"/>
      <w:pPr>
        <w:ind w:left="2393" w:hanging="430"/>
      </w:pPr>
      <w:rPr>
        <w:rFonts w:hint="default"/>
        <w:lang w:val="en-GB" w:eastAsia="en-US" w:bidi="ar-SA"/>
      </w:rPr>
    </w:lvl>
    <w:lvl w:ilvl="3" w:tplc="9FC497D2">
      <w:numFmt w:val="bullet"/>
      <w:lvlText w:val="•"/>
      <w:lvlJc w:val="left"/>
      <w:pPr>
        <w:ind w:left="3299" w:hanging="430"/>
      </w:pPr>
      <w:rPr>
        <w:rFonts w:hint="default"/>
        <w:lang w:val="en-GB" w:eastAsia="en-US" w:bidi="ar-SA"/>
      </w:rPr>
    </w:lvl>
    <w:lvl w:ilvl="4" w:tplc="D6B20CB2">
      <w:numFmt w:val="bullet"/>
      <w:lvlText w:val="•"/>
      <w:lvlJc w:val="left"/>
      <w:pPr>
        <w:ind w:left="4206" w:hanging="430"/>
      </w:pPr>
      <w:rPr>
        <w:rFonts w:hint="default"/>
        <w:lang w:val="en-GB" w:eastAsia="en-US" w:bidi="ar-SA"/>
      </w:rPr>
    </w:lvl>
    <w:lvl w:ilvl="5" w:tplc="6226C096">
      <w:numFmt w:val="bullet"/>
      <w:lvlText w:val="•"/>
      <w:lvlJc w:val="left"/>
      <w:pPr>
        <w:ind w:left="5113" w:hanging="430"/>
      </w:pPr>
      <w:rPr>
        <w:rFonts w:hint="default"/>
        <w:lang w:val="en-GB" w:eastAsia="en-US" w:bidi="ar-SA"/>
      </w:rPr>
    </w:lvl>
    <w:lvl w:ilvl="6" w:tplc="F0B4BB34">
      <w:numFmt w:val="bullet"/>
      <w:lvlText w:val="•"/>
      <w:lvlJc w:val="left"/>
      <w:pPr>
        <w:ind w:left="6019" w:hanging="430"/>
      </w:pPr>
      <w:rPr>
        <w:rFonts w:hint="default"/>
        <w:lang w:val="en-GB" w:eastAsia="en-US" w:bidi="ar-SA"/>
      </w:rPr>
    </w:lvl>
    <w:lvl w:ilvl="7" w:tplc="373A02E2">
      <w:numFmt w:val="bullet"/>
      <w:lvlText w:val="•"/>
      <w:lvlJc w:val="left"/>
      <w:pPr>
        <w:ind w:left="6926" w:hanging="430"/>
      </w:pPr>
      <w:rPr>
        <w:rFonts w:hint="default"/>
        <w:lang w:val="en-GB" w:eastAsia="en-US" w:bidi="ar-SA"/>
      </w:rPr>
    </w:lvl>
    <w:lvl w:ilvl="8" w:tplc="E182BFBA">
      <w:numFmt w:val="bullet"/>
      <w:lvlText w:val="•"/>
      <w:lvlJc w:val="left"/>
      <w:pPr>
        <w:ind w:left="7833" w:hanging="430"/>
      </w:pPr>
      <w:rPr>
        <w:rFonts w:hint="default"/>
        <w:lang w:val="en-GB" w:eastAsia="en-US" w:bidi="ar-SA"/>
      </w:rPr>
    </w:lvl>
  </w:abstractNum>
  <w:abstractNum w:abstractNumId="12">
    <w:nsid w:val="06D5599E"/>
    <w:multiLevelType w:val="hybridMultilevel"/>
    <w:tmpl w:val="99607B9E"/>
    <w:lvl w:ilvl="0" w:tplc="E1809FBC">
      <w:numFmt w:val="bullet"/>
      <w:lvlText w:val=""/>
      <w:lvlJc w:val="left"/>
      <w:pPr>
        <w:ind w:left="465" w:hanging="360"/>
      </w:pPr>
      <w:rPr>
        <w:rFonts w:ascii="Symbol" w:eastAsia="Symbol" w:hAnsi="Symbol" w:cs="Symbol" w:hint="default"/>
        <w:b w:val="0"/>
        <w:bCs w:val="0"/>
        <w:i w:val="0"/>
        <w:iCs w:val="0"/>
        <w:w w:val="99"/>
        <w:sz w:val="20"/>
        <w:szCs w:val="20"/>
        <w:lang w:val="en-GB" w:eastAsia="en-US" w:bidi="ar-SA"/>
      </w:rPr>
    </w:lvl>
    <w:lvl w:ilvl="1" w:tplc="6958F5B8">
      <w:numFmt w:val="bullet"/>
      <w:lvlText w:val="•"/>
      <w:lvlJc w:val="left"/>
      <w:pPr>
        <w:ind w:left="772" w:hanging="360"/>
      </w:pPr>
      <w:rPr>
        <w:rFonts w:hint="default"/>
        <w:lang w:val="en-GB" w:eastAsia="en-US" w:bidi="ar-SA"/>
      </w:rPr>
    </w:lvl>
    <w:lvl w:ilvl="2" w:tplc="287EC9FA">
      <w:numFmt w:val="bullet"/>
      <w:lvlText w:val="•"/>
      <w:lvlJc w:val="left"/>
      <w:pPr>
        <w:ind w:left="1084" w:hanging="360"/>
      </w:pPr>
      <w:rPr>
        <w:rFonts w:hint="default"/>
        <w:lang w:val="en-GB" w:eastAsia="en-US" w:bidi="ar-SA"/>
      </w:rPr>
    </w:lvl>
    <w:lvl w:ilvl="3" w:tplc="1EE82ED0">
      <w:numFmt w:val="bullet"/>
      <w:lvlText w:val="•"/>
      <w:lvlJc w:val="left"/>
      <w:pPr>
        <w:ind w:left="1396" w:hanging="360"/>
      </w:pPr>
      <w:rPr>
        <w:rFonts w:hint="default"/>
        <w:lang w:val="en-GB" w:eastAsia="en-US" w:bidi="ar-SA"/>
      </w:rPr>
    </w:lvl>
    <w:lvl w:ilvl="4" w:tplc="6B32B712">
      <w:numFmt w:val="bullet"/>
      <w:lvlText w:val="•"/>
      <w:lvlJc w:val="left"/>
      <w:pPr>
        <w:ind w:left="1708" w:hanging="360"/>
      </w:pPr>
      <w:rPr>
        <w:rFonts w:hint="default"/>
        <w:lang w:val="en-GB" w:eastAsia="en-US" w:bidi="ar-SA"/>
      </w:rPr>
    </w:lvl>
    <w:lvl w:ilvl="5" w:tplc="B74A2776">
      <w:numFmt w:val="bullet"/>
      <w:lvlText w:val="•"/>
      <w:lvlJc w:val="left"/>
      <w:pPr>
        <w:ind w:left="2020" w:hanging="360"/>
      </w:pPr>
      <w:rPr>
        <w:rFonts w:hint="default"/>
        <w:lang w:val="en-GB" w:eastAsia="en-US" w:bidi="ar-SA"/>
      </w:rPr>
    </w:lvl>
    <w:lvl w:ilvl="6" w:tplc="3EA0E9F8">
      <w:numFmt w:val="bullet"/>
      <w:lvlText w:val="•"/>
      <w:lvlJc w:val="left"/>
      <w:pPr>
        <w:ind w:left="2332" w:hanging="360"/>
      </w:pPr>
      <w:rPr>
        <w:rFonts w:hint="default"/>
        <w:lang w:val="en-GB" w:eastAsia="en-US" w:bidi="ar-SA"/>
      </w:rPr>
    </w:lvl>
    <w:lvl w:ilvl="7" w:tplc="4C8632D4">
      <w:numFmt w:val="bullet"/>
      <w:lvlText w:val="•"/>
      <w:lvlJc w:val="left"/>
      <w:pPr>
        <w:ind w:left="2644" w:hanging="360"/>
      </w:pPr>
      <w:rPr>
        <w:rFonts w:hint="default"/>
        <w:lang w:val="en-GB" w:eastAsia="en-US" w:bidi="ar-SA"/>
      </w:rPr>
    </w:lvl>
    <w:lvl w:ilvl="8" w:tplc="46DCE9E8">
      <w:numFmt w:val="bullet"/>
      <w:lvlText w:val="•"/>
      <w:lvlJc w:val="left"/>
      <w:pPr>
        <w:ind w:left="2956" w:hanging="360"/>
      </w:pPr>
      <w:rPr>
        <w:rFonts w:hint="default"/>
        <w:lang w:val="en-GB" w:eastAsia="en-US" w:bidi="ar-SA"/>
      </w:rPr>
    </w:lvl>
  </w:abstractNum>
  <w:abstractNum w:abstractNumId="13">
    <w:nsid w:val="072411C0"/>
    <w:multiLevelType w:val="hybridMultilevel"/>
    <w:tmpl w:val="564C2C82"/>
    <w:lvl w:ilvl="0" w:tplc="EAE28198">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4058D8C8">
      <w:numFmt w:val="bullet"/>
      <w:lvlText w:val="•"/>
      <w:lvlJc w:val="left"/>
      <w:pPr>
        <w:ind w:left="1409" w:hanging="360"/>
      </w:pPr>
      <w:rPr>
        <w:rFonts w:hint="default"/>
        <w:lang w:val="en-GB" w:eastAsia="en-US" w:bidi="ar-SA"/>
      </w:rPr>
    </w:lvl>
    <w:lvl w:ilvl="2" w:tplc="291C9002">
      <w:numFmt w:val="bullet"/>
      <w:lvlText w:val="•"/>
      <w:lvlJc w:val="left"/>
      <w:pPr>
        <w:ind w:left="1999" w:hanging="360"/>
      </w:pPr>
      <w:rPr>
        <w:rFonts w:hint="default"/>
        <w:lang w:val="en-GB" w:eastAsia="en-US" w:bidi="ar-SA"/>
      </w:rPr>
    </w:lvl>
    <w:lvl w:ilvl="3" w:tplc="032AB12C">
      <w:numFmt w:val="bullet"/>
      <w:lvlText w:val="•"/>
      <w:lvlJc w:val="left"/>
      <w:pPr>
        <w:ind w:left="2588" w:hanging="360"/>
      </w:pPr>
      <w:rPr>
        <w:rFonts w:hint="default"/>
        <w:lang w:val="en-GB" w:eastAsia="en-US" w:bidi="ar-SA"/>
      </w:rPr>
    </w:lvl>
    <w:lvl w:ilvl="4" w:tplc="76E22E8E">
      <w:numFmt w:val="bullet"/>
      <w:lvlText w:val="•"/>
      <w:lvlJc w:val="left"/>
      <w:pPr>
        <w:ind w:left="3178" w:hanging="360"/>
      </w:pPr>
      <w:rPr>
        <w:rFonts w:hint="default"/>
        <w:lang w:val="en-GB" w:eastAsia="en-US" w:bidi="ar-SA"/>
      </w:rPr>
    </w:lvl>
    <w:lvl w:ilvl="5" w:tplc="5882FD60">
      <w:numFmt w:val="bullet"/>
      <w:lvlText w:val="•"/>
      <w:lvlJc w:val="left"/>
      <w:pPr>
        <w:ind w:left="3768" w:hanging="360"/>
      </w:pPr>
      <w:rPr>
        <w:rFonts w:hint="default"/>
        <w:lang w:val="en-GB" w:eastAsia="en-US" w:bidi="ar-SA"/>
      </w:rPr>
    </w:lvl>
    <w:lvl w:ilvl="6" w:tplc="10609164">
      <w:numFmt w:val="bullet"/>
      <w:lvlText w:val="•"/>
      <w:lvlJc w:val="left"/>
      <w:pPr>
        <w:ind w:left="4357" w:hanging="360"/>
      </w:pPr>
      <w:rPr>
        <w:rFonts w:hint="default"/>
        <w:lang w:val="en-GB" w:eastAsia="en-US" w:bidi="ar-SA"/>
      </w:rPr>
    </w:lvl>
    <w:lvl w:ilvl="7" w:tplc="518828BE">
      <w:numFmt w:val="bullet"/>
      <w:lvlText w:val="•"/>
      <w:lvlJc w:val="left"/>
      <w:pPr>
        <w:ind w:left="4947" w:hanging="360"/>
      </w:pPr>
      <w:rPr>
        <w:rFonts w:hint="default"/>
        <w:lang w:val="en-GB" w:eastAsia="en-US" w:bidi="ar-SA"/>
      </w:rPr>
    </w:lvl>
    <w:lvl w:ilvl="8" w:tplc="4B28ACDA">
      <w:numFmt w:val="bullet"/>
      <w:lvlText w:val="•"/>
      <w:lvlJc w:val="left"/>
      <w:pPr>
        <w:ind w:left="5536" w:hanging="360"/>
      </w:pPr>
      <w:rPr>
        <w:rFonts w:hint="default"/>
        <w:lang w:val="en-GB" w:eastAsia="en-US" w:bidi="ar-SA"/>
      </w:rPr>
    </w:lvl>
  </w:abstractNum>
  <w:abstractNum w:abstractNumId="14">
    <w:nsid w:val="07CD7035"/>
    <w:multiLevelType w:val="hybridMultilevel"/>
    <w:tmpl w:val="FC3878A2"/>
    <w:lvl w:ilvl="0" w:tplc="76901764">
      <w:start w:val="1"/>
      <w:numFmt w:val="lowerLetter"/>
      <w:lvlText w:val="(%1)"/>
      <w:lvlJc w:val="left"/>
      <w:pPr>
        <w:ind w:left="880" w:hanging="720"/>
        <w:jc w:val="left"/>
      </w:pPr>
      <w:rPr>
        <w:rFonts w:ascii="Arial" w:eastAsia="Arial" w:hAnsi="Arial" w:cs="Arial" w:hint="default"/>
        <w:b/>
        <w:bCs/>
        <w:i w:val="0"/>
        <w:iCs w:val="0"/>
        <w:spacing w:val="-1"/>
        <w:w w:val="100"/>
        <w:sz w:val="22"/>
        <w:szCs w:val="22"/>
        <w:lang w:val="en-GB" w:eastAsia="en-US" w:bidi="ar-SA"/>
      </w:rPr>
    </w:lvl>
    <w:lvl w:ilvl="1" w:tplc="B6267D74">
      <w:numFmt w:val="bullet"/>
      <w:lvlText w:val="•"/>
      <w:lvlJc w:val="left"/>
      <w:pPr>
        <w:ind w:left="1756" w:hanging="720"/>
      </w:pPr>
      <w:rPr>
        <w:rFonts w:hint="default"/>
        <w:lang w:val="en-GB" w:eastAsia="en-US" w:bidi="ar-SA"/>
      </w:rPr>
    </w:lvl>
    <w:lvl w:ilvl="2" w:tplc="3D8A2FD6">
      <w:numFmt w:val="bullet"/>
      <w:lvlText w:val="•"/>
      <w:lvlJc w:val="left"/>
      <w:pPr>
        <w:ind w:left="2633" w:hanging="720"/>
      </w:pPr>
      <w:rPr>
        <w:rFonts w:hint="default"/>
        <w:lang w:val="en-GB" w:eastAsia="en-US" w:bidi="ar-SA"/>
      </w:rPr>
    </w:lvl>
    <w:lvl w:ilvl="3" w:tplc="AF6C63E2">
      <w:numFmt w:val="bullet"/>
      <w:lvlText w:val="•"/>
      <w:lvlJc w:val="left"/>
      <w:pPr>
        <w:ind w:left="3509" w:hanging="720"/>
      </w:pPr>
      <w:rPr>
        <w:rFonts w:hint="default"/>
        <w:lang w:val="en-GB" w:eastAsia="en-US" w:bidi="ar-SA"/>
      </w:rPr>
    </w:lvl>
    <w:lvl w:ilvl="4" w:tplc="49F833C6">
      <w:numFmt w:val="bullet"/>
      <w:lvlText w:val="•"/>
      <w:lvlJc w:val="left"/>
      <w:pPr>
        <w:ind w:left="4386" w:hanging="720"/>
      </w:pPr>
      <w:rPr>
        <w:rFonts w:hint="default"/>
        <w:lang w:val="en-GB" w:eastAsia="en-US" w:bidi="ar-SA"/>
      </w:rPr>
    </w:lvl>
    <w:lvl w:ilvl="5" w:tplc="C4FECF62">
      <w:numFmt w:val="bullet"/>
      <w:lvlText w:val="•"/>
      <w:lvlJc w:val="left"/>
      <w:pPr>
        <w:ind w:left="5263" w:hanging="720"/>
      </w:pPr>
      <w:rPr>
        <w:rFonts w:hint="default"/>
        <w:lang w:val="en-GB" w:eastAsia="en-US" w:bidi="ar-SA"/>
      </w:rPr>
    </w:lvl>
    <w:lvl w:ilvl="6" w:tplc="9FB0C426">
      <w:numFmt w:val="bullet"/>
      <w:lvlText w:val="•"/>
      <w:lvlJc w:val="left"/>
      <w:pPr>
        <w:ind w:left="6139" w:hanging="720"/>
      </w:pPr>
      <w:rPr>
        <w:rFonts w:hint="default"/>
        <w:lang w:val="en-GB" w:eastAsia="en-US" w:bidi="ar-SA"/>
      </w:rPr>
    </w:lvl>
    <w:lvl w:ilvl="7" w:tplc="65444CE0">
      <w:numFmt w:val="bullet"/>
      <w:lvlText w:val="•"/>
      <w:lvlJc w:val="left"/>
      <w:pPr>
        <w:ind w:left="7016" w:hanging="720"/>
      </w:pPr>
      <w:rPr>
        <w:rFonts w:hint="default"/>
        <w:lang w:val="en-GB" w:eastAsia="en-US" w:bidi="ar-SA"/>
      </w:rPr>
    </w:lvl>
    <w:lvl w:ilvl="8" w:tplc="8F6EE36A">
      <w:numFmt w:val="bullet"/>
      <w:lvlText w:val="•"/>
      <w:lvlJc w:val="left"/>
      <w:pPr>
        <w:ind w:left="7893" w:hanging="720"/>
      </w:pPr>
      <w:rPr>
        <w:rFonts w:hint="default"/>
        <w:lang w:val="en-GB" w:eastAsia="en-US" w:bidi="ar-SA"/>
      </w:rPr>
    </w:lvl>
  </w:abstractNum>
  <w:abstractNum w:abstractNumId="15">
    <w:nsid w:val="085131A5"/>
    <w:multiLevelType w:val="hybridMultilevel"/>
    <w:tmpl w:val="80E8DA06"/>
    <w:lvl w:ilvl="0" w:tplc="9350D78C">
      <w:start w:val="5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D8EEBC04">
      <w:numFmt w:val="bullet"/>
      <w:lvlText w:val="•"/>
      <w:lvlJc w:val="left"/>
      <w:pPr>
        <w:ind w:left="1612" w:hanging="552"/>
      </w:pPr>
      <w:rPr>
        <w:rFonts w:hint="default"/>
        <w:lang w:val="en-GB" w:eastAsia="en-US" w:bidi="ar-SA"/>
      </w:rPr>
    </w:lvl>
    <w:lvl w:ilvl="2" w:tplc="7322733E">
      <w:numFmt w:val="bullet"/>
      <w:lvlText w:val="•"/>
      <w:lvlJc w:val="left"/>
      <w:pPr>
        <w:ind w:left="2505" w:hanging="552"/>
      </w:pPr>
      <w:rPr>
        <w:rFonts w:hint="default"/>
        <w:lang w:val="en-GB" w:eastAsia="en-US" w:bidi="ar-SA"/>
      </w:rPr>
    </w:lvl>
    <w:lvl w:ilvl="3" w:tplc="9BAA3A34">
      <w:numFmt w:val="bullet"/>
      <w:lvlText w:val="•"/>
      <w:lvlJc w:val="left"/>
      <w:pPr>
        <w:ind w:left="3397" w:hanging="552"/>
      </w:pPr>
      <w:rPr>
        <w:rFonts w:hint="default"/>
        <w:lang w:val="en-GB" w:eastAsia="en-US" w:bidi="ar-SA"/>
      </w:rPr>
    </w:lvl>
    <w:lvl w:ilvl="4" w:tplc="3910750C">
      <w:numFmt w:val="bullet"/>
      <w:lvlText w:val="•"/>
      <w:lvlJc w:val="left"/>
      <w:pPr>
        <w:ind w:left="4290" w:hanging="552"/>
      </w:pPr>
      <w:rPr>
        <w:rFonts w:hint="default"/>
        <w:lang w:val="en-GB" w:eastAsia="en-US" w:bidi="ar-SA"/>
      </w:rPr>
    </w:lvl>
    <w:lvl w:ilvl="5" w:tplc="ABB83CA0">
      <w:numFmt w:val="bullet"/>
      <w:lvlText w:val="•"/>
      <w:lvlJc w:val="left"/>
      <w:pPr>
        <w:ind w:left="5183" w:hanging="552"/>
      </w:pPr>
      <w:rPr>
        <w:rFonts w:hint="default"/>
        <w:lang w:val="en-GB" w:eastAsia="en-US" w:bidi="ar-SA"/>
      </w:rPr>
    </w:lvl>
    <w:lvl w:ilvl="6" w:tplc="41944330">
      <w:numFmt w:val="bullet"/>
      <w:lvlText w:val="•"/>
      <w:lvlJc w:val="left"/>
      <w:pPr>
        <w:ind w:left="6075" w:hanging="552"/>
      </w:pPr>
      <w:rPr>
        <w:rFonts w:hint="default"/>
        <w:lang w:val="en-GB" w:eastAsia="en-US" w:bidi="ar-SA"/>
      </w:rPr>
    </w:lvl>
    <w:lvl w:ilvl="7" w:tplc="E1DC5BB8">
      <w:numFmt w:val="bullet"/>
      <w:lvlText w:val="•"/>
      <w:lvlJc w:val="left"/>
      <w:pPr>
        <w:ind w:left="6968" w:hanging="552"/>
      </w:pPr>
      <w:rPr>
        <w:rFonts w:hint="default"/>
        <w:lang w:val="en-GB" w:eastAsia="en-US" w:bidi="ar-SA"/>
      </w:rPr>
    </w:lvl>
    <w:lvl w:ilvl="8" w:tplc="063205F0">
      <w:numFmt w:val="bullet"/>
      <w:lvlText w:val="•"/>
      <w:lvlJc w:val="left"/>
      <w:pPr>
        <w:ind w:left="7861" w:hanging="552"/>
      </w:pPr>
      <w:rPr>
        <w:rFonts w:hint="default"/>
        <w:lang w:val="en-GB" w:eastAsia="en-US" w:bidi="ar-SA"/>
      </w:rPr>
    </w:lvl>
  </w:abstractNum>
  <w:abstractNum w:abstractNumId="16">
    <w:nsid w:val="085849DD"/>
    <w:multiLevelType w:val="hybridMultilevel"/>
    <w:tmpl w:val="BA70EEF8"/>
    <w:lvl w:ilvl="0" w:tplc="4B3464FA">
      <w:start w:val="103"/>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516ACDBC">
      <w:numFmt w:val="bullet"/>
      <w:lvlText w:val="•"/>
      <w:lvlJc w:val="left"/>
      <w:pPr>
        <w:ind w:left="1720" w:hanging="675"/>
      </w:pPr>
      <w:rPr>
        <w:rFonts w:hint="default"/>
        <w:lang w:val="en-GB" w:eastAsia="en-US" w:bidi="ar-SA"/>
      </w:rPr>
    </w:lvl>
    <w:lvl w:ilvl="2" w:tplc="5CB4ED36">
      <w:numFmt w:val="bullet"/>
      <w:lvlText w:val="•"/>
      <w:lvlJc w:val="left"/>
      <w:pPr>
        <w:ind w:left="2601" w:hanging="675"/>
      </w:pPr>
      <w:rPr>
        <w:rFonts w:hint="default"/>
        <w:lang w:val="en-GB" w:eastAsia="en-US" w:bidi="ar-SA"/>
      </w:rPr>
    </w:lvl>
    <w:lvl w:ilvl="3" w:tplc="C2DAB1EC">
      <w:numFmt w:val="bullet"/>
      <w:lvlText w:val="•"/>
      <w:lvlJc w:val="left"/>
      <w:pPr>
        <w:ind w:left="3481" w:hanging="675"/>
      </w:pPr>
      <w:rPr>
        <w:rFonts w:hint="default"/>
        <w:lang w:val="en-GB" w:eastAsia="en-US" w:bidi="ar-SA"/>
      </w:rPr>
    </w:lvl>
    <w:lvl w:ilvl="4" w:tplc="374A87CE">
      <w:numFmt w:val="bullet"/>
      <w:lvlText w:val="•"/>
      <w:lvlJc w:val="left"/>
      <w:pPr>
        <w:ind w:left="4362" w:hanging="675"/>
      </w:pPr>
      <w:rPr>
        <w:rFonts w:hint="default"/>
        <w:lang w:val="en-GB" w:eastAsia="en-US" w:bidi="ar-SA"/>
      </w:rPr>
    </w:lvl>
    <w:lvl w:ilvl="5" w:tplc="67E41F6E">
      <w:numFmt w:val="bullet"/>
      <w:lvlText w:val="•"/>
      <w:lvlJc w:val="left"/>
      <w:pPr>
        <w:ind w:left="5243" w:hanging="675"/>
      </w:pPr>
      <w:rPr>
        <w:rFonts w:hint="default"/>
        <w:lang w:val="en-GB" w:eastAsia="en-US" w:bidi="ar-SA"/>
      </w:rPr>
    </w:lvl>
    <w:lvl w:ilvl="6" w:tplc="2A321B10">
      <w:numFmt w:val="bullet"/>
      <w:lvlText w:val="•"/>
      <w:lvlJc w:val="left"/>
      <w:pPr>
        <w:ind w:left="6123" w:hanging="675"/>
      </w:pPr>
      <w:rPr>
        <w:rFonts w:hint="default"/>
        <w:lang w:val="en-GB" w:eastAsia="en-US" w:bidi="ar-SA"/>
      </w:rPr>
    </w:lvl>
    <w:lvl w:ilvl="7" w:tplc="8AD206A4">
      <w:numFmt w:val="bullet"/>
      <w:lvlText w:val="•"/>
      <w:lvlJc w:val="left"/>
      <w:pPr>
        <w:ind w:left="7004" w:hanging="675"/>
      </w:pPr>
      <w:rPr>
        <w:rFonts w:hint="default"/>
        <w:lang w:val="en-GB" w:eastAsia="en-US" w:bidi="ar-SA"/>
      </w:rPr>
    </w:lvl>
    <w:lvl w:ilvl="8" w:tplc="0EE4B2B4">
      <w:numFmt w:val="bullet"/>
      <w:lvlText w:val="•"/>
      <w:lvlJc w:val="left"/>
      <w:pPr>
        <w:ind w:left="7885" w:hanging="675"/>
      </w:pPr>
      <w:rPr>
        <w:rFonts w:hint="default"/>
        <w:lang w:val="en-GB" w:eastAsia="en-US" w:bidi="ar-SA"/>
      </w:rPr>
    </w:lvl>
  </w:abstractNum>
  <w:abstractNum w:abstractNumId="17">
    <w:nsid w:val="09605ABD"/>
    <w:multiLevelType w:val="hybridMultilevel"/>
    <w:tmpl w:val="78F8507A"/>
    <w:lvl w:ilvl="0" w:tplc="E08858D4">
      <w:start w:val="5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6908612">
      <w:numFmt w:val="bullet"/>
      <w:lvlText w:val="•"/>
      <w:lvlJc w:val="left"/>
      <w:pPr>
        <w:ind w:left="1612" w:hanging="552"/>
      </w:pPr>
      <w:rPr>
        <w:rFonts w:hint="default"/>
        <w:lang w:val="en-GB" w:eastAsia="en-US" w:bidi="ar-SA"/>
      </w:rPr>
    </w:lvl>
    <w:lvl w:ilvl="2" w:tplc="E41CB724">
      <w:numFmt w:val="bullet"/>
      <w:lvlText w:val="•"/>
      <w:lvlJc w:val="left"/>
      <w:pPr>
        <w:ind w:left="2505" w:hanging="552"/>
      </w:pPr>
      <w:rPr>
        <w:rFonts w:hint="default"/>
        <w:lang w:val="en-GB" w:eastAsia="en-US" w:bidi="ar-SA"/>
      </w:rPr>
    </w:lvl>
    <w:lvl w:ilvl="3" w:tplc="6CD0DBD8">
      <w:numFmt w:val="bullet"/>
      <w:lvlText w:val="•"/>
      <w:lvlJc w:val="left"/>
      <w:pPr>
        <w:ind w:left="3397" w:hanging="552"/>
      </w:pPr>
      <w:rPr>
        <w:rFonts w:hint="default"/>
        <w:lang w:val="en-GB" w:eastAsia="en-US" w:bidi="ar-SA"/>
      </w:rPr>
    </w:lvl>
    <w:lvl w:ilvl="4" w:tplc="A24CCF06">
      <w:numFmt w:val="bullet"/>
      <w:lvlText w:val="•"/>
      <w:lvlJc w:val="left"/>
      <w:pPr>
        <w:ind w:left="4290" w:hanging="552"/>
      </w:pPr>
      <w:rPr>
        <w:rFonts w:hint="default"/>
        <w:lang w:val="en-GB" w:eastAsia="en-US" w:bidi="ar-SA"/>
      </w:rPr>
    </w:lvl>
    <w:lvl w:ilvl="5" w:tplc="97504C3E">
      <w:numFmt w:val="bullet"/>
      <w:lvlText w:val="•"/>
      <w:lvlJc w:val="left"/>
      <w:pPr>
        <w:ind w:left="5183" w:hanging="552"/>
      </w:pPr>
      <w:rPr>
        <w:rFonts w:hint="default"/>
        <w:lang w:val="en-GB" w:eastAsia="en-US" w:bidi="ar-SA"/>
      </w:rPr>
    </w:lvl>
    <w:lvl w:ilvl="6" w:tplc="3C6C88B0">
      <w:numFmt w:val="bullet"/>
      <w:lvlText w:val="•"/>
      <w:lvlJc w:val="left"/>
      <w:pPr>
        <w:ind w:left="6075" w:hanging="552"/>
      </w:pPr>
      <w:rPr>
        <w:rFonts w:hint="default"/>
        <w:lang w:val="en-GB" w:eastAsia="en-US" w:bidi="ar-SA"/>
      </w:rPr>
    </w:lvl>
    <w:lvl w:ilvl="7" w:tplc="6EF4E0BA">
      <w:numFmt w:val="bullet"/>
      <w:lvlText w:val="•"/>
      <w:lvlJc w:val="left"/>
      <w:pPr>
        <w:ind w:left="6968" w:hanging="552"/>
      </w:pPr>
      <w:rPr>
        <w:rFonts w:hint="default"/>
        <w:lang w:val="en-GB" w:eastAsia="en-US" w:bidi="ar-SA"/>
      </w:rPr>
    </w:lvl>
    <w:lvl w:ilvl="8" w:tplc="DE9CC838">
      <w:numFmt w:val="bullet"/>
      <w:lvlText w:val="•"/>
      <w:lvlJc w:val="left"/>
      <w:pPr>
        <w:ind w:left="7861" w:hanging="552"/>
      </w:pPr>
      <w:rPr>
        <w:rFonts w:hint="default"/>
        <w:lang w:val="en-GB" w:eastAsia="en-US" w:bidi="ar-SA"/>
      </w:rPr>
    </w:lvl>
  </w:abstractNum>
  <w:abstractNum w:abstractNumId="18">
    <w:nsid w:val="096D4095"/>
    <w:multiLevelType w:val="hybridMultilevel"/>
    <w:tmpl w:val="A5868E54"/>
    <w:lvl w:ilvl="0" w:tplc="A8C63A0E">
      <w:start w:val="7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7DEEA73E">
      <w:numFmt w:val="bullet"/>
      <w:lvlText w:val="•"/>
      <w:lvlJc w:val="left"/>
      <w:pPr>
        <w:ind w:left="1612" w:hanging="552"/>
      </w:pPr>
      <w:rPr>
        <w:rFonts w:hint="default"/>
        <w:lang w:val="en-GB" w:eastAsia="en-US" w:bidi="ar-SA"/>
      </w:rPr>
    </w:lvl>
    <w:lvl w:ilvl="2" w:tplc="90C8E2AA">
      <w:numFmt w:val="bullet"/>
      <w:lvlText w:val="•"/>
      <w:lvlJc w:val="left"/>
      <w:pPr>
        <w:ind w:left="2505" w:hanging="552"/>
      </w:pPr>
      <w:rPr>
        <w:rFonts w:hint="default"/>
        <w:lang w:val="en-GB" w:eastAsia="en-US" w:bidi="ar-SA"/>
      </w:rPr>
    </w:lvl>
    <w:lvl w:ilvl="3" w:tplc="4A96D108">
      <w:numFmt w:val="bullet"/>
      <w:lvlText w:val="•"/>
      <w:lvlJc w:val="left"/>
      <w:pPr>
        <w:ind w:left="3397" w:hanging="552"/>
      </w:pPr>
      <w:rPr>
        <w:rFonts w:hint="default"/>
        <w:lang w:val="en-GB" w:eastAsia="en-US" w:bidi="ar-SA"/>
      </w:rPr>
    </w:lvl>
    <w:lvl w:ilvl="4" w:tplc="B4A6CD32">
      <w:numFmt w:val="bullet"/>
      <w:lvlText w:val="•"/>
      <w:lvlJc w:val="left"/>
      <w:pPr>
        <w:ind w:left="4290" w:hanging="552"/>
      </w:pPr>
      <w:rPr>
        <w:rFonts w:hint="default"/>
        <w:lang w:val="en-GB" w:eastAsia="en-US" w:bidi="ar-SA"/>
      </w:rPr>
    </w:lvl>
    <w:lvl w:ilvl="5" w:tplc="9A0EA464">
      <w:numFmt w:val="bullet"/>
      <w:lvlText w:val="•"/>
      <w:lvlJc w:val="left"/>
      <w:pPr>
        <w:ind w:left="5183" w:hanging="552"/>
      </w:pPr>
      <w:rPr>
        <w:rFonts w:hint="default"/>
        <w:lang w:val="en-GB" w:eastAsia="en-US" w:bidi="ar-SA"/>
      </w:rPr>
    </w:lvl>
    <w:lvl w:ilvl="6" w:tplc="14CADF0E">
      <w:numFmt w:val="bullet"/>
      <w:lvlText w:val="•"/>
      <w:lvlJc w:val="left"/>
      <w:pPr>
        <w:ind w:left="6075" w:hanging="552"/>
      </w:pPr>
      <w:rPr>
        <w:rFonts w:hint="default"/>
        <w:lang w:val="en-GB" w:eastAsia="en-US" w:bidi="ar-SA"/>
      </w:rPr>
    </w:lvl>
    <w:lvl w:ilvl="7" w:tplc="A252AB72">
      <w:numFmt w:val="bullet"/>
      <w:lvlText w:val="•"/>
      <w:lvlJc w:val="left"/>
      <w:pPr>
        <w:ind w:left="6968" w:hanging="552"/>
      </w:pPr>
      <w:rPr>
        <w:rFonts w:hint="default"/>
        <w:lang w:val="en-GB" w:eastAsia="en-US" w:bidi="ar-SA"/>
      </w:rPr>
    </w:lvl>
    <w:lvl w:ilvl="8" w:tplc="AD3EA23E">
      <w:numFmt w:val="bullet"/>
      <w:lvlText w:val="•"/>
      <w:lvlJc w:val="left"/>
      <w:pPr>
        <w:ind w:left="7861" w:hanging="552"/>
      </w:pPr>
      <w:rPr>
        <w:rFonts w:hint="default"/>
        <w:lang w:val="en-GB" w:eastAsia="en-US" w:bidi="ar-SA"/>
      </w:rPr>
    </w:lvl>
  </w:abstractNum>
  <w:abstractNum w:abstractNumId="19">
    <w:nsid w:val="0A5464A0"/>
    <w:multiLevelType w:val="hybridMultilevel"/>
    <w:tmpl w:val="19D429B2"/>
    <w:lvl w:ilvl="0" w:tplc="DD56E634">
      <w:start w:val="11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F29A95BC">
      <w:numFmt w:val="bullet"/>
      <w:lvlText w:val="•"/>
      <w:lvlJc w:val="left"/>
      <w:pPr>
        <w:ind w:left="1720" w:hanging="675"/>
      </w:pPr>
      <w:rPr>
        <w:rFonts w:hint="default"/>
        <w:lang w:val="en-GB" w:eastAsia="en-US" w:bidi="ar-SA"/>
      </w:rPr>
    </w:lvl>
    <w:lvl w:ilvl="2" w:tplc="BB0ADF7E">
      <w:numFmt w:val="bullet"/>
      <w:lvlText w:val="•"/>
      <w:lvlJc w:val="left"/>
      <w:pPr>
        <w:ind w:left="2601" w:hanging="675"/>
      </w:pPr>
      <w:rPr>
        <w:rFonts w:hint="default"/>
        <w:lang w:val="en-GB" w:eastAsia="en-US" w:bidi="ar-SA"/>
      </w:rPr>
    </w:lvl>
    <w:lvl w:ilvl="3" w:tplc="8E20F296">
      <w:numFmt w:val="bullet"/>
      <w:lvlText w:val="•"/>
      <w:lvlJc w:val="left"/>
      <w:pPr>
        <w:ind w:left="3481" w:hanging="675"/>
      </w:pPr>
      <w:rPr>
        <w:rFonts w:hint="default"/>
        <w:lang w:val="en-GB" w:eastAsia="en-US" w:bidi="ar-SA"/>
      </w:rPr>
    </w:lvl>
    <w:lvl w:ilvl="4" w:tplc="F5985D76">
      <w:numFmt w:val="bullet"/>
      <w:lvlText w:val="•"/>
      <w:lvlJc w:val="left"/>
      <w:pPr>
        <w:ind w:left="4362" w:hanging="675"/>
      </w:pPr>
      <w:rPr>
        <w:rFonts w:hint="default"/>
        <w:lang w:val="en-GB" w:eastAsia="en-US" w:bidi="ar-SA"/>
      </w:rPr>
    </w:lvl>
    <w:lvl w:ilvl="5" w:tplc="E40674B4">
      <w:numFmt w:val="bullet"/>
      <w:lvlText w:val="•"/>
      <w:lvlJc w:val="left"/>
      <w:pPr>
        <w:ind w:left="5243" w:hanging="675"/>
      </w:pPr>
      <w:rPr>
        <w:rFonts w:hint="default"/>
        <w:lang w:val="en-GB" w:eastAsia="en-US" w:bidi="ar-SA"/>
      </w:rPr>
    </w:lvl>
    <w:lvl w:ilvl="6" w:tplc="77BA8E40">
      <w:numFmt w:val="bullet"/>
      <w:lvlText w:val="•"/>
      <w:lvlJc w:val="left"/>
      <w:pPr>
        <w:ind w:left="6123" w:hanging="675"/>
      </w:pPr>
      <w:rPr>
        <w:rFonts w:hint="default"/>
        <w:lang w:val="en-GB" w:eastAsia="en-US" w:bidi="ar-SA"/>
      </w:rPr>
    </w:lvl>
    <w:lvl w:ilvl="7" w:tplc="8E68D2F8">
      <w:numFmt w:val="bullet"/>
      <w:lvlText w:val="•"/>
      <w:lvlJc w:val="left"/>
      <w:pPr>
        <w:ind w:left="7004" w:hanging="675"/>
      </w:pPr>
      <w:rPr>
        <w:rFonts w:hint="default"/>
        <w:lang w:val="en-GB" w:eastAsia="en-US" w:bidi="ar-SA"/>
      </w:rPr>
    </w:lvl>
    <w:lvl w:ilvl="8" w:tplc="126E57BE">
      <w:numFmt w:val="bullet"/>
      <w:lvlText w:val="•"/>
      <w:lvlJc w:val="left"/>
      <w:pPr>
        <w:ind w:left="7885" w:hanging="675"/>
      </w:pPr>
      <w:rPr>
        <w:rFonts w:hint="default"/>
        <w:lang w:val="en-GB" w:eastAsia="en-US" w:bidi="ar-SA"/>
      </w:rPr>
    </w:lvl>
  </w:abstractNum>
  <w:abstractNum w:abstractNumId="20">
    <w:nsid w:val="0ACC78B8"/>
    <w:multiLevelType w:val="hybridMultilevel"/>
    <w:tmpl w:val="EF504ED6"/>
    <w:lvl w:ilvl="0" w:tplc="DE060C00">
      <w:start w:val="46"/>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B10246D6">
      <w:numFmt w:val="bullet"/>
      <w:lvlText w:val="•"/>
      <w:lvlJc w:val="left"/>
      <w:pPr>
        <w:ind w:left="1612" w:hanging="552"/>
      </w:pPr>
      <w:rPr>
        <w:rFonts w:hint="default"/>
        <w:lang w:val="en-GB" w:eastAsia="en-US" w:bidi="ar-SA"/>
      </w:rPr>
    </w:lvl>
    <w:lvl w:ilvl="2" w:tplc="FABEFBF6">
      <w:numFmt w:val="bullet"/>
      <w:lvlText w:val="•"/>
      <w:lvlJc w:val="left"/>
      <w:pPr>
        <w:ind w:left="2505" w:hanging="552"/>
      </w:pPr>
      <w:rPr>
        <w:rFonts w:hint="default"/>
        <w:lang w:val="en-GB" w:eastAsia="en-US" w:bidi="ar-SA"/>
      </w:rPr>
    </w:lvl>
    <w:lvl w:ilvl="3" w:tplc="92C65420">
      <w:numFmt w:val="bullet"/>
      <w:lvlText w:val="•"/>
      <w:lvlJc w:val="left"/>
      <w:pPr>
        <w:ind w:left="3397" w:hanging="552"/>
      </w:pPr>
      <w:rPr>
        <w:rFonts w:hint="default"/>
        <w:lang w:val="en-GB" w:eastAsia="en-US" w:bidi="ar-SA"/>
      </w:rPr>
    </w:lvl>
    <w:lvl w:ilvl="4" w:tplc="E6D050E0">
      <w:numFmt w:val="bullet"/>
      <w:lvlText w:val="•"/>
      <w:lvlJc w:val="left"/>
      <w:pPr>
        <w:ind w:left="4290" w:hanging="552"/>
      </w:pPr>
      <w:rPr>
        <w:rFonts w:hint="default"/>
        <w:lang w:val="en-GB" w:eastAsia="en-US" w:bidi="ar-SA"/>
      </w:rPr>
    </w:lvl>
    <w:lvl w:ilvl="5" w:tplc="2C6A5916">
      <w:numFmt w:val="bullet"/>
      <w:lvlText w:val="•"/>
      <w:lvlJc w:val="left"/>
      <w:pPr>
        <w:ind w:left="5183" w:hanging="552"/>
      </w:pPr>
      <w:rPr>
        <w:rFonts w:hint="default"/>
        <w:lang w:val="en-GB" w:eastAsia="en-US" w:bidi="ar-SA"/>
      </w:rPr>
    </w:lvl>
    <w:lvl w:ilvl="6" w:tplc="3AECEA5A">
      <w:numFmt w:val="bullet"/>
      <w:lvlText w:val="•"/>
      <w:lvlJc w:val="left"/>
      <w:pPr>
        <w:ind w:left="6075" w:hanging="552"/>
      </w:pPr>
      <w:rPr>
        <w:rFonts w:hint="default"/>
        <w:lang w:val="en-GB" w:eastAsia="en-US" w:bidi="ar-SA"/>
      </w:rPr>
    </w:lvl>
    <w:lvl w:ilvl="7" w:tplc="18C83438">
      <w:numFmt w:val="bullet"/>
      <w:lvlText w:val="•"/>
      <w:lvlJc w:val="left"/>
      <w:pPr>
        <w:ind w:left="6968" w:hanging="552"/>
      </w:pPr>
      <w:rPr>
        <w:rFonts w:hint="default"/>
        <w:lang w:val="en-GB" w:eastAsia="en-US" w:bidi="ar-SA"/>
      </w:rPr>
    </w:lvl>
    <w:lvl w:ilvl="8" w:tplc="97F4F1F0">
      <w:numFmt w:val="bullet"/>
      <w:lvlText w:val="•"/>
      <w:lvlJc w:val="left"/>
      <w:pPr>
        <w:ind w:left="7861" w:hanging="552"/>
      </w:pPr>
      <w:rPr>
        <w:rFonts w:hint="default"/>
        <w:lang w:val="en-GB" w:eastAsia="en-US" w:bidi="ar-SA"/>
      </w:rPr>
    </w:lvl>
  </w:abstractNum>
  <w:abstractNum w:abstractNumId="21">
    <w:nsid w:val="0B196A6D"/>
    <w:multiLevelType w:val="hybridMultilevel"/>
    <w:tmpl w:val="425ADFAC"/>
    <w:lvl w:ilvl="0" w:tplc="6A12D6E0">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C79C631C">
      <w:numFmt w:val="bullet"/>
      <w:lvlText w:val="•"/>
      <w:lvlJc w:val="left"/>
      <w:pPr>
        <w:ind w:left="798" w:hanging="360"/>
      </w:pPr>
      <w:rPr>
        <w:rFonts w:hint="default"/>
        <w:lang w:val="en-GB" w:eastAsia="en-US" w:bidi="ar-SA"/>
      </w:rPr>
    </w:lvl>
    <w:lvl w:ilvl="2" w:tplc="C15A4704">
      <w:numFmt w:val="bullet"/>
      <w:lvlText w:val="•"/>
      <w:lvlJc w:val="left"/>
      <w:pPr>
        <w:ind w:left="1137" w:hanging="360"/>
      </w:pPr>
      <w:rPr>
        <w:rFonts w:hint="default"/>
        <w:lang w:val="en-GB" w:eastAsia="en-US" w:bidi="ar-SA"/>
      </w:rPr>
    </w:lvl>
    <w:lvl w:ilvl="3" w:tplc="BA1077FA">
      <w:numFmt w:val="bullet"/>
      <w:lvlText w:val="•"/>
      <w:lvlJc w:val="left"/>
      <w:pPr>
        <w:ind w:left="1476" w:hanging="360"/>
      </w:pPr>
      <w:rPr>
        <w:rFonts w:hint="default"/>
        <w:lang w:val="en-GB" w:eastAsia="en-US" w:bidi="ar-SA"/>
      </w:rPr>
    </w:lvl>
    <w:lvl w:ilvl="4" w:tplc="51FCC9B4">
      <w:numFmt w:val="bullet"/>
      <w:lvlText w:val="•"/>
      <w:lvlJc w:val="left"/>
      <w:pPr>
        <w:ind w:left="1815" w:hanging="360"/>
      </w:pPr>
      <w:rPr>
        <w:rFonts w:hint="default"/>
        <w:lang w:val="en-GB" w:eastAsia="en-US" w:bidi="ar-SA"/>
      </w:rPr>
    </w:lvl>
    <w:lvl w:ilvl="5" w:tplc="9FAAEA52">
      <w:numFmt w:val="bullet"/>
      <w:lvlText w:val="•"/>
      <w:lvlJc w:val="left"/>
      <w:pPr>
        <w:ind w:left="2154" w:hanging="360"/>
      </w:pPr>
      <w:rPr>
        <w:rFonts w:hint="default"/>
        <w:lang w:val="en-GB" w:eastAsia="en-US" w:bidi="ar-SA"/>
      </w:rPr>
    </w:lvl>
    <w:lvl w:ilvl="6" w:tplc="FC60A48E">
      <w:numFmt w:val="bullet"/>
      <w:lvlText w:val="•"/>
      <w:lvlJc w:val="left"/>
      <w:pPr>
        <w:ind w:left="2492" w:hanging="360"/>
      </w:pPr>
      <w:rPr>
        <w:rFonts w:hint="default"/>
        <w:lang w:val="en-GB" w:eastAsia="en-US" w:bidi="ar-SA"/>
      </w:rPr>
    </w:lvl>
    <w:lvl w:ilvl="7" w:tplc="6ED07F26">
      <w:numFmt w:val="bullet"/>
      <w:lvlText w:val="•"/>
      <w:lvlJc w:val="left"/>
      <w:pPr>
        <w:ind w:left="2831" w:hanging="360"/>
      </w:pPr>
      <w:rPr>
        <w:rFonts w:hint="default"/>
        <w:lang w:val="en-GB" w:eastAsia="en-US" w:bidi="ar-SA"/>
      </w:rPr>
    </w:lvl>
    <w:lvl w:ilvl="8" w:tplc="4CEA0F0A">
      <w:numFmt w:val="bullet"/>
      <w:lvlText w:val="•"/>
      <w:lvlJc w:val="left"/>
      <w:pPr>
        <w:ind w:left="3170" w:hanging="360"/>
      </w:pPr>
      <w:rPr>
        <w:rFonts w:hint="default"/>
        <w:lang w:val="en-GB" w:eastAsia="en-US" w:bidi="ar-SA"/>
      </w:rPr>
    </w:lvl>
  </w:abstractNum>
  <w:abstractNum w:abstractNumId="22">
    <w:nsid w:val="0B557E7A"/>
    <w:multiLevelType w:val="hybridMultilevel"/>
    <w:tmpl w:val="B6AEE4F8"/>
    <w:lvl w:ilvl="0" w:tplc="B8D4571A">
      <w:numFmt w:val="bullet"/>
      <w:lvlText w:val=""/>
      <w:lvlJc w:val="left"/>
      <w:pPr>
        <w:ind w:left="880" w:hanging="360"/>
      </w:pPr>
      <w:rPr>
        <w:rFonts w:ascii="Symbol" w:eastAsia="Symbol" w:hAnsi="Symbol" w:cs="Symbol" w:hint="default"/>
        <w:b w:val="0"/>
        <w:bCs w:val="0"/>
        <w:i w:val="0"/>
        <w:iCs w:val="0"/>
        <w:w w:val="100"/>
        <w:sz w:val="22"/>
        <w:szCs w:val="22"/>
        <w:lang w:val="en-GB" w:eastAsia="en-US" w:bidi="ar-SA"/>
      </w:rPr>
    </w:lvl>
    <w:lvl w:ilvl="1" w:tplc="06DC7634">
      <w:numFmt w:val="bullet"/>
      <w:lvlText w:val="•"/>
      <w:lvlJc w:val="left"/>
      <w:pPr>
        <w:ind w:left="1756" w:hanging="360"/>
      </w:pPr>
      <w:rPr>
        <w:rFonts w:hint="default"/>
        <w:lang w:val="en-GB" w:eastAsia="en-US" w:bidi="ar-SA"/>
      </w:rPr>
    </w:lvl>
    <w:lvl w:ilvl="2" w:tplc="2558FB1E">
      <w:numFmt w:val="bullet"/>
      <w:lvlText w:val="•"/>
      <w:lvlJc w:val="left"/>
      <w:pPr>
        <w:ind w:left="2633" w:hanging="360"/>
      </w:pPr>
      <w:rPr>
        <w:rFonts w:hint="default"/>
        <w:lang w:val="en-GB" w:eastAsia="en-US" w:bidi="ar-SA"/>
      </w:rPr>
    </w:lvl>
    <w:lvl w:ilvl="3" w:tplc="378C77FC">
      <w:numFmt w:val="bullet"/>
      <w:lvlText w:val="•"/>
      <w:lvlJc w:val="left"/>
      <w:pPr>
        <w:ind w:left="3509" w:hanging="360"/>
      </w:pPr>
      <w:rPr>
        <w:rFonts w:hint="default"/>
        <w:lang w:val="en-GB" w:eastAsia="en-US" w:bidi="ar-SA"/>
      </w:rPr>
    </w:lvl>
    <w:lvl w:ilvl="4" w:tplc="6CFA43DA">
      <w:numFmt w:val="bullet"/>
      <w:lvlText w:val="•"/>
      <w:lvlJc w:val="left"/>
      <w:pPr>
        <w:ind w:left="4386" w:hanging="360"/>
      </w:pPr>
      <w:rPr>
        <w:rFonts w:hint="default"/>
        <w:lang w:val="en-GB" w:eastAsia="en-US" w:bidi="ar-SA"/>
      </w:rPr>
    </w:lvl>
    <w:lvl w:ilvl="5" w:tplc="4CB641F6">
      <w:numFmt w:val="bullet"/>
      <w:lvlText w:val="•"/>
      <w:lvlJc w:val="left"/>
      <w:pPr>
        <w:ind w:left="5263" w:hanging="360"/>
      </w:pPr>
      <w:rPr>
        <w:rFonts w:hint="default"/>
        <w:lang w:val="en-GB" w:eastAsia="en-US" w:bidi="ar-SA"/>
      </w:rPr>
    </w:lvl>
    <w:lvl w:ilvl="6" w:tplc="D896AC56">
      <w:numFmt w:val="bullet"/>
      <w:lvlText w:val="•"/>
      <w:lvlJc w:val="left"/>
      <w:pPr>
        <w:ind w:left="6139" w:hanging="360"/>
      </w:pPr>
      <w:rPr>
        <w:rFonts w:hint="default"/>
        <w:lang w:val="en-GB" w:eastAsia="en-US" w:bidi="ar-SA"/>
      </w:rPr>
    </w:lvl>
    <w:lvl w:ilvl="7" w:tplc="F82A1A52">
      <w:numFmt w:val="bullet"/>
      <w:lvlText w:val="•"/>
      <w:lvlJc w:val="left"/>
      <w:pPr>
        <w:ind w:left="7016" w:hanging="360"/>
      </w:pPr>
      <w:rPr>
        <w:rFonts w:hint="default"/>
        <w:lang w:val="en-GB" w:eastAsia="en-US" w:bidi="ar-SA"/>
      </w:rPr>
    </w:lvl>
    <w:lvl w:ilvl="8" w:tplc="32DEF31A">
      <w:numFmt w:val="bullet"/>
      <w:lvlText w:val="•"/>
      <w:lvlJc w:val="left"/>
      <w:pPr>
        <w:ind w:left="7893" w:hanging="360"/>
      </w:pPr>
      <w:rPr>
        <w:rFonts w:hint="default"/>
        <w:lang w:val="en-GB" w:eastAsia="en-US" w:bidi="ar-SA"/>
      </w:rPr>
    </w:lvl>
  </w:abstractNum>
  <w:abstractNum w:abstractNumId="23">
    <w:nsid w:val="0C275A9C"/>
    <w:multiLevelType w:val="hybridMultilevel"/>
    <w:tmpl w:val="CC66DA06"/>
    <w:lvl w:ilvl="0" w:tplc="A538DDBE">
      <w:start w:val="14"/>
      <w:numFmt w:val="decimal"/>
      <w:lvlText w:val="%1"/>
      <w:lvlJc w:val="left"/>
      <w:pPr>
        <w:ind w:left="160" w:hanging="611"/>
        <w:jc w:val="left"/>
      </w:pPr>
      <w:rPr>
        <w:rFonts w:ascii="Arial" w:eastAsia="Arial" w:hAnsi="Arial" w:cs="Arial" w:hint="default"/>
        <w:b w:val="0"/>
        <w:bCs w:val="0"/>
        <w:i w:val="0"/>
        <w:iCs w:val="0"/>
        <w:spacing w:val="-1"/>
        <w:w w:val="100"/>
        <w:sz w:val="22"/>
        <w:szCs w:val="22"/>
        <w:lang w:val="en-GB" w:eastAsia="en-US" w:bidi="ar-SA"/>
      </w:rPr>
    </w:lvl>
    <w:lvl w:ilvl="1" w:tplc="45B2525E">
      <w:numFmt w:val="bullet"/>
      <w:lvlText w:val="•"/>
      <w:lvlJc w:val="left"/>
      <w:pPr>
        <w:ind w:left="1108" w:hanging="611"/>
      </w:pPr>
      <w:rPr>
        <w:rFonts w:hint="default"/>
        <w:lang w:val="en-GB" w:eastAsia="en-US" w:bidi="ar-SA"/>
      </w:rPr>
    </w:lvl>
    <w:lvl w:ilvl="2" w:tplc="4C2A5C78">
      <w:numFmt w:val="bullet"/>
      <w:lvlText w:val="•"/>
      <w:lvlJc w:val="left"/>
      <w:pPr>
        <w:ind w:left="2057" w:hanging="611"/>
      </w:pPr>
      <w:rPr>
        <w:rFonts w:hint="default"/>
        <w:lang w:val="en-GB" w:eastAsia="en-US" w:bidi="ar-SA"/>
      </w:rPr>
    </w:lvl>
    <w:lvl w:ilvl="3" w:tplc="FBA0B830">
      <w:numFmt w:val="bullet"/>
      <w:lvlText w:val="•"/>
      <w:lvlJc w:val="left"/>
      <w:pPr>
        <w:ind w:left="3005" w:hanging="611"/>
      </w:pPr>
      <w:rPr>
        <w:rFonts w:hint="default"/>
        <w:lang w:val="en-GB" w:eastAsia="en-US" w:bidi="ar-SA"/>
      </w:rPr>
    </w:lvl>
    <w:lvl w:ilvl="4" w:tplc="805A926A">
      <w:numFmt w:val="bullet"/>
      <w:lvlText w:val="•"/>
      <w:lvlJc w:val="left"/>
      <w:pPr>
        <w:ind w:left="3954" w:hanging="611"/>
      </w:pPr>
      <w:rPr>
        <w:rFonts w:hint="default"/>
        <w:lang w:val="en-GB" w:eastAsia="en-US" w:bidi="ar-SA"/>
      </w:rPr>
    </w:lvl>
    <w:lvl w:ilvl="5" w:tplc="775A5744">
      <w:numFmt w:val="bullet"/>
      <w:lvlText w:val="•"/>
      <w:lvlJc w:val="left"/>
      <w:pPr>
        <w:ind w:left="4903" w:hanging="611"/>
      </w:pPr>
      <w:rPr>
        <w:rFonts w:hint="default"/>
        <w:lang w:val="en-GB" w:eastAsia="en-US" w:bidi="ar-SA"/>
      </w:rPr>
    </w:lvl>
    <w:lvl w:ilvl="6" w:tplc="314C8BBC">
      <w:numFmt w:val="bullet"/>
      <w:lvlText w:val="•"/>
      <w:lvlJc w:val="left"/>
      <w:pPr>
        <w:ind w:left="5851" w:hanging="611"/>
      </w:pPr>
      <w:rPr>
        <w:rFonts w:hint="default"/>
        <w:lang w:val="en-GB" w:eastAsia="en-US" w:bidi="ar-SA"/>
      </w:rPr>
    </w:lvl>
    <w:lvl w:ilvl="7" w:tplc="50F8CF06">
      <w:numFmt w:val="bullet"/>
      <w:lvlText w:val="•"/>
      <w:lvlJc w:val="left"/>
      <w:pPr>
        <w:ind w:left="6800" w:hanging="611"/>
      </w:pPr>
      <w:rPr>
        <w:rFonts w:hint="default"/>
        <w:lang w:val="en-GB" w:eastAsia="en-US" w:bidi="ar-SA"/>
      </w:rPr>
    </w:lvl>
    <w:lvl w:ilvl="8" w:tplc="B246DA8E">
      <w:numFmt w:val="bullet"/>
      <w:lvlText w:val="•"/>
      <w:lvlJc w:val="left"/>
      <w:pPr>
        <w:ind w:left="7749" w:hanging="611"/>
      </w:pPr>
      <w:rPr>
        <w:rFonts w:hint="default"/>
        <w:lang w:val="en-GB" w:eastAsia="en-US" w:bidi="ar-SA"/>
      </w:rPr>
    </w:lvl>
  </w:abstractNum>
  <w:abstractNum w:abstractNumId="24">
    <w:nsid w:val="0CA54387"/>
    <w:multiLevelType w:val="hybridMultilevel"/>
    <w:tmpl w:val="9E6869EA"/>
    <w:lvl w:ilvl="0" w:tplc="BF70BA00">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17B01FCA">
      <w:numFmt w:val="bullet"/>
      <w:lvlText w:val="•"/>
      <w:lvlJc w:val="left"/>
      <w:pPr>
        <w:ind w:left="1431" w:hanging="360"/>
      </w:pPr>
      <w:rPr>
        <w:rFonts w:hint="default"/>
        <w:lang w:val="en-GB" w:eastAsia="en-US" w:bidi="ar-SA"/>
      </w:rPr>
    </w:lvl>
    <w:lvl w:ilvl="2" w:tplc="E2AEBECC">
      <w:numFmt w:val="bullet"/>
      <w:lvlText w:val="•"/>
      <w:lvlJc w:val="left"/>
      <w:pPr>
        <w:ind w:left="2043" w:hanging="360"/>
      </w:pPr>
      <w:rPr>
        <w:rFonts w:hint="default"/>
        <w:lang w:val="en-GB" w:eastAsia="en-US" w:bidi="ar-SA"/>
      </w:rPr>
    </w:lvl>
    <w:lvl w:ilvl="3" w:tplc="391E8140">
      <w:numFmt w:val="bullet"/>
      <w:lvlText w:val="•"/>
      <w:lvlJc w:val="left"/>
      <w:pPr>
        <w:ind w:left="2655" w:hanging="360"/>
      </w:pPr>
      <w:rPr>
        <w:rFonts w:hint="default"/>
        <w:lang w:val="en-GB" w:eastAsia="en-US" w:bidi="ar-SA"/>
      </w:rPr>
    </w:lvl>
    <w:lvl w:ilvl="4" w:tplc="D610DBBE">
      <w:numFmt w:val="bullet"/>
      <w:lvlText w:val="•"/>
      <w:lvlJc w:val="left"/>
      <w:pPr>
        <w:ind w:left="3267" w:hanging="360"/>
      </w:pPr>
      <w:rPr>
        <w:rFonts w:hint="default"/>
        <w:lang w:val="en-GB" w:eastAsia="en-US" w:bidi="ar-SA"/>
      </w:rPr>
    </w:lvl>
    <w:lvl w:ilvl="5" w:tplc="B114C0A2">
      <w:numFmt w:val="bullet"/>
      <w:lvlText w:val="•"/>
      <w:lvlJc w:val="left"/>
      <w:pPr>
        <w:ind w:left="3879" w:hanging="360"/>
      </w:pPr>
      <w:rPr>
        <w:rFonts w:hint="default"/>
        <w:lang w:val="en-GB" w:eastAsia="en-US" w:bidi="ar-SA"/>
      </w:rPr>
    </w:lvl>
    <w:lvl w:ilvl="6" w:tplc="A9AEF9D0">
      <w:numFmt w:val="bullet"/>
      <w:lvlText w:val="•"/>
      <w:lvlJc w:val="left"/>
      <w:pPr>
        <w:ind w:left="4490" w:hanging="360"/>
      </w:pPr>
      <w:rPr>
        <w:rFonts w:hint="default"/>
        <w:lang w:val="en-GB" w:eastAsia="en-US" w:bidi="ar-SA"/>
      </w:rPr>
    </w:lvl>
    <w:lvl w:ilvl="7" w:tplc="658C38A4">
      <w:numFmt w:val="bullet"/>
      <w:lvlText w:val="•"/>
      <w:lvlJc w:val="left"/>
      <w:pPr>
        <w:ind w:left="5102" w:hanging="360"/>
      </w:pPr>
      <w:rPr>
        <w:rFonts w:hint="default"/>
        <w:lang w:val="en-GB" w:eastAsia="en-US" w:bidi="ar-SA"/>
      </w:rPr>
    </w:lvl>
    <w:lvl w:ilvl="8" w:tplc="396E99BA">
      <w:numFmt w:val="bullet"/>
      <w:lvlText w:val="•"/>
      <w:lvlJc w:val="left"/>
      <w:pPr>
        <w:ind w:left="5714" w:hanging="360"/>
      </w:pPr>
      <w:rPr>
        <w:rFonts w:hint="default"/>
        <w:lang w:val="en-GB" w:eastAsia="en-US" w:bidi="ar-SA"/>
      </w:rPr>
    </w:lvl>
  </w:abstractNum>
  <w:abstractNum w:abstractNumId="25">
    <w:nsid w:val="0CB94DC8"/>
    <w:multiLevelType w:val="hybridMultilevel"/>
    <w:tmpl w:val="7AA0EA0C"/>
    <w:lvl w:ilvl="0" w:tplc="6B74DA8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C648622A">
      <w:numFmt w:val="bullet"/>
      <w:lvlText w:val="•"/>
      <w:lvlJc w:val="left"/>
      <w:pPr>
        <w:ind w:left="1445" w:hanging="361"/>
      </w:pPr>
      <w:rPr>
        <w:rFonts w:hint="default"/>
        <w:lang w:val="en-GB" w:eastAsia="en-US" w:bidi="ar-SA"/>
      </w:rPr>
    </w:lvl>
    <w:lvl w:ilvl="2" w:tplc="658C349E">
      <w:numFmt w:val="bullet"/>
      <w:lvlText w:val="•"/>
      <w:lvlJc w:val="left"/>
      <w:pPr>
        <w:ind w:left="2071" w:hanging="361"/>
      </w:pPr>
      <w:rPr>
        <w:rFonts w:hint="default"/>
        <w:lang w:val="en-GB" w:eastAsia="en-US" w:bidi="ar-SA"/>
      </w:rPr>
    </w:lvl>
    <w:lvl w:ilvl="3" w:tplc="E092FECC">
      <w:numFmt w:val="bullet"/>
      <w:lvlText w:val="•"/>
      <w:lvlJc w:val="left"/>
      <w:pPr>
        <w:ind w:left="2697" w:hanging="361"/>
      </w:pPr>
      <w:rPr>
        <w:rFonts w:hint="default"/>
        <w:lang w:val="en-GB" w:eastAsia="en-US" w:bidi="ar-SA"/>
      </w:rPr>
    </w:lvl>
    <w:lvl w:ilvl="4" w:tplc="6B96CF42">
      <w:numFmt w:val="bullet"/>
      <w:lvlText w:val="•"/>
      <w:lvlJc w:val="left"/>
      <w:pPr>
        <w:ind w:left="3323" w:hanging="361"/>
      </w:pPr>
      <w:rPr>
        <w:rFonts w:hint="default"/>
        <w:lang w:val="en-GB" w:eastAsia="en-US" w:bidi="ar-SA"/>
      </w:rPr>
    </w:lvl>
    <w:lvl w:ilvl="5" w:tplc="A04E5B30">
      <w:numFmt w:val="bullet"/>
      <w:lvlText w:val="•"/>
      <w:lvlJc w:val="left"/>
      <w:pPr>
        <w:ind w:left="3949" w:hanging="361"/>
      </w:pPr>
      <w:rPr>
        <w:rFonts w:hint="default"/>
        <w:lang w:val="en-GB" w:eastAsia="en-US" w:bidi="ar-SA"/>
      </w:rPr>
    </w:lvl>
    <w:lvl w:ilvl="6" w:tplc="B428DC1A">
      <w:numFmt w:val="bullet"/>
      <w:lvlText w:val="•"/>
      <w:lvlJc w:val="left"/>
      <w:pPr>
        <w:ind w:left="4575" w:hanging="361"/>
      </w:pPr>
      <w:rPr>
        <w:rFonts w:hint="default"/>
        <w:lang w:val="en-GB" w:eastAsia="en-US" w:bidi="ar-SA"/>
      </w:rPr>
    </w:lvl>
    <w:lvl w:ilvl="7" w:tplc="57B66CAC">
      <w:numFmt w:val="bullet"/>
      <w:lvlText w:val="•"/>
      <w:lvlJc w:val="left"/>
      <w:pPr>
        <w:ind w:left="5201" w:hanging="361"/>
      </w:pPr>
      <w:rPr>
        <w:rFonts w:hint="default"/>
        <w:lang w:val="en-GB" w:eastAsia="en-US" w:bidi="ar-SA"/>
      </w:rPr>
    </w:lvl>
    <w:lvl w:ilvl="8" w:tplc="7BF4A86A">
      <w:numFmt w:val="bullet"/>
      <w:lvlText w:val="•"/>
      <w:lvlJc w:val="left"/>
      <w:pPr>
        <w:ind w:left="5827" w:hanging="361"/>
      </w:pPr>
      <w:rPr>
        <w:rFonts w:hint="default"/>
        <w:lang w:val="en-GB" w:eastAsia="en-US" w:bidi="ar-SA"/>
      </w:rPr>
    </w:lvl>
  </w:abstractNum>
  <w:abstractNum w:abstractNumId="26">
    <w:nsid w:val="0D860D9B"/>
    <w:multiLevelType w:val="hybridMultilevel"/>
    <w:tmpl w:val="288E4EA0"/>
    <w:lvl w:ilvl="0" w:tplc="BD028AD0">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DD9081D6">
      <w:numFmt w:val="bullet"/>
      <w:lvlText w:val="•"/>
      <w:lvlJc w:val="left"/>
      <w:pPr>
        <w:ind w:left="579" w:hanging="286"/>
      </w:pPr>
      <w:rPr>
        <w:rFonts w:hint="default"/>
        <w:lang w:val="en-GB" w:eastAsia="en-US" w:bidi="ar-SA"/>
      </w:rPr>
    </w:lvl>
    <w:lvl w:ilvl="2" w:tplc="82E02A24">
      <w:numFmt w:val="bullet"/>
      <w:lvlText w:val="•"/>
      <w:lvlJc w:val="left"/>
      <w:pPr>
        <w:ind w:left="719" w:hanging="286"/>
      </w:pPr>
      <w:rPr>
        <w:rFonts w:hint="default"/>
        <w:lang w:val="en-GB" w:eastAsia="en-US" w:bidi="ar-SA"/>
      </w:rPr>
    </w:lvl>
    <w:lvl w:ilvl="3" w:tplc="F970EA6C">
      <w:numFmt w:val="bullet"/>
      <w:lvlText w:val="•"/>
      <w:lvlJc w:val="left"/>
      <w:pPr>
        <w:ind w:left="859" w:hanging="286"/>
      </w:pPr>
      <w:rPr>
        <w:rFonts w:hint="default"/>
        <w:lang w:val="en-GB" w:eastAsia="en-US" w:bidi="ar-SA"/>
      </w:rPr>
    </w:lvl>
    <w:lvl w:ilvl="4" w:tplc="DBDE4D1C">
      <w:numFmt w:val="bullet"/>
      <w:lvlText w:val="•"/>
      <w:lvlJc w:val="left"/>
      <w:pPr>
        <w:ind w:left="999" w:hanging="286"/>
      </w:pPr>
      <w:rPr>
        <w:rFonts w:hint="default"/>
        <w:lang w:val="en-GB" w:eastAsia="en-US" w:bidi="ar-SA"/>
      </w:rPr>
    </w:lvl>
    <w:lvl w:ilvl="5" w:tplc="B99E92CA">
      <w:numFmt w:val="bullet"/>
      <w:lvlText w:val="•"/>
      <w:lvlJc w:val="left"/>
      <w:pPr>
        <w:ind w:left="1139" w:hanging="286"/>
      </w:pPr>
      <w:rPr>
        <w:rFonts w:hint="default"/>
        <w:lang w:val="en-GB" w:eastAsia="en-US" w:bidi="ar-SA"/>
      </w:rPr>
    </w:lvl>
    <w:lvl w:ilvl="6" w:tplc="E9BC526C">
      <w:numFmt w:val="bullet"/>
      <w:lvlText w:val="•"/>
      <w:lvlJc w:val="left"/>
      <w:pPr>
        <w:ind w:left="1278" w:hanging="286"/>
      </w:pPr>
      <w:rPr>
        <w:rFonts w:hint="default"/>
        <w:lang w:val="en-GB" w:eastAsia="en-US" w:bidi="ar-SA"/>
      </w:rPr>
    </w:lvl>
    <w:lvl w:ilvl="7" w:tplc="65480124">
      <w:numFmt w:val="bullet"/>
      <w:lvlText w:val="•"/>
      <w:lvlJc w:val="left"/>
      <w:pPr>
        <w:ind w:left="1418" w:hanging="286"/>
      </w:pPr>
      <w:rPr>
        <w:rFonts w:hint="default"/>
        <w:lang w:val="en-GB" w:eastAsia="en-US" w:bidi="ar-SA"/>
      </w:rPr>
    </w:lvl>
    <w:lvl w:ilvl="8" w:tplc="1096C49C">
      <w:numFmt w:val="bullet"/>
      <w:lvlText w:val="•"/>
      <w:lvlJc w:val="left"/>
      <w:pPr>
        <w:ind w:left="1558" w:hanging="286"/>
      </w:pPr>
      <w:rPr>
        <w:rFonts w:hint="default"/>
        <w:lang w:val="en-GB" w:eastAsia="en-US" w:bidi="ar-SA"/>
      </w:rPr>
    </w:lvl>
  </w:abstractNum>
  <w:abstractNum w:abstractNumId="27">
    <w:nsid w:val="0E8237C7"/>
    <w:multiLevelType w:val="hybridMultilevel"/>
    <w:tmpl w:val="2BBAF69C"/>
    <w:lvl w:ilvl="0" w:tplc="832835D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AC142F2A">
      <w:numFmt w:val="bullet"/>
      <w:lvlText w:val="•"/>
      <w:lvlJc w:val="left"/>
      <w:pPr>
        <w:ind w:left="1445" w:hanging="361"/>
      </w:pPr>
      <w:rPr>
        <w:rFonts w:hint="default"/>
        <w:lang w:val="en-GB" w:eastAsia="en-US" w:bidi="ar-SA"/>
      </w:rPr>
    </w:lvl>
    <w:lvl w:ilvl="2" w:tplc="EE0A94BE">
      <w:numFmt w:val="bullet"/>
      <w:lvlText w:val="•"/>
      <w:lvlJc w:val="left"/>
      <w:pPr>
        <w:ind w:left="2071" w:hanging="361"/>
      </w:pPr>
      <w:rPr>
        <w:rFonts w:hint="default"/>
        <w:lang w:val="en-GB" w:eastAsia="en-US" w:bidi="ar-SA"/>
      </w:rPr>
    </w:lvl>
    <w:lvl w:ilvl="3" w:tplc="BA1C66B0">
      <w:numFmt w:val="bullet"/>
      <w:lvlText w:val="•"/>
      <w:lvlJc w:val="left"/>
      <w:pPr>
        <w:ind w:left="2697" w:hanging="361"/>
      </w:pPr>
      <w:rPr>
        <w:rFonts w:hint="default"/>
        <w:lang w:val="en-GB" w:eastAsia="en-US" w:bidi="ar-SA"/>
      </w:rPr>
    </w:lvl>
    <w:lvl w:ilvl="4" w:tplc="DFEAAA4C">
      <w:numFmt w:val="bullet"/>
      <w:lvlText w:val="•"/>
      <w:lvlJc w:val="left"/>
      <w:pPr>
        <w:ind w:left="3323" w:hanging="361"/>
      </w:pPr>
      <w:rPr>
        <w:rFonts w:hint="default"/>
        <w:lang w:val="en-GB" w:eastAsia="en-US" w:bidi="ar-SA"/>
      </w:rPr>
    </w:lvl>
    <w:lvl w:ilvl="5" w:tplc="B588CC90">
      <w:numFmt w:val="bullet"/>
      <w:lvlText w:val="•"/>
      <w:lvlJc w:val="left"/>
      <w:pPr>
        <w:ind w:left="3949" w:hanging="361"/>
      </w:pPr>
      <w:rPr>
        <w:rFonts w:hint="default"/>
        <w:lang w:val="en-GB" w:eastAsia="en-US" w:bidi="ar-SA"/>
      </w:rPr>
    </w:lvl>
    <w:lvl w:ilvl="6" w:tplc="6B6EE44E">
      <w:numFmt w:val="bullet"/>
      <w:lvlText w:val="•"/>
      <w:lvlJc w:val="left"/>
      <w:pPr>
        <w:ind w:left="4575" w:hanging="361"/>
      </w:pPr>
      <w:rPr>
        <w:rFonts w:hint="default"/>
        <w:lang w:val="en-GB" w:eastAsia="en-US" w:bidi="ar-SA"/>
      </w:rPr>
    </w:lvl>
    <w:lvl w:ilvl="7" w:tplc="1608AFAC">
      <w:numFmt w:val="bullet"/>
      <w:lvlText w:val="•"/>
      <w:lvlJc w:val="left"/>
      <w:pPr>
        <w:ind w:left="5201" w:hanging="361"/>
      </w:pPr>
      <w:rPr>
        <w:rFonts w:hint="default"/>
        <w:lang w:val="en-GB" w:eastAsia="en-US" w:bidi="ar-SA"/>
      </w:rPr>
    </w:lvl>
    <w:lvl w:ilvl="8" w:tplc="FBB4BA68">
      <w:numFmt w:val="bullet"/>
      <w:lvlText w:val="•"/>
      <w:lvlJc w:val="left"/>
      <w:pPr>
        <w:ind w:left="5827" w:hanging="361"/>
      </w:pPr>
      <w:rPr>
        <w:rFonts w:hint="default"/>
        <w:lang w:val="en-GB" w:eastAsia="en-US" w:bidi="ar-SA"/>
      </w:rPr>
    </w:lvl>
  </w:abstractNum>
  <w:abstractNum w:abstractNumId="28">
    <w:nsid w:val="0F112979"/>
    <w:multiLevelType w:val="hybridMultilevel"/>
    <w:tmpl w:val="8888737C"/>
    <w:lvl w:ilvl="0" w:tplc="C402F752">
      <w:start w:val="1"/>
      <w:numFmt w:val="decimal"/>
      <w:lvlText w:val="%1."/>
      <w:lvlJc w:val="left"/>
      <w:pPr>
        <w:ind w:left="105" w:hanging="221"/>
        <w:jc w:val="left"/>
      </w:pPr>
      <w:rPr>
        <w:rFonts w:ascii="Arial" w:eastAsia="Arial" w:hAnsi="Arial" w:cs="Arial" w:hint="default"/>
        <w:b w:val="0"/>
        <w:bCs w:val="0"/>
        <w:i w:val="0"/>
        <w:iCs w:val="0"/>
        <w:spacing w:val="-1"/>
        <w:w w:val="99"/>
        <w:sz w:val="20"/>
        <w:szCs w:val="20"/>
        <w:lang w:val="en-GB" w:eastAsia="en-US" w:bidi="ar-SA"/>
      </w:rPr>
    </w:lvl>
    <w:lvl w:ilvl="1" w:tplc="99A00988">
      <w:numFmt w:val="bullet"/>
      <w:lvlText w:val="•"/>
      <w:lvlJc w:val="left"/>
      <w:pPr>
        <w:ind w:left="409" w:hanging="221"/>
      </w:pPr>
      <w:rPr>
        <w:rFonts w:hint="default"/>
        <w:lang w:val="en-GB" w:eastAsia="en-US" w:bidi="ar-SA"/>
      </w:rPr>
    </w:lvl>
    <w:lvl w:ilvl="2" w:tplc="188C2CDE">
      <w:numFmt w:val="bullet"/>
      <w:lvlText w:val="•"/>
      <w:lvlJc w:val="left"/>
      <w:pPr>
        <w:ind w:left="718" w:hanging="221"/>
      </w:pPr>
      <w:rPr>
        <w:rFonts w:hint="default"/>
        <w:lang w:val="en-GB" w:eastAsia="en-US" w:bidi="ar-SA"/>
      </w:rPr>
    </w:lvl>
    <w:lvl w:ilvl="3" w:tplc="9836E648">
      <w:numFmt w:val="bullet"/>
      <w:lvlText w:val="•"/>
      <w:lvlJc w:val="left"/>
      <w:pPr>
        <w:ind w:left="1027" w:hanging="221"/>
      </w:pPr>
      <w:rPr>
        <w:rFonts w:hint="default"/>
        <w:lang w:val="en-GB" w:eastAsia="en-US" w:bidi="ar-SA"/>
      </w:rPr>
    </w:lvl>
    <w:lvl w:ilvl="4" w:tplc="F7F05640">
      <w:numFmt w:val="bullet"/>
      <w:lvlText w:val="•"/>
      <w:lvlJc w:val="left"/>
      <w:pPr>
        <w:ind w:left="1337" w:hanging="221"/>
      </w:pPr>
      <w:rPr>
        <w:rFonts w:hint="default"/>
        <w:lang w:val="en-GB" w:eastAsia="en-US" w:bidi="ar-SA"/>
      </w:rPr>
    </w:lvl>
    <w:lvl w:ilvl="5" w:tplc="430EF10E">
      <w:numFmt w:val="bullet"/>
      <w:lvlText w:val="•"/>
      <w:lvlJc w:val="left"/>
      <w:pPr>
        <w:ind w:left="1646" w:hanging="221"/>
      </w:pPr>
      <w:rPr>
        <w:rFonts w:hint="default"/>
        <w:lang w:val="en-GB" w:eastAsia="en-US" w:bidi="ar-SA"/>
      </w:rPr>
    </w:lvl>
    <w:lvl w:ilvl="6" w:tplc="2F32F9B2">
      <w:numFmt w:val="bullet"/>
      <w:lvlText w:val="•"/>
      <w:lvlJc w:val="left"/>
      <w:pPr>
        <w:ind w:left="1955" w:hanging="221"/>
      </w:pPr>
      <w:rPr>
        <w:rFonts w:hint="default"/>
        <w:lang w:val="en-GB" w:eastAsia="en-US" w:bidi="ar-SA"/>
      </w:rPr>
    </w:lvl>
    <w:lvl w:ilvl="7" w:tplc="A6A813F8">
      <w:numFmt w:val="bullet"/>
      <w:lvlText w:val="•"/>
      <w:lvlJc w:val="left"/>
      <w:pPr>
        <w:ind w:left="2265" w:hanging="221"/>
      </w:pPr>
      <w:rPr>
        <w:rFonts w:hint="default"/>
        <w:lang w:val="en-GB" w:eastAsia="en-US" w:bidi="ar-SA"/>
      </w:rPr>
    </w:lvl>
    <w:lvl w:ilvl="8" w:tplc="7A1C25BA">
      <w:numFmt w:val="bullet"/>
      <w:lvlText w:val="•"/>
      <w:lvlJc w:val="left"/>
      <w:pPr>
        <w:ind w:left="2574" w:hanging="221"/>
      </w:pPr>
      <w:rPr>
        <w:rFonts w:hint="default"/>
        <w:lang w:val="en-GB" w:eastAsia="en-US" w:bidi="ar-SA"/>
      </w:rPr>
    </w:lvl>
  </w:abstractNum>
  <w:abstractNum w:abstractNumId="29">
    <w:nsid w:val="0F2F1DCA"/>
    <w:multiLevelType w:val="hybridMultilevel"/>
    <w:tmpl w:val="10B4357A"/>
    <w:lvl w:ilvl="0" w:tplc="F81E59C0">
      <w:start w:val="46"/>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A8F66632">
      <w:numFmt w:val="bullet"/>
      <w:lvlText w:val="•"/>
      <w:lvlJc w:val="left"/>
      <w:pPr>
        <w:ind w:left="1612" w:hanging="552"/>
      </w:pPr>
      <w:rPr>
        <w:rFonts w:hint="default"/>
        <w:lang w:val="en-GB" w:eastAsia="en-US" w:bidi="ar-SA"/>
      </w:rPr>
    </w:lvl>
    <w:lvl w:ilvl="2" w:tplc="1AFE0C82">
      <w:numFmt w:val="bullet"/>
      <w:lvlText w:val="•"/>
      <w:lvlJc w:val="left"/>
      <w:pPr>
        <w:ind w:left="2505" w:hanging="552"/>
      </w:pPr>
      <w:rPr>
        <w:rFonts w:hint="default"/>
        <w:lang w:val="en-GB" w:eastAsia="en-US" w:bidi="ar-SA"/>
      </w:rPr>
    </w:lvl>
    <w:lvl w:ilvl="3" w:tplc="278681AC">
      <w:numFmt w:val="bullet"/>
      <w:lvlText w:val="•"/>
      <w:lvlJc w:val="left"/>
      <w:pPr>
        <w:ind w:left="3397" w:hanging="552"/>
      </w:pPr>
      <w:rPr>
        <w:rFonts w:hint="default"/>
        <w:lang w:val="en-GB" w:eastAsia="en-US" w:bidi="ar-SA"/>
      </w:rPr>
    </w:lvl>
    <w:lvl w:ilvl="4" w:tplc="06509BFC">
      <w:numFmt w:val="bullet"/>
      <w:lvlText w:val="•"/>
      <w:lvlJc w:val="left"/>
      <w:pPr>
        <w:ind w:left="4290" w:hanging="552"/>
      </w:pPr>
      <w:rPr>
        <w:rFonts w:hint="default"/>
        <w:lang w:val="en-GB" w:eastAsia="en-US" w:bidi="ar-SA"/>
      </w:rPr>
    </w:lvl>
    <w:lvl w:ilvl="5" w:tplc="A5F66D90">
      <w:numFmt w:val="bullet"/>
      <w:lvlText w:val="•"/>
      <w:lvlJc w:val="left"/>
      <w:pPr>
        <w:ind w:left="5183" w:hanging="552"/>
      </w:pPr>
      <w:rPr>
        <w:rFonts w:hint="default"/>
        <w:lang w:val="en-GB" w:eastAsia="en-US" w:bidi="ar-SA"/>
      </w:rPr>
    </w:lvl>
    <w:lvl w:ilvl="6" w:tplc="B400E3D2">
      <w:numFmt w:val="bullet"/>
      <w:lvlText w:val="•"/>
      <w:lvlJc w:val="left"/>
      <w:pPr>
        <w:ind w:left="6075" w:hanging="552"/>
      </w:pPr>
      <w:rPr>
        <w:rFonts w:hint="default"/>
        <w:lang w:val="en-GB" w:eastAsia="en-US" w:bidi="ar-SA"/>
      </w:rPr>
    </w:lvl>
    <w:lvl w:ilvl="7" w:tplc="80828382">
      <w:numFmt w:val="bullet"/>
      <w:lvlText w:val="•"/>
      <w:lvlJc w:val="left"/>
      <w:pPr>
        <w:ind w:left="6968" w:hanging="552"/>
      </w:pPr>
      <w:rPr>
        <w:rFonts w:hint="default"/>
        <w:lang w:val="en-GB" w:eastAsia="en-US" w:bidi="ar-SA"/>
      </w:rPr>
    </w:lvl>
    <w:lvl w:ilvl="8" w:tplc="9D322D30">
      <w:numFmt w:val="bullet"/>
      <w:lvlText w:val="•"/>
      <w:lvlJc w:val="left"/>
      <w:pPr>
        <w:ind w:left="7861" w:hanging="552"/>
      </w:pPr>
      <w:rPr>
        <w:rFonts w:hint="default"/>
        <w:lang w:val="en-GB" w:eastAsia="en-US" w:bidi="ar-SA"/>
      </w:rPr>
    </w:lvl>
  </w:abstractNum>
  <w:abstractNum w:abstractNumId="30">
    <w:nsid w:val="0F5B57EB"/>
    <w:multiLevelType w:val="hybridMultilevel"/>
    <w:tmpl w:val="51A46A9C"/>
    <w:lvl w:ilvl="0" w:tplc="6BFE8918">
      <w:start w:val="3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DC1E0B0A">
      <w:numFmt w:val="bullet"/>
      <w:lvlText w:val="•"/>
      <w:lvlJc w:val="left"/>
      <w:pPr>
        <w:ind w:left="1612" w:hanging="552"/>
      </w:pPr>
      <w:rPr>
        <w:rFonts w:hint="default"/>
        <w:lang w:val="en-GB" w:eastAsia="en-US" w:bidi="ar-SA"/>
      </w:rPr>
    </w:lvl>
    <w:lvl w:ilvl="2" w:tplc="DA744376">
      <w:numFmt w:val="bullet"/>
      <w:lvlText w:val="•"/>
      <w:lvlJc w:val="left"/>
      <w:pPr>
        <w:ind w:left="2505" w:hanging="552"/>
      </w:pPr>
      <w:rPr>
        <w:rFonts w:hint="default"/>
        <w:lang w:val="en-GB" w:eastAsia="en-US" w:bidi="ar-SA"/>
      </w:rPr>
    </w:lvl>
    <w:lvl w:ilvl="3" w:tplc="8B06F4BC">
      <w:numFmt w:val="bullet"/>
      <w:lvlText w:val="•"/>
      <w:lvlJc w:val="left"/>
      <w:pPr>
        <w:ind w:left="3397" w:hanging="552"/>
      </w:pPr>
      <w:rPr>
        <w:rFonts w:hint="default"/>
        <w:lang w:val="en-GB" w:eastAsia="en-US" w:bidi="ar-SA"/>
      </w:rPr>
    </w:lvl>
    <w:lvl w:ilvl="4" w:tplc="66982C1E">
      <w:numFmt w:val="bullet"/>
      <w:lvlText w:val="•"/>
      <w:lvlJc w:val="left"/>
      <w:pPr>
        <w:ind w:left="4290" w:hanging="552"/>
      </w:pPr>
      <w:rPr>
        <w:rFonts w:hint="default"/>
        <w:lang w:val="en-GB" w:eastAsia="en-US" w:bidi="ar-SA"/>
      </w:rPr>
    </w:lvl>
    <w:lvl w:ilvl="5" w:tplc="D3225E4A">
      <w:numFmt w:val="bullet"/>
      <w:lvlText w:val="•"/>
      <w:lvlJc w:val="left"/>
      <w:pPr>
        <w:ind w:left="5183" w:hanging="552"/>
      </w:pPr>
      <w:rPr>
        <w:rFonts w:hint="default"/>
        <w:lang w:val="en-GB" w:eastAsia="en-US" w:bidi="ar-SA"/>
      </w:rPr>
    </w:lvl>
    <w:lvl w:ilvl="6" w:tplc="D354D872">
      <w:numFmt w:val="bullet"/>
      <w:lvlText w:val="•"/>
      <w:lvlJc w:val="left"/>
      <w:pPr>
        <w:ind w:left="6075" w:hanging="552"/>
      </w:pPr>
      <w:rPr>
        <w:rFonts w:hint="default"/>
        <w:lang w:val="en-GB" w:eastAsia="en-US" w:bidi="ar-SA"/>
      </w:rPr>
    </w:lvl>
    <w:lvl w:ilvl="7" w:tplc="0FE08350">
      <w:numFmt w:val="bullet"/>
      <w:lvlText w:val="•"/>
      <w:lvlJc w:val="left"/>
      <w:pPr>
        <w:ind w:left="6968" w:hanging="552"/>
      </w:pPr>
      <w:rPr>
        <w:rFonts w:hint="default"/>
        <w:lang w:val="en-GB" w:eastAsia="en-US" w:bidi="ar-SA"/>
      </w:rPr>
    </w:lvl>
    <w:lvl w:ilvl="8" w:tplc="3B049476">
      <w:numFmt w:val="bullet"/>
      <w:lvlText w:val="•"/>
      <w:lvlJc w:val="left"/>
      <w:pPr>
        <w:ind w:left="7861" w:hanging="552"/>
      </w:pPr>
      <w:rPr>
        <w:rFonts w:hint="default"/>
        <w:lang w:val="en-GB" w:eastAsia="en-US" w:bidi="ar-SA"/>
      </w:rPr>
    </w:lvl>
  </w:abstractNum>
  <w:abstractNum w:abstractNumId="31">
    <w:nsid w:val="104E26BC"/>
    <w:multiLevelType w:val="hybridMultilevel"/>
    <w:tmpl w:val="65A255E4"/>
    <w:lvl w:ilvl="0" w:tplc="76261E22">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6A300F0C">
      <w:numFmt w:val="bullet"/>
      <w:lvlText w:val="•"/>
      <w:lvlJc w:val="left"/>
      <w:pPr>
        <w:ind w:left="1431" w:hanging="360"/>
      </w:pPr>
      <w:rPr>
        <w:rFonts w:hint="default"/>
        <w:lang w:val="en-GB" w:eastAsia="en-US" w:bidi="ar-SA"/>
      </w:rPr>
    </w:lvl>
    <w:lvl w:ilvl="2" w:tplc="AEDCC922">
      <w:numFmt w:val="bullet"/>
      <w:lvlText w:val="•"/>
      <w:lvlJc w:val="left"/>
      <w:pPr>
        <w:ind w:left="2043" w:hanging="360"/>
      </w:pPr>
      <w:rPr>
        <w:rFonts w:hint="default"/>
        <w:lang w:val="en-GB" w:eastAsia="en-US" w:bidi="ar-SA"/>
      </w:rPr>
    </w:lvl>
    <w:lvl w:ilvl="3" w:tplc="CC544D4A">
      <w:numFmt w:val="bullet"/>
      <w:lvlText w:val="•"/>
      <w:lvlJc w:val="left"/>
      <w:pPr>
        <w:ind w:left="2655" w:hanging="360"/>
      </w:pPr>
      <w:rPr>
        <w:rFonts w:hint="default"/>
        <w:lang w:val="en-GB" w:eastAsia="en-US" w:bidi="ar-SA"/>
      </w:rPr>
    </w:lvl>
    <w:lvl w:ilvl="4" w:tplc="75D297CE">
      <w:numFmt w:val="bullet"/>
      <w:lvlText w:val="•"/>
      <w:lvlJc w:val="left"/>
      <w:pPr>
        <w:ind w:left="3267" w:hanging="360"/>
      </w:pPr>
      <w:rPr>
        <w:rFonts w:hint="default"/>
        <w:lang w:val="en-GB" w:eastAsia="en-US" w:bidi="ar-SA"/>
      </w:rPr>
    </w:lvl>
    <w:lvl w:ilvl="5" w:tplc="1F7ADD7E">
      <w:numFmt w:val="bullet"/>
      <w:lvlText w:val="•"/>
      <w:lvlJc w:val="left"/>
      <w:pPr>
        <w:ind w:left="3879" w:hanging="360"/>
      </w:pPr>
      <w:rPr>
        <w:rFonts w:hint="default"/>
        <w:lang w:val="en-GB" w:eastAsia="en-US" w:bidi="ar-SA"/>
      </w:rPr>
    </w:lvl>
    <w:lvl w:ilvl="6" w:tplc="E15AF3DA">
      <w:numFmt w:val="bullet"/>
      <w:lvlText w:val="•"/>
      <w:lvlJc w:val="left"/>
      <w:pPr>
        <w:ind w:left="4490" w:hanging="360"/>
      </w:pPr>
      <w:rPr>
        <w:rFonts w:hint="default"/>
        <w:lang w:val="en-GB" w:eastAsia="en-US" w:bidi="ar-SA"/>
      </w:rPr>
    </w:lvl>
    <w:lvl w:ilvl="7" w:tplc="B0728C2E">
      <w:numFmt w:val="bullet"/>
      <w:lvlText w:val="•"/>
      <w:lvlJc w:val="left"/>
      <w:pPr>
        <w:ind w:left="5102" w:hanging="360"/>
      </w:pPr>
      <w:rPr>
        <w:rFonts w:hint="default"/>
        <w:lang w:val="en-GB" w:eastAsia="en-US" w:bidi="ar-SA"/>
      </w:rPr>
    </w:lvl>
    <w:lvl w:ilvl="8" w:tplc="6088DDC2">
      <w:numFmt w:val="bullet"/>
      <w:lvlText w:val="•"/>
      <w:lvlJc w:val="left"/>
      <w:pPr>
        <w:ind w:left="5714" w:hanging="360"/>
      </w:pPr>
      <w:rPr>
        <w:rFonts w:hint="default"/>
        <w:lang w:val="en-GB" w:eastAsia="en-US" w:bidi="ar-SA"/>
      </w:rPr>
    </w:lvl>
  </w:abstractNum>
  <w:abstractNum w:abstractNumId="32">
    <w:nsid w:val="11367720"/>
    <w:multiLevelType w:val="hybridMultilevel"/>
    <w:tmpl w:val="BADC20B0"/>
    <w:lvl w:ilvl="0" w:tplc="6BCE4D2E">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34D67E58">
      <w:numFmt w:val="bullet"/>
      <w:lvlText w:val="•"/>
      <w:lvlJc w:val="left"/>
      <w:pPr>
        <w:ind w:left="579" w:hanging="286"/>
      </w:pPr>
      <w:rPr>
        <w:rFonts w:hint="default"/>
        <w:lang w:val="en-GB" w:eastAsia="en-US" w:bidi="ar-SA"/>
      </w:rPr>
    </w:lvl>
    <w:lvl w:ilvl="2" w:tplc="6D42E3DA">
      <w:numFmt w:val="bullet"/>
      <w:lvlText w:val="•"/>
      <w:lvlJc w:val="left"/>
      <w:pPr>
        <w:ind w:left="719" w:hanging="286"/>
      </w:pPr>
      <w:rPr>
        <w:rFonts w:hint="default"/>
        <w:lang w:val="en-GB" w:eastAsia="en-US" w:bidi="ar-SA"/>
      </w:rPr>
    </w:lvl>
    <w:lvl w:ilvl="3" w:tplc="C66E12DE">
      <w:numFmt w:val="bullet"/>
      <w:lvlText w:val="•"/>
      <w:lvlJc w:val="left"/>
      <w:pPr>
        <w:ind w:left="859" w:hanging="286"/>
      </w:pPr>
      <w:rPr>
        <w:rFonts w:hint="default"/>
        <w:lang w:val="en-GB" w:eastAsia="en-US" w:bidi="ar-SA"/>
      </w:rPr>
    </w:lvl>
    <w:lvl w:ilvl="4" w:tplc="553E9F10">
      <w:numFmt w:val="bullet"/>
      <w:lvlText w:val="•"/>
      <w:lvlJc w:val="left"/>
      <w:pPr>
        <w:ind w:left="999" w:hanging="286"/>
      </w:pPr>
      <w:rPr>
        <w:rFonts w:hint="default"/>
        <w:lang w:val="en-GB" w:eastAsia="en-US" w:bidi="ar-SA"/>
      </w:rPr>
    </w:lvl>
    <w:lvl w:ilvl="5" w:tplc="CC4E5C90">
      <w:numFmt w:val="bullet"/>
      <w:lvlText w:val="•"/>
      <w:lvlJc w:val="left"/>
      <w:pPr>
        <w:ind w:left="1139" w:hanging="286"/>
      </w:pPr>
      <w:rPr>
        <w:rFonts w:hint="default"/>
        <w:lang w:val="en-GB" w:eastAsia="en-US" w:bidi="ar-SA"/>
      </w:rPr>
    </w:lvl>
    <w:lvl w:ilvl="6" w:tplc="88CEB0E8">
      <w:numFmt w:val="bullet"/>
      <w:lvlText w:val="•"/>
      <w:lvlJc w:val="left"/>
      <w:pPr>
        <w:ind w:left="1278" w:hanging="286"/>
      </w:pPr>
      <w:rPr>
        <w:rFonts w:hint="default"/>
        <w:lang w:val="en-GB" w:eastAsia="en-US" w:bidi="ar-SA"/>
      </w:rPr>
    </w:lvl>
    <w:lvl w:ilvl="7" w:tplc="21C868CE">
      <w:numFmt w:val="bullet"/>
      <w:lvlText w:val="•"/>
      <w:lvlJc w:val="left"/>
      <w:pPr>
        <w:ind w:left="1418" w:hanging="286"/>
      </w:pPr>
      <w:rPr>
        <w:rFonts w:hint="default"/>
        <w:lang w:val="en-GB" w:eastAsia="en-US" w:bidi="ar-SA"/>
      </w:rPr>
    </w:lvl>
    <w:lvl w:ilvl="8" w:tplc="09926A0E">
      <w:numFmt w:val="bullet"/>
      <w:lvlText w:val="•"/>
      <w:lvlJc w:val="left"/>
      <w:pPr>
        <w:ind w:left="1558" w:hanging="286"/>
      </w:pPr>
      <w:rPr>
        <w:rFonts w:hint="default"/>
        <w:lang w:val="en-GB" w:eastAsia="en-US" w:bidi="ar-SA"/>
      </w:rPr>
    </w:lvl>
  </w:abstractNum>
  <w:abstractNum w:abstractNumId="33">
    <w:nsid w:val="115F2994"/>
    <w:multiLevelType w:val="hybridMultilevel"/>
    <w:tmpl w:val="B270FF5A"/>
    <w:lvl w:ilvl="0" w:tplc="DC8C80F4">
      <w:start w:val="121"/>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81E81250">
      <w:numFmt w:val="bullet"/>
      <w:lvlText w:val="•"/>
      <w:lvlJc w:val="left"/>
      <w:pPr>
        <w:ind w:left="1720" w:hanging="675"/>
      </w:pPr>
      <w:rPr>
        <w:rFonts w:hint="default"/>
        <w:lang w:val="en-GB" w:eastAsia="en-US" w:bidi="ar-SA"/>
      </w:rPr>
    </w:lvl>
    <w:lvl w:ilvl="2" w:tplc="D610CC9A">
      <w:numFmt w:val="bullet"/>
      <w:lvlText w:val="•"/>
      <w:lvlJc w:val="left"/>
      <w:pPr>
        <w:ind w:left="2601" w:hanging="675"/>
      </w:pPr>
      <w:rPr>
        <w:rFonts w:hint="default"/>
        <w:lang w:val="en-GB" w:eastAsia="en-US" w:bidi="ar-SA"/>
      </w:rPr>
    </w:lvl>
    <w:lvl w:ilvl="3" w:tplc="B5809F84">
      <w:numFmt w:val="bullet"/>
      <w:lvlText w:val="•"/>
      <w:lvlJc w:val="left"/>
      <w:pPr>
        <w:ind w:left="3481" w:hanging="675"/>
      </w:pPr>
      <w:rPr>
        <w:rFonts w:hint="default"/>
        <w:lang w:val="en-GB" w:eastAsia="en-US" w:bidi="ar-SA"/>
      </w:rPr>
    </w:lvl>
    <w:lvl w:ilvl="4" w:tplc="0D9C91A6">
      <w:numFmt w:val="bullet"/>
      <w:lvlText w:val="•"/>
      <w:lvlJc w:val="left"/>
      <w:pPr>
        <w:ind w:left="4362" w:hanging="675"/>
      </w:pPr>
      <w:rPr>
        <w:rFonts w:hint="default"/>
        <w:lang w:val="en-GB" w:eastAsia="en-US" w:bidi="ar-SA"/>
      </w:rPr>
    </w:lvl>
    <w:lvl w:ilvl="5" w:tplc="2B30318E">
      <w:numFmt w:val="bullet"/>
      <w:lvlText w:val="•"/>
      <w:lvlJc w:val="left"/>
      <w:pPr>
        <w:ind w:left="5243" w:hanging="675"/>
      </w:pPr>
      <w:rPr>
        <w:rFonts w:hint="default"/>
        <w:lang w:val="en-GB" w:eastAsia="en-US" w:bidi="ar-SA"/>
      </w:rPr>
    </w:lvl>
    <w:lvl w:ilvl="6" w:tplc="72D6FEE4">
      <w:numFmt w:val="bullet"/>
      <w:lvlText w:val="•"/>
      <w:lvlJc w:val="left"/>
      <w:pPr>
        <w:ind w:left="6123" w:hanging="675"/>
      </w:pPr>
      <w:rPr>
        <w:rFonts w:hint="default"/>
        <w:lang w:val="en-GB" w:eastAsia="en-US" w:bidi="ar-SA"/>
      </w:rPr>
    </w:lvl>
    <w:lvl w:ilvl="7" w:tplc="2C643F4A">
      <w:numFmt w:val="bullet"/>
      <w:lvlText w:val="•"/>
      <w:lvlJc w:val="left"/>
      <w:pPr>
        <w:ind w:left="7004" w:hanging="675"/>
      </w:pPr>
      <w:rPr>
        <w:rFonts w:hint="default"/>
        <w:lang w:val="en-GB" w:eastAsia="en-US" w:bidi="ar-SA"/>
      </w:rPr>
    </w:lvl>
    <w:lvl w:ilvl="8" w:tplc="5AA02B8A">
      <w:numFmt w:val="bullet"/>
      <w:lvlText w:val="•"/>
      <w:lvlJc w:val="left"/>
      <w:pPr>
        <w:ind w:left="7885" w:hanging="675"/>
      </w:pPr>
      <w:rPr>
        <w:rFonts w:hint="default"/>
        <w:lang w:val="en-GB" w:eastAsia="en-US" w:bidi="ar-SA"/>
      </w:rPr>
    </w:lvl>
  </w:abstractNum>
  <w:abstractNum w:abstractNumId="34">
    <w:nsid w:val="119D56E7"/>
    <w:multiLevelType w:val="hybridMultilevel"/>
    <w:tmpl w:val="376C7C94"/>
    <w:lvl w:ilvl="0" w:tplc="976A49EC">
      <w:start w:val="97"/>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D38F458">
      <w:numFmt w:val="bullet"/>
      <w:lvlText w:val="•"/>
      <w:lvlJc w:val="left"/>
      <w:pPr>
        <w:ind w:left="1612" w:hanging="552"/>
      </w:pPr>
      <w:rPr>
        <w:rFonts w:hint="default"/>
        <w:lang w:val="en-GB" w:eastAsia="en-US" w:bidi="ar-SA"/>
      </w:rPr>
    </w:lvl>
    <w:lvl w:ilvl="2" w:tplc="74462A4A">
      <w:numFmt w:val="bullet"/>
      <w:lvlText w:val="•"/>
      <w:lvlJc w:val="left"/>
      <w:pPr>
        <w:ind w:left="2505" w:hanging="552"/>
      </w:pPr>
      <w:rPr>
        <w:rFonts w:hint="default"/>
        <w:lang w:val="en-GB" w:eastAsia="en-US" w:bidi="ar-SA"/>
      </w:rPr>
    </w:lvl>
    <w:lvl w:ilvl="3" w:tplc="E1260856">
      <w:numFmt w:val="bullet"/>
      <w:lvlText w:val="•"/>
      <w:lvlJc w:val="left"/>
      <w:pPr>
        <w:ind w:left="3397" w:hanging="552"/>
      </w:pPr>
      <w:rPr>
        <w:rFonts w:hint="default"/>
        <w:lang w:val="en-GB" w:eastAsia="en-US" w:bidi="ar-SA"/>
      </w:rPr>
    </w:lvl>
    <w:lvl w:ilvl="4" w:tplc="37B0AF96">
      <w:numFmt w:val="bullet"/>
      <w:lvlText w:val="•"/>
      <w:lvlJc w:val="left"/>
      <w:pPr>
        <w:ind w:left="4290" w:hanging="552"/>
      </w:pPr>
      <w:rPr>
        <w:rFonts w:hint="default"/>
        <w:lang w:val="en-GB" w:eastAsia="en-US" w:bidi="ar-SA"/>
      </w:rPr>
    </w:lvl>
    <w:lvl w:ilvl="5" w:tplc="9BFC8A72">
      <w:numFmt w:val="bullet"/>
      <w:lvlText w:val="•"/>
      <w:lvlJc w:val="left"/>
      <w:pPr>
        <w:ind w:left="5183" w:hanging="552"/>
      </w:pPr>
      <w:rPr>
        <w:rFonts w:hint="default"/>
        <w:lang w:val="en-GB" w:eastAsia="en-US" w:bidi="ar-SA"/>
      </w:rPr>
    </w:lvl>
    <w:lvl w:ilvl="6" w:tplc="CB3C300A">
      <w:numFmt w:val="bullet"/>
      <w:lvlText w:val="•"/>
      <w:lvlJc w:val="left"/>
      <w:pPr>
        <w:ind w:left="6075" w:hanging="552"/>
      </w:pPr>
      <w:rPr>
        <w:rFonts w:hint="default"/>
        <w:lang w:val="en-GB" w:eastAsia="en-US" w:bidi="ar-SA"/>
      </w:rPr>
    </w:lvl>
    <w:lvl w:ilvl="7" w:tplc="6E6EDEC4">
      <w:numFmt w:val="bullet"/>
      <w:lvlText w:val="•"/>
      <w:lvlJc w:val="left"/>
      <w:pPr>
        <w:ind w:left="6968" w:hanging="552"/>
      </w:pPr>
      <w:rPr>
        <w:rFonts w:hint="default"/>
        <w:lang w:val="en-GB" w:eastAsia="en-US" w:bidi="ar-SA"/>
      </w:rPr>
    </w:lvl>
    <w:lvl w:ilvl="8" w:tplc="AE0EBDBE">
      <w:numFmt w:val="bullet"/>
      <w:lvlText w:val="•"/>
      <w:lvlJc w:val="left"/>
      <w:pPr>
        <w:ind w:left="7861" w:hanging="552"/>
      </w:pPr>
      <w:rPr>
        <w:rFonts w:hint="default"/>
        <w:lang w:val="en-GB" w:eastAsia="en-US" w:bidi="ar-SA"/>
      </w:rPr>
    </w:lvl>
  </w:abstractNum>
  <w:abstractNum w:abstractNumId="35">
    <w:nsid w:val="11A52B07"/>
    <w:multiLevelType w:val="hybridMultilevel"/>
    <w:tmpl w:val="D9E49A28"/>
    <w:lvl w:ilvl="0" w:tplc="7FB6CA9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661CA500">
      <w:numFmt w:val="bullet"/>
      <w:lvlText w:val="•"/>
      <w:lvlJc w:val="left"/>
      <w:pPr>
        <w:ind w:left="1445" w:hanging="361"/>
      </w:pPr>
      <w:rPr>
        <w:rFonts w:hint="default"/>
        <w:lang w:val="en-GB" w:eastAsia="en-US" w:bidi="ar-SA"/>
      </w:rPr>
    </w:lvl>
    <w:lvl w:ilvl="2" w:tplc="5AA2740A">
      <w:numFmt w:val="bullet"/>
      <w:lvlText w:val="•"/>
      <w:lvlJc w:val="left"/>
      <w:pPr>
        <w:ind w:left="2071" w:hanging="361"/>
      </w:pPr>
      <w:rPr>
        <w:rFonts w:hint="default"/>
        <w:lang w:val="en-GB" w:eastAsia="en-US" w:bidi="ar-SA"/>
      </w:rPr>
    </w:lvl>
    <w:lvl w:ilvl="3" w:tplc="31760196">
      <w:numFmt w:val="bullet"/>
      <w:lvlText w:val="•"/>
      <w:lvlJc w:val="left"/>
      <w:pPr>
        <w:ind w:left="2697" w:hanging="361"/>
      </w:pPr>
      <w:rPr>
        <w:rFonts w:hint="default"/>
        <w:lang w:val="en-GB" w:eastAsia="en-US" w:bidi="ar-SA"/>
      </w:rPr>
    </w:lvl>
    <w:lvl w:ilvl="4" w:tplc="16D43F10">
      <w:numFmt w:val="bullet"/>
      <w:lvlText w:val="•"/>
      <w:lvlJc w:val="left"/>
      <w:pPr>
        <w:ind w:left="3323" w:hanging="361"/>
      </w:pPr>
      <w:rPr>
        <w:rFonts w:hint="default"/>
        <w:lang w:val="en-GB" w:eastAsia="en-US" w:bidi="ar-SA"/>
      </w:rPr>
    </w:lvl>
    <w:lvl w:ilvl="5" w:tplc="D81EAEA4">
      <w:numFmt w:val="bullet"/>
      <w:lvlText w:val="•"/>
      <w:lvlJc w:val="left"/>
      <w:pPr>
        <w:ind w:left="3949" w:hanging="361"/>
      </w:pPr>
      <w:rPr>
        <w:rFonts w:hint="default"/>
        <w:lang w:val="en-GB" w:eastAsia="en-US" w:bidi="ar-SA"/>
      </w:rPr>
    </w:lvl>
    <w:lvl w:ilvl="6" w:tplc="79FEA572">
      <w:numFmt w:val="bullet"/>
      <w:lvlText w:val="•"/>
      <w:lvlJc w:val="left"/>
      <w:pPr>
        <w:ind w:left="4575" w:hanging="361"/>
      </w:pPr>
      <w:rPr>
        <w:rFonts w:hint="default"/>
        <w:lang w:val="en-GB" w:eastAsia="en-US" w:bidi="ar-SA"/>
      </w:rPr>
    </w:lvl>
    <w:lvl w:ilvl="7" w:tplc="8C9CA09E">
      <w:numFmt w:val="bullet"/>
      <w:lvlText w:val="•"/>
      <w:lvlJc w:val="left"/>
      <w:pPr>
        <w:ind w:left="5201" w:hanging="361"/>
      </w:pPr>
      <w:rPr>
        <w:rFonts w:hint="default"/>
        <w:lang w:val="en-GB" w:eastAsia="en-US" w:bidi="ar-SA"/>
      </w:rPr>
    </w:lvl>
    <w:lvl w:ilvl="8" w:tplc="7102F9FC">
      <w:numFmt w:val="bullet"/>
      <w:lvlText w:val="•"/>
      <w:lvlJc w:val="left"/>
      <w:pPr>
        <w:ind w:left="5827" w:hanging="361"/>
      </w:pPr>
      <w:rPr>
        <w:rFonts w:hint="default"/>
        <w:lang w:val="en-GB" w:eastAsia="en-US" w:bidi="ar-SA"/>
      </w:rPr>
    </w:lvl>
  </w:abstractNum>
  <w:abstractNum w:abstractNumId="36">
    <w:nsid w:val="11BF7B54"/>
    <w:multiLevelType w:val="hybridMultilevel"/>
    <w:tmpl w:val="423A0C90"/>
    <w:lvl w:ilvl="0" w:tplc="763A0968">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1F0EB4C6">
      <w:numFmt w:val="bullet"/>
      <w:lvlText w:val="•"/>
      <w:lvlJc w:val="left"/>
      <w:pPr>
        <w:ind w:left="798" w:hanging="360"/>
      </w:pPr>
      <w:rPr>
        <w:rFonts w:hint="default"/>
        <w:lang w:val="en-GB" w:eastAsia="en-US" w:bidi="ar-SA"/>
      </w:rPr>
    </w:lvl>
    <w:lvl w:ilvl="2" w:tplc="B96E2354">
      <w:numFmt w:val="bullet"/>
      <w:lvlText w:val="•"/>
      <w:lvlJc w:val="left"/>
      <w:pPr>
        <w:ind w:left="1137" w:hanging="360"/>
      </w:pPr>
      <w:rPr>
        <w:rFonts w:hint="default"/>
        <w:lang w:val="en-GB" w:eastAsia="en-US" w:bidi="ar-SA"/>
      </w:rPr>
    </w:lvl>
    <w:lvl w:ilvl="3" w:tplc="CCE620D6">
      <w:numFmt w:val="bullet"/>
      <w:lvlText w:val="•"/>
      <w:lvlJc w:val="left"/>
      <w:pPr>
        <w:ind w:left="1475" w:hanging="360"/>
      </w:pPr>
      <w:rPr>
        <w:rFonts w:hint="default"/>
        <w:lang w:val="en-GB" w:eastAsia="en-US" w:bidi="ar-SA"/>
      </w:rPr>
    </w:lvl>
    <w:lvl w:ilvl="4" w:tplc="3000E7E8">
      <w:numFmt w:val="bullet"/>
      <w:lvlText w:val="•"/>
      <w:lvlJc w:val="left"/>
      <w:pPr>
        <w:ind w:left="1814" w:hanging="360"/>
      </w:pPr>
      <w:rPr>
        <w:rFonts w:hint="default"/>
        <w:lang w:val="en-GB" w:eastAsia="en-US" w:bidi="ar-SA"/>
      </w:rPr>
    </w:lvl>
    <w:lvl w:ilvl="5" w:tplc="68EED636">
      <w:numFmt w:val="bullet"/>
      <w:lvlText w:val="•"/>
      <w:lvlJc w:val="left"/>
      <w:pPr>
        <w:ind w:left="2152" w:hanging="360"/>
      </w:pPr>
      <w:rPr>
        <w:rFonts w:hint="default"/>
        <w:lang w:val="en-GB" w:eastAsia="en-US" w:bidi="ar-SA"/>
      </w:rPr>
    </w:lvl>
    <w:lvl w:ilvl="6" w:tplc="50F2B55A">
      <w:numFmt w:val="bullet"/>
      <w:lvlText w:val="•"/>
      <w:lvlJc w:val="left"/>
      <w:pPr>
        <w:ind w:left="2491" w:hanging="360"/>
      </w:pPr>
      <w:rPr>
        <w:rFonts w:hint="default"/>
        <w:lang w:val="en-GB" w:eastAsia="en-US" w:bidi="ar-SA"/>
      </w:rPr>
    </w:lvl>
    <w:lvl w:ilvl="7" w:tplc="AAF4EAA0">
      <w:numFmt w:val="bullet"/>
      <w:lvlText w:val="•"/>
      <w:lvlJc w:val="left"/>
      <w:pPr>
        <w:ind w:left="2829" w:hanging="360"/>
      </w:pPr>
      <w:rPr>
        <w:rFonts w:hint="default"/>
        <w:lang w:val="en-GB" w:eastAsia="en-US" w:bidi="ar-SA"/>
      </w:rPr>
    </w:lvl>
    <w:lvl w:ilvl="8" w:tplc="A5FC2538">
      <w:numFmt w:val="bullet"/>
      <w:lvlText w:val="•"/>
      <w:lvlJc w:val="left"/>
      <w:pPr>
        <w:ind w:left="3168" w:hanging="360"/>
      </w:pPr>
      <w:rPr>
        <w:rFonts w:hint="default"/>
        <w:lang w:val="en-GB" w:eastAsia="en-US" w:bidi="ar-SA"/>
      </w:rPr>
    </w:lvl>
  </w:abstractNum>
  <w:abstractNum w:abstractNumId="37">
    <w:nsid w:val="1336355E"/>
    <w:multiLevelType w:val="hybridMultilevel"/>
    <w:tmpl w:val="364ED030"/>
    <w:lvl w:ilvl="0" w:tplc="66B0E628">
      <w:numFmt w:val="bullet"/>
      <w:lvlText w:val=""/>
      <w:lvlJc w:val="left"/>
      <w:pPr>
        <w:ind w:left="465" w:hanging="360"/>
      </w:pPr>
      <w:rPr>
        <w:rFonts w:ascii="Symbol" w:eastAsia="Symbol" w:hAnsi="Symbol" w:cs="Symbol" w:hint="default"/>
        <w:b w:val="0"/>
        <w:bCs w:val="0"/>
        <w:i w:val="0"/>
        <w:iCs w:val="0"/>
        <w:w w:val="99"/>
        <w:sz w:val="20"/>
        <w:szCs w:val="20"/>
        <w:lang w:val="en-GB" w:eastAsia="en-US" w:bidi="ar-SA"/>
      </w:rPr>
    </w:lvl>
    <w:lvl w:ilvl="1" w:tplc="1082A8A6">
      <w:numFmt w:val="bullet"/>
      <w:lvlText w:val="•"/>
      <w:lvlJc w:val="left"/>
      <w:pPr>
        <w:ind w:left="772" w:hanging="360"/>
      </w:pPr>
      <w:rPr>
        <w:rFonts w:hint="default"/>
        <w:lang w:val="en-GB" w:eastAsia="en-US" w:bidi="ar-SA"/>
      </w:rPr>
    </w:lvl>
    <w:lvl w:ilvl="2" w:tplc="886C0A36">
      <w:numFmt w:val="bullet"/>
      <w:lvlText w:val="•"/>
      <w:lvlJc w:val="left"/>
      <w:pPr>
        <w:ind w:left="1084" w:hanging="360"/>
      </w:pPr>
      <w:rPr>
        <w:rFonts w:hint="default"/>
        <w:lang w:val="en-GB" w:eastAsia="en-US" w:bidi="ar-SA"/>
      </w:rPr>
    </w:lvl>
    <w:lvl w:ilvl="3" w:tplc="1EAAD728">
      <w:numFmt w:val="bullet"/>
      <w:lvlText w:val="•"/>
      <w:lvlJc w:val="left"/>
      <w:pPr>
        <w:ind w:left="1396" w:hanging="360"/>
      </w:pPr>
      <w:rPr>
        <w:rFonts w:hint="default"/>
        <w:lang w:val="en-GB" w:eastAsia="en-US" w:bidi="ar-SA"/>
      </w:rPr>
    </w:lvl>
    <w:lvl w:ilvl="4" w:tplc="C3B45D66">
      <w:numFmt w:val="bullet"/>
      <w:lvlText w:val="•"/>
      <w:lvlJc w:val="left"/>
      <w:pPr>
        <w:ind w:left="1708" w:hanging="360"/>
      </w:pPr>
      <w:rPr>
        <w:rFonts w:hint="default"/>
        <w:lang w:val="en-GB" w:eastAsia="en-US" w:bidi="ar-SA"/>
      </w:rPr>
    </w:lvl>
    <w:lvl w:ilvl="5" w:tplc="A1FCCC94">
      <w:numFmt w:val="bullet"/>
      <w:lvlText w:val="•"/>
      <w:lvlJc w:val="left"/>
      <w:pPr>
        <w:ind w:left="2020" w:hanging="360"/>
      </w:pPr>
      <w:rPr>
        <w:rFonts w:hint="default"/>
        <w:lang w:val="en-GB" w:eastAsia="en-US" w:bidi="ar-SA"/>
      </w:rPr>
    </w:lvl>
    <w:lvl w:ilvl="6" w:tplc="E46809A6">
      <w:numFmt w:val="bullet"/>
      <w:lvlText w:val="•"/>
      <w:lvlJc w:val="left"/>
      <w:pPr>
        <w:ind w:left="2332" w:hanging="360"/>
      </w:pPr>
      <w:rPr>
        <w:rFonts w:hint="default"/>
        <w:lang w:val="en-GB" w:eastAsia="en-US" w:bidi="ar-SA"/>
      </w:rPr>
    </w:lvl>
    <w:lvl w:ilvl="7" w:tplc="707EF6FC">
      <w:numFmt w:val="bullet"/>
      <w:lvlText w:val="•"/>
      <w:lvlJc w:val="left"/>
      <w:pPr>
        <w:ind w:left="2644" w:hanging="360"/>
      </w:pPr>
      <w:rPr>
        <w:rFonts w:hint="default"/>
        <w:lang w:val="en-GB" w:eastAsia="en-US" w:bidi="ar-SA"/>
      </w:rPr>
    </w:lvl>
    <w:lvl w:ilvl="8" w:tplc="D1C047EC">
      <w:numFmt w:val="bullet"/>
      <w:lvlText w:val="•"/>
      <w:lvlJc w:val="left"/>
      <w:pPr>
        <w:ind w:left="2956" w:hanging="360"/>
      </w:pPr>
      <w:rPr>
        <w:rFonts w:hint="default"/>
        <w:lang w:val="en-GB" w:eastAsia="en-US" w:bidi="ar-SA"/>
      </w:rPr>
    </w:lvl>
  </w:abstractNum>
  <w:abstractNum w:abstractNumId="38">
    <w:nsid w:val="14123CBB"/>
    <w:multiLevelType w:val="hybridMultilevel"/>
    <w:tmpl w:val="3A229E62"/>
    <w:lvl w:ilvl="0" w:tplc="8A7AFF38">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C262B78C">
      <w:numFmt w:val="bullet"/>
      <w:lvlText w:val="•"/>
      <w:lvlJc w:val="left"/>
      <w:pPr>
        <w:ind w:left="810" w:hanging="360"/>
      </w:pPr>
      <w:rPr>
        <w:rFonts w:hint="default"/>
        <w:lang w:val="en-GB" w:eastAsia="en-US" w:bidi="ar-SA"/>
      </w:rPr>
    </w:lvl>
    <w:lvl w:ilvl="2" w:tplc="1D26955E">
      <w:numFmt w:val="bullet"/>
      <w:lvlText w:val="•"/>
      <w:lvlJc w:val="left"/>
      <w:pPr>
        <w:ind w:left="1160" w:hanging="360"/>
      </w:pPr>
      <w:rPr>
        <w:rFonts w:hint="default"/>
        <w:lang w:val="en-GB" w:eastAsia="en-US" w:bidi="ar-SA"/>
      </w:rPr>
    </w:lvl>
    <w:lvl w:ilvl="3" w:tplc="A2C04442">
      <w:numFmt w:val="bullet"/>
      <w:lvlText w:val="•"/>
      <w:lvlJc w:val="left"/>
      <w:pPr>
        <w:ind w:left="1510" w:hanging="360"/>
      </w:pPr>
      <w:rPr>
        <w:rFonts w:hint="default"/>
        <w:lang w:val="en-GB" w:eastAsia="en-US" w:bidi="ar-SA"/>
      </w:rPr>
    </w:lvl>
    <w:lvl w:ilvl="4" w:tplc="EBDCE750">
      <w:numFmt w:val="bullet"/>
      <w:lvlText w:val="•"/>
      <w:lvlJc w:val="left"/>
      <w:pPr>
        <w:ind w:left="1860" w:hanging="360"/>
      </w:pPr>
      <w:rPr>
        <w:rFonts w:hint="default"/>
        <w:lang w:val="en-GB" w:eastAsia="en-US" w:bidi="ar-SA"/>
      </w:rPr>
    </w:lvl>
    <w:lvl w:ilvl="5" w:tplc="A18AB412">
      <w:numFmt w:val="bullet"/>
      <w:lvlText w:val="•"/>
      <w:lvlJc w:val="left"/>
      <w:pPr>
        <w:ind w:left="2210" w:hanging="360"/>
      </w:pPr>
      <w:rPr>
        <w:rFonts w:hint="default"/>
        <w:lang w:val="en-GB" w:eastAsia="en-US" w:bidi="ar-SA"/>
      </w:rPr>
    </w:lvl>
    <w:lvl w:ilvl="6" w:tplc="CC2A24D2">
      <w:numFmt w:val="bullet"/>
      <w:lvlText w:val="•"/>
      <w:lvlJc w:val="left"/>
      <w:pPr>
        <w:ind w:left="2560" w:hanging="360"/>
      </w:pPr>
      <w:rPr>
        <w:rFonts w:hint="default"/>
        <w:lang w:val="en-GB" w:eastAsia="en-US" w:bidi="ar-SA"/>
      </w:rPr>
    </w:lvl>
    <w:lvl w:ilvl="7" w:tplc="EA345DDA">
      <w:numFmt w:val="bullet"/>
      <w:lvlText w:val="•"/>
      <w:lvlJc w:val="left"/>
      <w:pPr>
        <w:ind w:left="2910" w:hanging="360"/>
      </w:pPr>
      <w:rPr>
        <w:rFonts w:hint="default"/>
        <w:lang w:val="en-GB" w:eastAsia="en-US" w:bidi="ar-SA"/>
      </w:rPr>
    </w:lvl>
    <w:lvl w:ilvl="8" w:tplc="F8AC9CB6">
      <w:numFmt w:val="bullet"/>
      <w:lvlText w:val="•"/>
      <w:lvlJc w:val="left"/>
      <w:pPr>
        <w:ind w:left="3260" w:hanging="360"/>
      </w:pPr>
      <w:rPr>
        <w:rFonts w:hint="default"/>
        <w:lang w:val="en-GB" w:eastAsia="en-US" w:bidi="ar-SA"/>
      </w:rPr>
    </w:lvl>
  </w:abstractNum>
  <w:abstractNum w:abstractNumId="39">
    <w:nsid w:val="148452BD"/>
    <w:multiLevelType w:val="hybridMultilevel"/>
    <w:tmpl w:val="D4902BEE"/>
    <w:lvl w:ilvl="0" w:tplc="CE181C4A">
      <w:start w:val="72"/>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9E46DD2">
      <w:numFmt w:val="bullet"/>
      <w:lvlText w:val="•"/>
      <w:lvlJc w:val="left"/>
      <w:pPr>
        <w:ind w:left="1612" w:hanging="552"/>
      </w:pPr>
      <w:rPr>
        <w:rFonts w:hint="default"/>
        <w:lang w:val="en-GB" w:eastAsia="en-US" w:bidi="ar-SA"/>
      </w:rPr>
    </w:lvl>
    <w:lvl w:ilvl="2" w:tplc="7C74FF2A">
      <w:numFmt w:val="bullet"/>
      <w:lvlText w:val="•"/>
      <w:lvlJc w:val="left"/>
      <w:pPr>
        <w:ind w:left="2505" w:hanging="552"/>
      </w:pPr>
      <w:rPr>
        <w:rFonts w:hint="default"/>
        <w:lang w:val="en-GB" w:eastAsia="en-US" w:bidi="ar-SA"/>
      </w:rPr>
    </w:lvl>
    <w:lvl w:ilvl="3" w:tplc="794E10A2">
      <w:numFmt w:val="bullet"/>
      <w:lvlText w:val="•"/>
      <w:lvlJc w:val="left"/>
      <w:pPr>
        <w:ind w:left="3397" w:hanging="552"/>
      </w:pPr>
      <w:rPr>
        <w:rFonts w:hint="default"/>
        <w:lang w:val="en-GB" w:eastAsia="en-US" w:bidi="ar-SA"/>
      </w:rPr>
    </w:lvl>
    <w:lvl w:ilvl="4" w:tplc="937A5684">
      <w:numFmt w:val="bullet"/>
      <w:lvlText w:val="•"/>
      <w:lvlJc w:val="left"/>
      <w:pPr>
        <w:ind w:left="4290" w:hanging="552"/>
      </w:pPr>
      <w:rPr>
        <w:rFonts w:hint="default"/>
        <w:lang w:val="en-GB" w:eastAsia="en-US" w:bidi="ar-SA"/>
      </w:rPr>
    </w:lvl>
    <w:lvl w:ilvl="5" w:tplc="7FDEF088">
      <w:numFmt w:val="bullet"/>
      <w:lvlText w:val="•"/>
      <w:lvlJc w:val="left"/>
      <w:pPr>
        <w:ind w:left="5183" w:hanging="552"/>
      </w:pPr>
      <w:rPr>
        <w:rFonts w:hint="default"/>
        <w:lang w:val="en-GB" w:eastAsia="en-US" w:bidi="ar-SA"/>
      </w:rPr>
    </w:lvl>
    <w:lvl w:ilvl="6" w:tplc="26588728">
      <w:numFmt w:val="bullet"/>
      <w:lvlText w:val="•"/>
      <w:lvlJc w:val="left"/>
      <w:pPr>
        <w:ind w:left="6075" w:hanging="552"/>
      </w:pPr>
      <w:rPr>
        <w:rFonts w:hint="default"/>
        <w:lang w:val="en-GB" w:eastAsia="en-US" w:bidi="ar-SA"/>
      </w:rPr>
    </w:lvl>
    <w:lvl w:ilvl="7" w:tplc="7A0E07DC">
      <w:numFmt w:val="bullet"/>
      <w:lvlText w:val="•"/>
      <w:lvlJc w:val="left"/>
      <w:pPr>
        <w:ind w:left="6968" w:hanging="552"/>
      </w:pPr>
      <w:rPr>
        <w:rFonts w:hint="default"/>
        <w:lang w:val="en-GB" w:eastAsia="en-US" w:bidi="ar-SA"/>
      </w:rPr>
    </w:lvl>
    <w:lvl w:ilvl="8" w:tplc="00C4CC6C">
      <w:numFmt w:val="bullet"/>
      <w:lvlText w:val="•"/>
      <w:lvlJc w:val="left"/>
      <w:pPr>
        <w:ind w:left="7861" w:hanging="552"/>
      </w:pPr>
      <w:rPr>
        <w:rFonts w:hint="default"/>
        <w:lang w:val="en-GB" w:eastAsia="en-US" w:bidi="ar-SA"/>
      </w:rPr>
    </w:lvl>
  </w:abstractNum>
  <w:abstractNum w:abstractNumId="40">
    <w:nsid w:val="1493098A"/>
    <w:multiLevelType w:val="hybridMultilevel"/>
    <w:tmpl w:val="3ED256BE"/>
    <w:lvl w:ilvl="0" w:tplc="52D4E1C4">
      <w:start w:val="10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DF2C2E9C">
      <w:numFmt w:val="bullet"/>
      <w:lvlText w:val="•"/>
      <w:lvlJc w:val="left"/>
      <w:pPr>
        <w:ind w:left="1720" w:hanging="675"/>
      </w:pPr>
      <w:rPr>
        <w:rFonts w:hint="default"/>
        <w:lang w:val="en-GB" w:eastAsia="en-US" w:bidi="ar-SA"/>
      </w:rPr>
    </w:lvl>
    <w:lvl w:ilvl="2" w:tplc="837814DC">
      <w:numFmt w:val="bullet"/>
      <w:lvlText w:val="•"/>
      <w:lvlJc w:val="left"/>
      <w:pPr>
        <w:ind w:left="2601" w:hanging="675"/>
      </w:pPr>
      <w:rPr>
        <w:rFonts w:hint="default"/>
        <w:lang w:val="en-GB" w:eastAsia="en-US" w:bidi="ar-SA"/>
      </w:rPr>
    </w:lvl>
    <w:lvl w:ilvl="3" w:tplc="81D8CA10">
      <w:numFmt w:val="bullet"/>
      <w:lvlText w:val="•"/>
      <w:lvlJc w:val="left"/>
      <w:pPr>
        <w:ind w:left="3481" w:hanging="675"/>
      </w:pPr>
      <w:rPr>
        <w:rFonts w:hint="default"/>
        <w:lang w:val="en-GB" w:eastAsia="en-US" w:bidi="ar-SA"/>
      </w:rPr>
    </w:lvl>
    <w:lvl w:ilvl="4" w:tplc="5C66128A">
      <w:numFmt w:val="bullet"/>
      <w:lvlText w:val="•"/>
      <w:lvlJc w:val="left"/>
      <w:pPr>
        <w:ind w:left="4362" w:hanging="675"/>
      </w:pPr>
      <w:rPr>
        <w:rFonts w:hint="default"/>
        <w:lang w:val="en-GB" w:eastAsia="en-US" w:bidi="ar-SA"/>
      </w:rPr>
    </w:lvl>
    <w:lvl w:ilvl="5" w:tplc="BDFAB218">
      <w:numFmt w:val="bullet"/>
      <w:lvlText w:val="•"/>
      <w:lvlJc w:val="left"/>
      <w:pPr>
        <w:ind w:left="5243" w:hanging="675"/>
      </w:pPr>
      <w:rPr>
        <w:rFonts w:hint="default"/>
        <w:lang w:val="en-GB" w:eastAsia="en-US" w:bidi="ar-SA"/>
      </w:rPr>
    </w:lvl>
    <w:lvl w:ilvl="6" w:tplc="F01E58F2">
      <w:numFmt w:val="bullet"/>
      <w:lvlText w:val="•"/>
      <w:lvlJc w:val="left"/>
      <w:pPr>
        <w:ind w:left="6123" w:hanging="675"/>
      </w:pPr>
      <w:rPr>
        <w:rFonts w:hint="default"/>
        <w:lang w:val="en-GB" w:eastAsia="en-US" w:bidi="ar-SA"/>
      </w:rPr>
    </w:lvl>
    <w:lvl w:ilvl="7" w:tplc="C308868A">
      <w:numFmt w:val="bullet"/>
      <w:lvlText w:val="•"/>
      <w:lvlJc w:val="left"/>
      <w:pPr>
        <w:ind w:left="7004" w:hanging="675"/>
      </w:pPr>
      <w:rPr>
        <w:rFonts w:hint="default"/>
        <w:lang w:val="en-GB" w:eastAsia="en-US" w:bidi="ar-SA"/>
      </w:rPr>
    </w:lvl>
    <w:lvl w:ilvl="8" w:tplc="DB784B22">
      <w:numFmt w:val="bullet"/>
      <w:lvlText w:val="•"/>
      <w:lvlJc w:val="left"/>
      <w:pPr>
        <w:ind w:left="7885" w:hanging="675"/>
      </w:pPr>
      <w:rPr>
        <w:rFonts w:hint="default"/>
        <w:lang w:val="en-GB" w:eastAsia="en-US" w:bidi="ar-SA"/>
      </w:rPr>
    </w:lvl>
  </w:abstractNum>
  <w:abstractNum w:abstractNumId="41">
    <w:nsid w:val="15AA5F75"/>
    <w:multiLevelType w:val="hybridMultilevel"/>
    <w:tmpl w:val="92B6E4F6"/>
    <w:lvl w:ilvl="0" w:tplc="31722FCC">
      <w:start w:val="80"/>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15E68E10">
      <w:numFmt w:val="bullet"/>
      <w:lvlText w:val="•"/>
      <w:lvlJc w:val="left"/>
      <w:pPr>
        <w:ind w:left="1612" w:hanging="552"/>
      </w:pPr>
      <w:rPr>
        <w:rFonts w:hint="default"/>
        <w:lang w:val="en-GB" w:eastAsia="en-US" w:bidi="ar-SA"/>
      </w:rPr>
    </w:lvl>
    <w:lvl w:ilvl="2" w:tplc="88F48CDC">
      <w:numFmt w:val="bullet"/>
      <w:lvlText w:val="•"/>
      <w:lvlJc w:val="left"/>
      <w:pPr>
        <w:ind w:left="2505" w:hanging="552"/>
      </w:pPr>
      <w:rPr>
        <w:rFonts w:hint="default"/>
        <w:lang w:val="en-GB" w:eastAsia="en-US" w:bidi="ar-SA"/>
      </w:rPr>
    </w:lvl>
    <w:lvl w:ilvl="3" w:tplc="34BC99BE">
      <w:numFmt w:val="bullet"/>
      <w:lvlText w:val="•"/>
      <w:lvlJc w:val="left"/>
      <w:pPr>
        <w:ind w:left="3397" w:hanging="552"/>
      </w:pPr>
      <w:rPr>
        <w:rFonts w:hint="default"/>
        <w:lang w:val="en-GB" w:eastAsia="en-US" w:bidi="ar-SA"/>
      </w:rPr>
    </w:lvl>
    <w:lvl w:ilvl="4" w:tplc="85105EC2">
      <w:numFmt w:val="bullet"/>
      <w:lvlText w:val="•"/>
      <w:lvlJc w:val="left"/>
      <w:pPr>
        <w:ind w:left="4290" w:hanging="552"/>
      </w:pPr>
      <w:rPr>
        <w:rFonts w:hint="default"/>
        <w:lang w:val="en-GB" w:eastAsia="en-US" w:bidi="ar-SA"/>
      </w:rPr>
    </w:lvl>
    <w:lvl w:ilvl="5" w:tplc="91640F74">
      <w:numFmt w:val="bullet"/>
      <w:lvlText w:val="•"/>
      <w:lvlJc w:val="left"/>
      <w:pPr>
        <w:ind w:left="5183" w:hanging="552"/>
      </w:pPr>
      <w:rPr>
        <w:rFonts w:hint="default"/>
        <w:lang w:val="en-GB" w:eastAsia="en-US" w:bidi="ar-SA"/>
      </w:rPr>
    </w:lvl>
    <w:lvl w:ilvl="6" w:tplc="14A2E41C">
      <w:numFmt w:val="bullet"/>
      <w:lvlText w:val="•"/>
      <w:lvlJc w:val="left"/>
      <w:pPr>
        <w:ind w:left="6075" w:hanging="552"/>
      </w:pPr>
      <w:rPr>
        <w:rFonts w:hint="default"/>
        <w:lang w:val="en-GB" w:eastAsia="en-US" w:bidi="ar-SA"/>
      </w:rPr>
    </w:lvl>
    <w:lvl w:ilvl="7" w:tplc="B338114E">
      <w:numFmt w:val="bullet"/>
      <w:lvlText w:val="•"/>
      <w:lvlJc w:val="left"/>
      <w:pPr>
        <w:ind w:left="6968" w:hanging="552"/>
      </w:pPr>
      <w:rPr>
        <w:rFonts w:hint="default"/>
        <w:lang w:val="en-GB" w:eastAsia="en-US" w:bidi="ar-SA"/>
      </w:rPr>
    </w:lvl>
    <w:lvl w:ilvl="8" w:tplc="5BCE7EC2">
      <w:numFmt w:val="bullet"/>
      <w:lvlText w:val="•"/>
      <w:lvlJc w:val="left"/>
      <w:pPr>
        <w:ind w:left="7861" w:hanging="552"/>
      </w:pPr>
      <w:rPr>
        <w:rFonts w:hint="default"/>
        <w:lang w:val="en-GB" w:eastAsia="en-US" w:bidi="ar-SA"/>
      </w:rPr>
    </w:lvl>
  </w:abstractNum>
  <w:abstractNum w:abstractNumId="42">
    <w:nsid w:val="15C96AA9"/>
    <w:multiLevelType w:val="hybridMultilevel"/>
    <w:tmpl w:val="51A809F6"/>
    <w:lvl w:ilvl="0" w:tplc="8252F1D0">
      <w:start w:val="126"/>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4A90D276">
      <w:numFmt w:val="bullet"/>
      <w:lvlText w:val="•"/>
      <w:lvlJc w:val="left"/>
      <w:pPr>
        <w:ind w:left="1720" w:hanging="675"/>
      </w:pPr>
      <w:rPr>
        <w:rFonts w:hint="default"/>
        <w:lang w:val="en-GB" w:eastAsia="en-US" w:bidi="ar-SA"/>
      </w:rPr>
    </w:lvl>
    <w:lvl w:ilvl="2" w:tplc="AB92A658">
      <w:numFmt w:val="bullet"/>
      <w:lvlText w:val="•"/>
      <w:lvlJc w:val="left"/>
      <w:pPr>
        <w:ind w:left="2601" w:hanging="675"/>
      </w:pPr>
      <w:rPr>
        <w:rFonts w:hint="default"/>
        <w:lang w:val="en-GB" w:eastAsia="en-US" w:bidi="ar-SA"/>
      </w:rPr>
    </w:lvl>
    <w:lvl w:ilvl="3" w:tplc="05BC35C8">
      <w:numFmt w:val="bullet"/>
      <w:lvlText w:val="•"/>
      <w:lvlJc w:val="left"/>
      <w:pPr>
        <w:ind w:left="3481" w:hanging="675"/>
      </w:pPr>
      <w:rPr>
        <w:rFonts w:hint="default"/>
        <w:lang w:val="en-GB" w:eastAsia="en-US" w:bidi="ar-SA"/>
      </w:rPr>
    </w:lvl>
    <w:lvl w:ilvl="4" w:tplc="8B001A7A">
      <w:numFmt w:val="bullet"/>
      <w:lvlText w:val="•"/>
      <w:lvlJc w:val="left"/>
      <w:pPr>
        <w:ind w:left="4362" w:hanging="675"/>
      </w:pPr>
      <w:rPr>
        <w:rFonts w:hint="default"/>
        <w:lang w:val="en-GB" w:eastAsia="en-US" w:bidi="ar-SA"/>
      </w:rPr>
    </w:lvl>
    <w:lvl w:ilvl="5" w:tplc="03B81C70">
      <w:numFmt w:val="bullet"/>
      <w:lvlText w:val="•"/>
      <w:lvlJc w:val="left"/>
      <w:pPr>
        <w:ind w:left="5243" w:hanging="675"/>
      </w:pPr>
      <w:rPr>
        <w:rFonts w:hint="default"/>
        <w:lang w:val="en-GB" w:eastAsia="en-US" w:bidi="ar-SA"/>
      </w:rPr>
    </w:lvl>
    <w:lvl w:ilvl="6" w:tplc="4150FE24">
      <w:numFmt w:val="bullet"/>
      <w:lvlText w:val="•"/>
      <w:lvlJc w:val="left"/>
      <w:pPr>
        <w:ind w:left="6123" w:hanging="675"/>
      </w:pPr>
      <w:rPr>
        <w:rFonts w:hint="default"/>
        <w:lang w:val="en-GB" w:eastAsia="en-US" w:bidi="ar-SA"/>
      </w:rPr>
    </w:lvl>
    <w:lvl w:ilvl="7" w:tplc="5DC23DEA">
      <w:numFmt w:val="bullet"/>
      <w:lvlText w:val="•"/>
      <w:lvlJc w:val="left"/>
      <w:pPr>
        <w:ind w:left="7004" w:hanging="675"/>
      </w:pPr>
      <w:rPr>
        <w:rFonts w:hint="default"/>
        <w:lang w:val="en-GB" w:eastAsia="en-US" w:bidi="ar-SA"/>
      </w:rPr>
    </w:lvl>
    <w:lvl w:ilvl="8" w:tplc="AB1CE818">
      <w:numFmt w:val="bullet"/>
      <w:lvlText w:val="•"/>
      <w:lvlJc w:val="left"/>
      <w:pPr>
        <w:ind w:left="7885" w:hanging="675"/>
      </w:pPr>
      <w:rPr>
        <w:rFonts w:hint="default"/>
        <w:lang w:val="en-GB" w:eastAsia="en-US" w:bidi="ar-SA"/>
      </w:rPr>
    </w:lvl>
  </w:abstractNum>
  <w:abstractNum w:abstractNumId="43">
    <w:nsid w:val="15D6710E"/>
    <w:multiLevelType w:val="hybridMultilevel"/>
    <w:tmpl w:val="E8EC3B44"/>
    <w:lvl w:ilvl="0" w:tplc="0E842B6C">
      <w:start w:val="1"/>
      <w:numFmt w:val="decimal"/>
      <w:lvlText w:val="%1."/>
      <w:lvlJc w:val="left"/>
      <w:pPr>
        <w:ind w:left="108" w:hanging="221"/>
        <w:jc w:val="left"/>
      </w:pPr>
      <w:rPr>
        <w:rFonts w:ascii="Arial" w:eastAsia="Arial" w:hAnsi="Arial" w:cs="Arial" w:hint="default"/>
        <w:b w:val="0"/>
        <w:bCs w:val="0"/>
        <w:i w:val="0"/>
        <w:iCs w:val="0"/>
        <w:spacing w:val="-1"/>
        <w:w w:val="99"/>
        <w:sz w:val="20"/>
        <w:szCs w:val="20"/>
        <w:lang w:val="en-GB" w:eastAsia="en-US" w:bidi="ar-SA"/>
      </w:rPr>
    </w:lvl>
    <w:lvl w:ilvl="1" w:tplc="3162C79A">
      <w:numFmt w:val="bullet"/>
      <w:lvlText w:val="•"/>
      <w:lvlJc w:val="left"/>
      <w:pPr>
        <w:ind w:left="409" w:hanging="221"/>
      </w:pPr>
      <w:rPr>
        <w:rFonts w:hint="default"/>
        <w:lang w:val="en-GB" w:eastAsia="en-US" w:bidi="ar-SA"/>
      </w:rPr>
    </w:lvl>
    <w:lvl w:ilvl="2" w:tplc="F90E204A">
      <w:numFmt w:val="bullet"/>
      <w:lvlText w:val="•"/>
      <w:lvlJc w:val="left"/>
      <w:pPr>
        <w:ind w:left="718" w:hanging="221"/>
      </w:pPr>
      <w:rPr>
        <w:rFonts w:hint="default"/>
        <w:lang w:val="en-GB" w:eastAsia="en-US" w:bidi="ar-SA"/>
      </w:rPr>
    </w:lvl>
    <w:lvl w:ilvl="3" w:tplc="3F725E6E">
      <w:numFmt w:val="bullet"/>
      <w:lvlText w:val="•"/>
      <w:lvlJc w:val="left"/>
      <w:pPr>
        <w:ind w:left="1027" w:hanging="221"/>
      </w:pPr>
      <w:rPr>
        <w:rFonts w:hint="default"/>
        <w:lang w:val="en-GB" w:eastAsia="en-US" w:bidi="ar-SA"/>
      </w:rPr>
    </w:lvl>
    <w:lvl w:ilvl="4" w:tplc="30A0B0D0">
      <w:numFmt w:val="bullet"/>
      <w:lvlText w:val="•"/>
      <w:lvlJc w:val="left"/>
      <w:pPr>
        <w:ind w:left="1336" w:hanging="221"/>
      </w:pPr>
      <w:rPr>
        <w:rFonts w:hint="default"/>
        <w:lang w:val="en-GB" w:eastAsia="en-US" w:bidi="ar-SA"/>
      </w:rPr>
    </w:lvl>
    <w:lvl w:ilvl="5" w:tplc="CCEC1D50">
      <w:numFmt w:val="bullet"/>
      <w:lvlText w:val="•"/>
      <w:lvlJc w:val="left"/>
      <w:pPr>
        <w:ind w:left="1646" w:hanging="221"/>
      </w:pPr>
      <w:rPr>
        <w:rFonts w:hint="default"/>
        <w:lang w:val="en-GB" w:eastAsia="en-US" w:bidi="ar-SA"/>
      </w:rPr>
    </w:lvl>
    <w:lvl w:ilvl="6" w:tplc="C5840E06">
      <w:numFmt w:val="bullet"/>
      <w:lvlText w:val="•"/>
      <w:lvlJc w:val="left"/>
      <w:pPr>
        <w:ind w:left="1955" w:hanging="221"/>
      </w:pPr>
      <w:rPr>
        <w:rFonts w:hint="default"/>
        <w:lang w:val="en-GB" w:eastAsia="en-US" w:bidi="ar-SA"/>
      </w:rPr>
    </w:lvl>
    <w:lvl w:ilvl="7" w:tplc="57E21054">
      <w:numFmt w:val="bullet"/>
      <w:lvlText w:val="•"/>
      <w:lvlJc w:val="left"/>
      <w:pPr>
        <w:ind w:left="2264" w:hanging="221"/>
      </w:pPr>
      <w:rPr>
        <w:rFonts w:hint="default"/>
        <w:lang w:val="en-GB" w:eastAsia="en-US" w:bidi="ar-SA"/>
      </w:rPr>
    </w:lvl>
    <w:lvl w:ilvl="8" w:tplc="D346A238">
      <w:numFmt w:val="bullet"/>
      <w:lvlText w:val="•"/>
      <w:lvlJc w:val="left"/>
      <w:pPr>
        <w:ind w:left="2573" w:hanging="221"/>
      </w:pPr>
      <w:rPr>
        <w:rFonts w:hint="default"/>
        <w:lang w:val="en-GB" w:eastAsia="en-US" w:bidi="ar-SA"/>
      </w:rPr>
    </w:lvl>
  </w:abstractNum>
  <w:abstractNum w:abstractNumId="44">
    <w:nsid w:val="173D3183"/>
    <w:multiLevelType w:val="hybridMultilevel"/>
    <w:tmpl w:val="6E6A7824"/>
    <w:lvl w:ilvl="0" w:tplc="80281568">
      <w:start w:val="3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FB6AC9E">
      <w:numFmt w:val="bullet"/>
      <w:lvlText w:val="•"/>
      <w:lvlJc w:val="left"/>
      <w:pPr>
        <w:ind w:left="1612" w:hanging="552"/>
      </w:pPr>
      <w:rPr>
        <w:rFonts w:hint="default"/>
        <w:lang w:val="en-GB" w:eastAsia="en-US" w:bidi="ar-SA"/>
      </w:rPr>
    </w:lvl>
    <w:lvl w:ilvl="2" w:tplc="989C36CA">
      <w:numFmt w:val="bullet"/>
      <w:lvlText w:val="•"/>
      <w:lvlJc w:val="left"/>
      <w:pPr>
        <w:ind w:left="2505" w:hanging="552"/>
      </w:pPr>
      <w:rPr>
        <w:rFonts w:hint="default"/>
        <w:lang w:val="en-GB" w:eastAsia="en-US" w:bidi="ar-SA"/>
      </w:rPr>
    </w:lvl>
    <w:lvl w:ilvl="3" w:tplc="65FAC6AA">
      <w:numFmt w:val="bullet"/>
      <w:lvlText w:val="•"/>
      <w:lvlJc w:val="left"/>
      <w:pPr>
        <w:ind w:left="3397" w:hanging="552"/>
      </w:pPr>
      <w:rPr>
        <w:rFonts w:hint="default"/>
        <w:lang w:val="en-GB" w:eastAsia="en-US" w:bidi="ar-SA"/>
      </w:rPr>
    </w:lvl>
    <w:lvl w:ilvl="4" w:tplc="13BA2FDA">
      <w:numFmt w:val="bullet"/>
      <w:lvlText w:val="•"/>
      <w:lvlJc w:val="left"/>
      <w:pPr>
        <w:ind w:left="4290" w:hanging="552"/>
      </w:pPr>
      <w:rPr>
        <w:rFonts w:hint="default"/>
        <w:lang w:val="en-GB" w:eastAsia="en-US" w:bidi="ar-SA"/>
      </w:rPr>
    </w:lvl>
    <w:lvl w:ilvl="5" w:tplc="23E09EDC">
      <w:numFmt w:val="bullet"/>
      <w:lvlText w:val="•"/>
      <w:lvlJc w:val="left"/>
      <w:pPr>
        <w:ind w:left="5183" w:hanging="552"/>
      </w:pPr>
      <w:rPr>
        <w:rFonts w:hint="default"/>
        <w:lang w:val="en-GB" w:eastAsia="en-US" w:bidi="ar-SA"/>
      </w:rPr>
    </w:lvl>
    <w:lvl w:ilvl="6" w:tplc="0CB006F8">
      <w:numFmt w:val="bullet"/>
      <w:lvlText w:val="•"/>
      <w:lvlJc w:val="left"/>
      <w:pPr>
        <w:ind w:left="6075" w:hanging="552"/>
      </w:pPr>
      <w:rPr>
        <w:rFonts w:hint="default"/>
        <w:lang w:val="en-GB" w:eastAsia="en-US" w:bidi="ar-SA"/>
      </w:rPr>
    </w:lvl>
    <w:lvl w:ilvl="7" w:tplc="D2CC8586">
      <w:numFmt w:val="bullet"/>
      <w:lvlText w:val="•"/>
      <w:lvlJc w:val="left"/>
      <w:pPr>
        <w:ind w:left="6968" w:hanging="552"/>
      </w:pPr>
      <w:rPr>
        <w:rFonts w:hint="default"/>
        <w:lang w:val="en-GB" w:eastAsia="en-US" w:bidi="ar-SA"/>
      </w:rPr>
    </w:lvl>
    <w:lvl w:ilvl="8" w:tplc="C646F53A">
      <w:numFmt w:val="bullet"/>
      <w:lvlText w:val="•"/>
      <w:lvlJc w:val="left"/>
      <w:pPr>
        <w:ind w:left="7861" w:hanging="552"/>
      </w:pPr>
      <w:rPr>
        <w:rFonts w:hint="default"/>
        <w:lang w:val="en-GB" w:eastAsia="en-US" w:bidi="ar-SA"/>
      </w:rPr>
    </w:lvl>
  </w:abstractNum>
  <w:abstractNum w:abstractNumId="45">
    <w:nsid w:val="180F3C6F"/>
    <w:multiLevelType w:val="hybridMultilevel"/>
    <w:tmpl w:val="70B41464"/>
    <w:lvl w:ilvl="0" w:tplc="C1768532">
      <w:start w:val="6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B0C3078">
      <w:numFmt w:val="bullet"/>
      <w:lvlText w:val="•"/>
      <w:lvlJc w:val="left"/>
      <w:pPr>
        <w:ind w:left="1612" w:hanging="552"/>
      </w:pPr>
      <w:rPr>
        <w:rFonts w:hint="default"/>
        <w:lang w:val="en-GB" w:eastAsia="en-US" w:bidi="ar-SA"/>
      </w:rPr>
    </w:lvl>
    <w:lvl w:ilvl="2" w:tplc="C3B8E1AC">
      <w:numFmt w:val="bullet"/>
      <w:lvlText w:val="•"/>
      <w:lvlJc w:val="left"/>
      <w:pPr>
        <w:ind w:left="2505" w:hanging="552"/>
      </w:pPr>
      <w:rPr>
        <w:rFonts w:hint="default"/>
        <w:lang w:val="en-GB" w:eastAsia="en-US" w:bidi="ar-SA"/>
      </w:rPr>
    </w:lvl>
    <w:lvl w:ilvl="3" w:tplc="0A1C4406">
      <w:numFmt w:val="bullet"/>
      <w:lvlText w:val="•"/>
      <w:lvlJc w:val="left"/>
      <w:pPr>
        <w:ind w:left="3397" w:hanging="552"/>
      </w:pPr>
      <w:rPr>
        <w:rFonts w:hint="default"/>
        <w:lang w:val="en-GB" w:eastAsia="en-US" w:bidi="ar-SA"/>
      </w:rPr>
    </w:lvl>
    <w:lvl w:ilvl="4" w:tplc="11E0FA9A">
      <w:numFmt w:val="bullet"/>
      <w:lvlText w:val="•"/>
      <w:lvlJc w:val="left"/>
      <w:pPr>
        <w:ind w:left="4290" w:hanging="552"/>
      </w:pPr>
      <w:rPr>
        <w:rFonts w:hint="default"/>
        <w:lang w:val="en-GB" w:eastAsia="en-US" w:bidi="ar-SA"/>
      </w:rPr>
    </w:lvl>
    <w:lvl w:ilvl="5" w:tplc="73C24600">
      <w:numFmt w:val="bullet"/>
      <w:lvlText w:val="•"/>
      <w:lvlJc w:val="left"/>
      <w:pPr>
        <w:ind w:left="5183" w:hanging="552"/>
      </w:pPr>
      <w:rPr>
        <w:rFonts w:hint="default"/>
        <w:lang w:val="en-GB" w:eastAsia="en-US" w:bidi="ar-SA"/>
      </w:rPr>
    </w:lvl>
    <w:lvl w:ilvl="6" w:tplc="CB8A11E0">
      <w:numFmt w:val="bullet"/>
      <w:lvlText w:val="•"/>
      <w:lvlJc w:val="left"/>
      <w:pPr>
        <w:ind w:left="6075" w:hanging="552"/>
      </w:pPr>
      <w:rPr>
        <w:rFonts w:hint="default"/>
        <w:lang w:val="en-GB" w:eastAsia="en-US" w:bidi="ar-SA"/>
      </w:rPr>
    </w:lvl>
    <w:lvl w:ilvl="7" w:tplc="3B664BE0">
      <w:numFmt w:val="bullet"/>
      <w:lvlText w:val="•"/>
      <w:lvlJc w:val="left"/>
      <w:pPr>
        <w:ind w:left="6968" w:hanging="552"/>
      </w:pPr>
      <w:rPr>
        <w:rFonts w:hint="default"/>
        <w:lang w:val="en-GB" w:eastAsia="en-US" w:bidi="ar-SA"/>
      </w:rPr>
    </w:lvl>
    <w:lvl w:ilvl="8" w:tplc="69C06146">
      <w:numFmt w:val="bullet"/>
      <w:lvlText w:val="•"/>
      <w:lvlJc w:val="left"/>
      <w:pPr>
        <w:ind w:left="7861" w:hanging="552"/>
      </w:pPr>
      <w:rPr>
        <w:rFonts w:hint="default"/>
        <w:lang w:val="en-GB" w:eastAsia="en-US" w:bidi="ar-SA"/>
      </w:rPr>
    </w:lvl>
  </w:abstractNum>
  <w:abstractNum w:abstractNumId="46">
    <w:nsid w:val="18262100"/>
    <w:multiLevelType w:val="hybridMultilevel"/>
    <w:tmpl w:val="4AF60F5A"/>
    <w:lvl w:ilvl="0" w:tplc="3D7ADF9E">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74F2E6D2">
      <w:numFmt w:val="bullet"/>
      <w:lvlText w:val="•"/>
      <w:lvlJc w:val="left"/>
      <w:pPr>
        <w:ind w:left="579" w:hanging="286"/>
      </w:pPr>
      <w:rPr>
        <w:rFonts w:hint="default"/>
        <w:lang w:val="en-GB" w:eastAsia="en-US" w:bidi="ar-SA"/>
      </w:rPr>
    </w:lvl>
    <w:lvl w:ilvl="2" w:tplc="BB2C2D20">
      <w:numFmt w:val="bullet"/>
      <w:lvlText w:val="•"/>
      <w:lvlJc w:val="left"/>
      <w:pPr>
        <w:ind w:left="719" w:hanging="286"/>
      </w:pPr>
      <w:rPr>
        <w:rFonts w:hint="default"/>
        <w:lang w:val="en-GB" w:eastAsia="en-US" w:bidi="ar-SA"/>
      </w:rPr>
    </w:lvl>
    <w:lvl w:ilvl="3" w:tplc="8244FEBC">
      <w:numFmt w:val="bullet"/>
      <w:lvlText w:val="•"/>
      <w:lvlJc w:val="left"/>
      <w:pPr>
        <w:ind w:left="859" w:hanging="286"/>
      </w:pPr>
      <w:rPr>
        <w:rFonts w:hint="default"/>
        <w:lang w:val="en-GB" w:eastAsia="en-US" w:bidi="ar-SA"/>
      </w:rPr>
    </w:lvl>
    <w:lvl w:ilvl="4" w:tplc="37482226">
      <w:numFmt w:val="bullet"/>
      <w:lvlText w:val="•"/>
      <w:lvlJc w:val="left"/>
      <w:pPr>
        <w:ind w:left="999" w:hanging="286"/>
      </w:pPr>
      <w:rPr>
        <w:rFonts w:hint="default"/>
        <w:lang w:val="en-GB" w:eastAsia="en-US" w:bidi="ar-SA"/>
      </w:rPr>
    </w:lvl>
    <w:lvl w:ilvl="5" w:tplc="5F6ABDB2">
      <w:numFmt w:val="bullet"/>
      <w:lvlText w:val="•"/>
      <w:lvlJc w:val="left"/>
      <w:pPr>
        <w:ind w:left="1139" w:hanging="286"/>
      </w:pPr>
      <w:rPr>
        <w:rFonts w:hint="default"/>
        <w:lang w:val="en-GB" w:eastAsia="en-US" w:bidi="ar-SA"/>
      </w:rPr>
    </w:lvl>
    <w:lvl w:ilvl="6" w:tplc="CFCAED00">
      <w:numFmt w:val="bullet"/>
      <w:lvlText w:val="•"/>
      <w:lvlJc w:val="left"/>
      <w:pPr>
        <w:ind w:left="1278" w:hanging="286"/>
      </w:pPr>
      <w:rPr>
        <w:rFonts w:hint="default"/>
        <w:lang w:val="en-GB" w:eastAsia="en-US" w:bidi="ar-SA"/>
      </w:rPr>
    </w:lvl>
    <w:lvl w:ilvl="7" w:tplc="DC46EDF8">
      <w:numFmt w:val="bullet"/>
      <w:lvlText w:val="•"/>
      <w:lvlJc w:val="left"/>
      <w:pPr>
        <w:ind w:left="1418" w:hanging="286"/>
      </w:pPr>
      <w:rPr>
        <w:rFonts w:hint="default"/>
        <w:lang w:val="en-GB" w:eastAsia="en-US" w:bidi="ar-SA"/>
      </w:rPr>
    </w:lvl>
    <w:lvl w:ilvl="8" w:tplc="FE906654">
      <w:numFmt w:val="bullet"/>
      <w:lvlText w:val="•"/>
      <w:lvlJc w:val="left"/>
      <w:pPr>
        <w:ind w:left="1558" w:hanging="286"/>
      </w:pPr>
      <w:rPr>
        <w:rFonts w:hint="default"/>
        <w:lang w:val="en-GB" w:eastAsia="en-US" w:bidi="ar-SA"/>
      </w:rPr>
    </w:lvl>
  </w:abstractNum>
  <w:abstractNum w:abstractNumId="47">
    <w:nsid w:val="19087A94"/>
    <w:multiLevelType w:val="hybridMultilevel"/>
    <w:tmpl w:val="9E324D6E"/>
    <w:lvl w:ilvl="0" w:tplc="ED80F66A">
      <w:start w:val="1"/>
      <w:numFmt w:val="decimal"/>
      <w:lvlText w:val="%1."/>
      <w:lvlJc w:val="left"/>
      <w:pPr>
        <w:ind w:left="468" w:hanging="361"/>
        <w:jc w:val="left"/>
      </w:pPr>
      <w:rPr>
        <w:rFonts w:ascii="Arial" w:eastAsia="Arial" w:hAnsi="Arial" w:cs="Arial" w:hint="default"/>
        <w:b w:val="0"/>
        <w:bCs w:val="0"/>
        <w:i w:val="0"/>
        <w:iCs w:val="0"/>
        <w:spacing w:val="-1"/>
        <w:w w:val="99"/>
        <w:sz w:val="20"/>
        <w:szCs w:val="20"/>
        <w:lang w:val="en-GB" w:eastAsia="en-US" w:bidi="ar-SA"/>
      </w:rPr>
    </w:lvl>
    <w:lvl w:ilvl="1" w:tplc="F5A20172">
      <w:numFmt w:val="bullet"/>
      <w:lvlText w:val="•"/>
      <w:lvlJc w:val="left"/>
      <w:pPr>
        <w:ind w:left="728" w:hanging="361"/>
      </w:pPr>
      <w:rPr>
        <w:rFonts w:hint="default"/>
        <w:lang w:val="en-GB" w:eastAsia="en-US" w:bidi="ar-SA"/>
      </w:rPr>
    </w:lvl>
    <w:lvl w:ilvl="2" w:tplc="F12E1AFC">
      <w:numFmt w:val="bullet"/>
      <w:lvlText w:val="•"/>
      <w:lvlJc w:val="left"/>
      <w:pPr>
        <w:ind w:left="997" w:hanging="361"/>
      </w:pPr>
      <w:rPr>
        <w:rFonts w:hint="default"/>
        <w:lang w:val="en-GB" w:eastAsia="en-US" w:bidi="ar-SA"/>
      </w:rPr>
    </w:lvl>
    <w:lvl w:ilvl="3" w:tplc="A836CC6E">
      <w:numFmt w:val="bullet"/>
      <w:lvlText w:val="•"/>
      <w:lvlJc w:val="left"/>
      <w:pPr>
        <w:ind w:left="1266" w:hanging="361"/>
      </w:pPr>
      <w:rPr>
        <w:rFonts w:hint="default"/>
        <w:lang w:val="en-GB" w:eastAsia="en-US" w:bidi="ar-SA"/>
      </w:rPr>
    </w:lvl>
    <w:lvl w:ilvl="4" w:tplc="565C5DF8">
      <w:numFmt w:val="bullet"/>
      <w:lvlText w:val="•"/>
      <w:lvlJc w:val="left"/>
      <w:pPr>
        <w:ind w:left="1535" w:hanging="361"/>
      </w:pPr>
      <w:rPr>
        <w:rFonts w:hint="default"/>
        <w:lang w:val="en-GB" w:eastAsia="en-US" w:bidi="ar-SA"/>
      </w:rPr>
    </w:lvl>
    <w:lvl w:ilvl="5" w:tplc="5C7EAC2C">
      <w:numFmt w:val="bullet"/>
      <w:lvlText w:val="•"/>
      <w:lvlJc w:val="left"/>
      <w:pPr>
        <w:ind w:left="1804" w:hanging="361"/>
      </w:pPr>
      <w:rPr>
        <w:rFonts w:hint="default"/>
        <w:lang w:val="en-GB" w:eastAsia="en-US" w:bidi="ar-SA"/>
      </w:rPr>
    </w:lvl>
    <w:lvl w:ilvl="6" w:tplc="9C40C2A8">
      <w:numFmt w:val="bullet"/>
      <w:lvlText w:val="•"/>
      <w:lvlJc w:val="left"/>
      <w:pPr>
        <w:ind w:left="2073" w:hanging="361"/>
      </w:pPr>
      <w:rPr>
        <w:rFonts w:hint="default"/>
        <w:lang w:val="en-GB" w:eastAsia="en-US" w:bidi="ar-SA"/>
      </w:rPr>
    </w:lvl>
    <w:lvl w:ilvl="7" w:tplc="5D52AFB2">
      <w:numFmt w:val="bullet"/>
      <w:lvlText w:val="•"/>
      <w:lvlJc w:val="left"/>
      <w:pPr>
        <w:ind w:left="2342" w:hanging="361"/>
      </w:pPr>
      <w:rPr>
        <w:rFonts w:hint="default"/>
        <w:lang w:val="en-GB" w:eastAsia="en-US" w:bidi="ar-SA"/>
      </w:rPr>
    </w:lvl>
    <w:lvl w:ilvl="8" w:tplc="BC4401C8">
      <w:numFmt w:val="bullet"/>
      <w:lvlText w:val="•"/>
      <w:lvlJc w:val="left"/>
      <w:pPr>
        <w:ind w:left="2611" w:hanging="361"/>
      </w:pPr>
      <w:rPr>
        <w:rFonts w:hint="default"/>
        <w:lang w:val="en-GB" w:eastAsia="en-US" w:bidi="ar-SA"/>
      </w:rPr>
    </w:lvl>
  </w:abstractNum>
  <w:abstractNum w:abstractNumId="48">
    <w:nsid w:val="19B72AC3"/>
    <w:multiLevelType w:val="hybridMultilevel"/>
    <w:tmpl w:val="69A2F226"/>
    <w:lvl w:ilvl="0" w:tplc="602003FE">
      <w:start w:val="10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7632D2A0">
      <w:numFmt w:val="bullet"/>
      <w:lvlText w:val="•"/>
      <w:lvlJc w:val="left"/>
      <w:pPr>
        <w:ind w:left="1720" w:hanging="675"/>
      </w:pPr>
      <w:rPr>
        <w:rFonts w:hint="default"/>
        <w:lang w:val="en-GB" w:eastAsia="en-US" w:bidi="ar-SA"/>
      </w:rPr>
    </w:lvl>
    <w:lvl w:ilvl="2" w:tplc="DE2CE3B2">
      <w:numFmt w:val="bullet"/>
      <w:lvlText w:val="•"/>
      <w:lvlJc w:val="left"/>
      <w:pPr>
        <w:ind w:left="2601" w:hanging="675"/>
      </w:pPr>
      <w:rPr>
        <w:rFonts w:hint="default"/>
        <w:lang w:val="en-GB" w:eastAsia="en-US" w:bidi="ar-SA"/>
      </w:rPr>
    </w:lvl>
    <w:lvl w:ilvl="3" w:tplc="C88AE68E">
      <w:numFmt w:val="bullet"/>
      <w:lvlText w:val="•"/>
      <w:lvlJc w:val="left"/>
      <w:pPr>
        <w:ind w:left="3481" w:hanging="675"/>
      </w:pPr>
      <w:rPr>
        <w:rFonts w:hint="default"/>
        <w:lang w:val="en-GB" w:eastAsia="en-US" w:bidi="ar-SA"/>
      </w:rPr>
    </w:lvl>
    <w:lvl w:ilvl="4" w:tplc="6742EA6A">
      <w:numFmt w:val="bullet"/>
      <w:lvlText w:val="•"/>
      <w:lvlJc w:val="left"/>
      <w:pPr>
        <w:ind w:left="4362" w:hanging="675"/>
      </w:pPr>
      <w:rPr>
        <w:rFonts w:hint="default"/>
        <w:lang w:val="en-GB" w:eastAsia="en-US" w:bidi="ar-SA"/>
      </w:rPr>
    </w:lvl>
    <w:lvl w:ilvl="5" w:tplc="92DEF986">
      <w:numFmt w:val="bullet"/>
      <w:lvlText w:val="•"/>
      <w:lvlJc w:val="left"/>
      <w:pPr>
        <w:ind w:left="5243" w:hanging="675"/>
      </w:pPr>
      <w:rPr>
        <w:rFonts w:hint="default"/>
        <w:lang w:val="en-GB" w:eastAsia="en-US" w:bidi="ar-SA"/>
      </w:rPr>
    </w:lvl>
    <w:lvl w:ilvl="6" w:tplc="4EE64BDE">
      <w:numFmt w:val="bullet"/>
      <w:lvlText w:val="•"/>
      <w:lvlJc w:val="left"/>
      <w:pPr>
        <w:ind w:left="6123" w:hanging="675"/>
      </w:pPr>
      <w:rPr>
        <w:rFonts w:hint="default"/>
        <w:lang w:val="en-GB" w:eastAsia="en-US" w:bidi="ar-SA"/>
      </w:rPr>
    </w:lvl>
    <w:lvl w:ilvl="7" w:tplc="0E94B986">
      <w:numFmt w:val="bullet"/>
      <w:lvlText w:val="•"/>
      <w:lvlJc w:val="left"/>
      <w:pPr>
        <w:ind w:left="7004" w:hanging="675"/>
      </w:pPr>
      <w:rPr>
        <w:rFonts w:hint="default"/>
        <w:lang w:val="en-GB" w:eastAsia="en-US" w:bidi="ar-SA"/>
      </w:rPr>
    </w:lvl>
    <w:lvl w:ilvl="8" w:tplc="EEEA0638">
      <w:numFmt w:val="bullet"/>
      <w:lvlText w:val="•"/>
      <w:lvlJc w:val="left"/>
      <w:pPr>
        <w:ind w:left="7885" w:hanging="675"/>
      </w:pPr>
      <w:rPr>
        <w:rFonts w:hint="default"/>
        <w:lang w:val="en-GB" w:eastAsia="en-US" w:bidi="ar-SA"/>
      </w:rPr>
    </w:lvl>
  </w:abstractNum>
  <w:abstractNum w:abstractNumId="49">
    <w:nsid w:val="1BE41E59"/>
    <w:multiLevelType w:val="hybridMultilevel"/>
    <w:tmpl w:val="E3E68302"/>
    <w:lvl w:ilvl="0" w:tplc="53125134">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CF707DF8">
      <w:numFmt w:val="bullet"/>
      <w:lvlText w:val="•"/>
      <w:lvlJc w:val="left"/>
      <w:pPr>
        <w:ind w:left="579" w:hanging="286"/>
      </w:pPr>
      <w:rPr>
        <w:rFonts w:hint="default"/>
        <w:lang w:val="en-GB" w:eastAsia="en-US" w:bidi="ar-SA"/>
      </w:rPr>
    </w:lvl>
    <w:lvl w:ilvl="2" w:tplc="074C6A8E">
      <w:numFmt w:val="bullet"/>
      <w:lvlText w:val="•"/>
      <w:lvlJc w:val="left"/>
      <w:pPr>
        <w:ind w:left="719" w:hanging="286"/>
      </w:pPr>
      <w:rPr>
        <w:rFonts w:hint="default"/>
        <w:lang w:val="en-GB" w:eastAsia="en-US" w:bidi="ar-SA"/>
      </w:rPr>
    </w:lvl>
    <w:lvl w:ilvl="3" w:tplc="54721718">
      <w:numFmt w:val="bullet"/>
      <w:lvlText w:val="•"/>
      <w:lvlJc w:val="left"/>
      <w:pPr>
        <w:ind w:left="859" w:hanging="286"/>
      </w:pPr>
      <w:rPr>
        <w:rFonts w:hint="default"/>
        <w:lang w:val="en-GB" w:eastAsia="en-US" w:bidi="ar-SA"/>
      </w:rPr>
    </w:lvl>
    <w:lvl w:ilvl="4" w:tplc="4AC4AB48">
      <w:numFmt w:val="bullet"/>
      <w:lvlText w:val="•"/>
      <w:lvlJc w:val="left"/>
      <w:pPr>
        <w:ind w:left="999" w:hanging="286"/>
      </w:pPr>
      <w:rPr>
        <w:rFonts w:hint="default"/>
        <w:lang w:val="en-GB" w:eastAsia="en-US" w:bidi="ar-SA"/>
      </w:rPr>
    </w:lvl>
    <w:lvl w:ilvl="5" w:tplc="8C4A87FA">
      <w:numFmt w:val="bullet"/>
      <w:lvlText w:val="•"/>
      <w:lvlJc w:val="left"/>
      <w:pPr>
        <w:ind w:left="1139" w:hanging="286"/>
      </w:pPr>
      <w:rPr>
        <w:rFonts w:hint="default"/>
        <w:lang w:val="en-GB" w:eastAsia="en-US" w:bidi="ar-SA"/>
      </w:rPr>
    </w:lvl>
    <w:lvl w:ilvl="6" w:tplc="F0523D34">
      <w:numFmt w:val="bullet"/>
      <w:lvlText w:val="•"/>
      <w:lvlJc w:val="left"/>
      <w:pPr>
        <w:ind w:left="1278" w:hanging="286"/>
      </w:pPr>
      <w:rPr>
        <w:rFonts w:hint="default"/>
        <w:lang w:val="en-GB" w:eastAsia="en-US" w:bidi="ar-SA"/>
      </w:rPr>
    </w:lvl>
    <w:lvl w:ilvl="7" w:tplc="4E569EB8">
      <w:numFmt w:val="bullet"/>
      <w:lvlText w:val="•"/>
      <w:lvlJc w:val="left"/>
      <w:pPr>
        <w:ind w:left="1418" w:hanging="286"/>
      </w:pPr>
      <w:rPr>
        <w:rFonts w:hint="default"/>
        <w:lang w:val="en-GB" w:eastAsia="en-US" w:bidi="ar-SA"/>
      </w:rPr>
    </w:lvl>
    <w:lvl w:ilvl="8" w:tplc="65F03000">
      <w:numFmt w:val="bullet"/>
      <w:lvlText w:val="•"/>
      <w:lvlJc w:val="left"/>
      <w:pPr>
        <w:ind w:left="1558" w:hanging="286"/>
      </w:pPr>
      <w:rPr>
        <w:rFonts w:hint="default"/>
        <w:lang w:val="en-GB" w:eastAsia="en-US" w:bidi="ar-SA"/>
      </w:rPr>
    </w:lvl>
  </w:abstractNum>
  <w:abstractNum w:abstractNumId="50">
    <w:nsid w:val="1C174756"/>
    <w:multiLevelType w:val="hybridMultilevel"/>
    <w:tmpl w:val="E2D0CAF8"/>
    <w:lvl w:ilvl="0" w:tplc="0218AD06">
      <w:start w:val="1"/>
      <w:numFmt w:val="decimal"/>
      <w:lvlText w:val="%1."/>
      <w:lvlJc w:val="left"/>
      <w:pPr>
        <w:ind w:left="466" w:hanging="361"/>
        <w:jc w:val="left"/>
      </w:pPr>
      <w:rPr>
        <w:rFonts w:ascii="Arial" w:eastAsia="Arial" w:hAnsi="Arial" w:cs="Arial" w:hint="default"/>
        <w:b w:val="0"/>
        <w:bCs w:val="0"/>
        <w:i w:val="0"/>
        <w:iCs w:val="0"/>
        <w:spacing w:val="-1"/>
        <w:w w:val="99"/>
        <w:sz w:val="20"/>
        <w:szCs w:val="20"/>
        <w:lang w:val="en-GB" w:eastAsia="en-US" w:bidi="ar-SA"/>
      </w:rPr>
    </w:lvl>
    <w:lvl w:ilvl="1" w:tplc="39000DCA">
      <w:numFmt w:val="bullet"/>
      <w:lvlText w:val="•"/>
      <w:lvlJc w:val="left"/>
      <w:pPr>
        <w:ind w:left="733" w:hanging="361"/>
      </w:pPr>
      <w:rPr>
        <w:rFonts w:hint="default"/>
        <w:lang w:val="en-GB" w:eastAsia="en-US" w:bidi="ar-SA"/>
      </w:rPr>
    </w:lvl>
    <w:lvl w:ilvl="2" w:tplc="6A2CAEE4">
      <w:numFmt w:val="bullet"/>
      <w:lvlText w:val="•"/>
      <w:lvlJc w:val="left"/>
      <w:pPr>
        <w:ind w:left="1006" w:hanging="361"/>
      </w:pPr>
      <w:rPr>
        <w:rFonts w:hint="default"/>
        <w:lang w:val="en-GB" w:eastAsia="en-US" w:bidi="ar-SA"/>
      </w:rPr>
    </w:lvl>
    <w:lvl w:ilvl="3" w:tplc="FBD494BE">
      <w:numFmt w:val="bullet"/>
      <w:lvlText w:val="•"/>
      <w:lvlJc w:val="left"/>
      <w:pPr>
        <w:ind w:left="1279" w:hanging="361"/>
      </w:pPr>
      <w:rPr>
        <w:rFonts w:hint="default"/>
        <w:lang w:val="en-GB" w:eastAsia="en-US" w:bidi="ar-SA"/>
      </w:rPr>
    </w:lvl>
    <w:lvl w:ilvl="4" w:tplc="A1E671C2">
      <w:numFmt w:val="bullet"/>
      <w:lvlText w:val="•"/>
      <w:lvlJc w:val="left"/>
      <w:pPr>
        <w:ind w:left="1553" w:hanging="361"/>
      </w:pPr>
      <w:rPr>
        <w:rFonts w:hint="default"/>
        <w:lang w:val="en-GB" w:eastAsia="en-US" w:bidi="ar-SA"/>
      </w:rPr>
    </w:lvl>
    <w:lvl w:ilvl="5" w:tplc="8D881910">
      <w:numFmt w:val="bullet"/>
      <w:lvlText w:val="•"/>
      <w:lvlJc w:val="left"/>
      <w:pPr>
        <w:ind w:left="1826" w:hanging="361"/>
      </w:pPr>
      <w:rPr>
        <w:rFonts w:hint="default"/>
        <w:lang w:val="en-GB" w:eastAsia="en-US" w:bidi="ar-SA"/>
      </w:rPr>
    </w:lvl>
    <w:lvl w:ilvl="6" w:tplc="CFC4264E">
      <w:numFmt w:val="bullet"/>
      <w:lvlText w:val="•"/>
      <w:lvlJc w:val="left"/>
      <w:pPr>
        <w:ind w:left="2099" w:hanging="361"/>
      </w:pPr>
      <w:rPr>
        <w:rFonts w:hint="default"/>
        <w:lang w:val="en-GB" w:eastAsia="en-US" w:bidi="ar-SA"/>
      </w:rPr>
    </w:lvl>
    <w:lvl w:ilvl="7" w:tplc="CAE42734">
      <w:numFmt w:val="bullet"/>
      <w:lvlText w:val="•"/>
      <w:lvlJc w:val="left"/>
      <w:pPr>
        <w:ind w:left="2373" w:hanging="361"/>
      </w:pPr>
      <w:rPr>
        <w:rFonts w:hint="default"/>
        <w:lang w:val="en-GB" w:eastAsia="en-US" w:bidi="ar-SA"/>
      </w:rPr>
    </w:lvl>
    <w:lvl w:ilvl="8" w:tplc="46941DCE">
      <w:numFmt w:val="bullet"/>
      <w:lvlText w:val="•"/>
      <w:lvlJc w:val="left"/>
      <w:pPr>
        <w:ind w:left="2646" w:hanging="361"/>
      </w:pPr>
      <w:rPr>
        <w:rFonts w:hint="default"/>
        <w:lang w:val="en-GB" w:eastAsia="en-US" w:bidi="ar-SA"/>
      </w:rPr>
    </w:lvl>
  </w:abstractNum>
  <w:abstractNum w:abstractNumId="51">
    <w:nsid w:val="1CA632A6"/>
    <w:multiLevelType w:val="hybridMultilevel"/>
    <w:tmpl w:val="B3488672"/>
    <w:lvl w:ilvl="0" w:tplc="53FE8A0C">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64FC74A8">
      <w:numFmt w:val="bullet"/>
      <w:lvlText w:val="•"/>
      <w:lvlJc w:val="left"/>
      <w:pPr>
        <w:ind w:left="798" w:hanging="360"/>
      </w:pPr>
      <w:rPr>
        <w:rFonts w:hint="default"/>
        <w:lang w:val="en-GB" w:eastAsia="en-US" w:bidi="ar-SA"/>
      </w:rPr>
    </w:lvl>
    <w:lvl w:ilvl="2" w:tplc="DCAAFF22">
      <w:numFmt w:val="bullet"/>
      <w:lvlText w:val="•"/>
      <w:lvlJc w:val="left"/>
      <w:pPr>
        <w:ind w:left="1137" w:hanging="360"/>
      </w:pPr>
      <w:rPr>
        <w:rFonts w:hint="default"/>
        <w:lang w:val="en-GB" w:eastAsia="en-US" w:bidi="ar-SA"/>
      </w:rPr>
    </w:lvl>
    <w:lvl w:ilvl="3" w:tplc="55CA79E8">
      <w:numFmt w:val="bullet"/>
      <w:lvlText w:val="•"/>
      <w:lvlJc w:val="left"/>
      <w:pPr>
        <w:ind w:left="1475" w:hanging="360"/>
      </w:pPr>
      <w:rPr>
        <w:rFonts w:hint="default"/>
        <w:lang w:val="en-GB" w:eastAsia="en-US" w:bidi="ar-SA"/>
      </w:rPr>
    </w:lvl>
    <w:lvl w:ilvl="4" w:tplc="286AC58C">
      <w:numFmt w:val="bullet"/>
      <w:lvlText w:val="•"/>
      <w:lvlJc w:val="left"/>
      <w:pPr>
        <w:ind w:left="1814" w:hanging="360"/>
      </w:pPr>
      <w:rPr>
        <w:rFonts w:hint="default"/>
        <w:lang w:val="en-GB" w:eastAsia="en-US" w:bidi="ar-SA"/>
      </w:rPr>
    </w:lvl>
    <w:lvl w:ilvl="5" w:tplc="0652D98C">
      <w:numFmt w:val="bullet"/>
      <w:lvlText w:val="•"/>
      <w:lvlJc w:val="left"/>
      <w:pPr>
        <w:ind w:left="2152" w:hanging="360"/>
      </w:pPr>
      <w:rPr>
        <w:rFonts w:hint="default"/>
        <w:lang w:val="en-GB" w:eastAsia="en-US" w:bidi="ar-SA"/>
      </w:rPr>
    </w:lvl>
    <w:lvl w:ilvl="6" w:tplc="8FCAD9EA">
      <w:numFmt w:val="bullet"/>
      <w:lvlText w:val="•"/>
      <w:lvlJc w:val="left"/>
      <w:pPr>
        <w:ind w:left="2491" w:hanging="360"/>
      </w:pPr>
      <w:rPr>
        <w:rFonts w:hint="default"/>
        <w:lang w:val="en-GB" w:eastAsia="en-US" w:bidi="ar-SA"/>
      </w:rPr>
    </w:lvl>
    <w:lvl w:ilvl="7" w:tplc="9AD467E8">
      <w:numFmt w:val="bullet"/>
      <w:lvlText w:val="•"/>
      <w:lvlJc w:val="left"/>
      <w:pPr>
        <w:ind w:left="2829" w:hanging="360"/>
      </w:pPr>
      <w:rPr>
        <w:rFonts w:hint="default"/>
        <w:lang w:val="en-GB" w:eastAsia="en-US" w:bidi="ar-SA"/>
      </w:rPr>
    </w:lvl>
    <w:lvl w:ilvl="8" w:tplc="A538E824">
      <w:numFmt w:val="bullet"/>
      <w:lvlText w:val="•"/>
      <w:lvlJc w:val="left"/>
      <w:pPr>
        <w:ind w:left="3168" w:hanging="360"/>
      </w:pPr>
      <w:rPr>
        <w:rFonts w:hint="default"/>
        <w:lang w:val="en-GB" w:eastAsia="en-US" w:bidi="ar-SA"/>
      </w:rPr>
    </w:lvl>
  </w:abstractNum>
  <w:abstractNum w:abstractNumId="52">
    <w:nsid w:val="1CB8040B"/>
    <w:multiLevelType w:val="hybridMultilevel"/>
    <w:tmpl w:val="9F9A406C"/>
    <w:lvl w:ilvl="0" w:tplc="CAF0E556">
      <w:start w:val="1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C4101D92">
      <w:numFmt w:val="bullet"/>
      <w:lvlText w:val="•"/>
      <w:lvlJc w:val="left"/>
      <w:pPr>
        <w:ind w:left="1612" w:hanging="552"/>
      </w:pPr>
      <w:rPr>
        <w:rFonts w:hint="default"/>
        <w:lang w:val="en-GB" w:eastAsia="en-US" w:bidi="ar-SA"/>
      </w:rPr>
    </w:lvl>
    <w:lvl w:ilvl="2" w:tplc="D870BFE4">
      <w:numFmt w:val="bullet"/>
      <w:lvlText w:val="•"/>
      <w:lvlJc w:val="left"/>
      <w:pPr>
        <w:ind w:left="2505" w:hanging="552"/>
      </w:pPr>
      <w:rPr>
        <w:rFonts w:hint="default"/>
        <w:lang w:val="en-GB" w:eastAsia="en-US" w:bidi="ar-SA"/>
      </w:rPr>
    </w:lvl>
    <w:lvl w:ilvl="3" w:tplc="161A366C">
      <w:numFmt w:val="bullet"/>
      <w:lvlText w:val="•"/>
      <w:lvlJc w:val="left"/>
      <w:pPr>
        <w:ind w:left="3397" w:hanging="552"/>
      </w:pPr>
      <w:rPr>
        <w:rFonts w:hint="default"/>
        <w:lang w:val="en-GB" w:eastAsia="en-US" w:bidi="ar-SA"/>
      </w:rPr>
    </w:lvl>
    <w:lvl w:ilvl="4" w:tplc="5EF8DE3E">
      <w:numFmt w:val="bullet"/>
      <w:lvlText w:val="•"/>
      <w:lvlJc w:val="left"/>
      <w:pPr>
        <w:ind w:left="4290" w:hanging="552"/>
      </w:pPr>
      <w:rPr>
        <w:rFonts w:hint="default"/>
        <w:lang w:val="en-GB" w:eastAsia="en-US" w:bidi="ar-SA"/>
      </w:rPr>
    </w:lvl>
    <w:lvl w:ilvl="5" w:tplc="9490CB96">
      <w:numFmt w:val="bullet"/>
      <w:lvlText w:val="•"/>
      <w:lvlJc w:val="left"/>
      <w:pPr>
        <w:ind w:left="5183" w:hanging="552"/>
      </w:pPr>
      <w:rPr>
        <w:rFonts w:hint="default"/>
        <w:lang w:val="en-GB" w:eastAsia="en-US" w:bidi="ar-SA"/>
      </w:rPr>
    </w:lvl>
    <w:lvl w:ilvl="6" w:tplc="F836C552">
      <w:numFmt w:val="bullet"/>
      <w:lvlText w:val="•"/>
      <w:lvlJc w:val="left"/>
      <w:pPr>
        <w:ind w:left="6075" w:hanging="552"/>
      </w:pPr>
      <w:rPr>
        <w:rFonts w:hint="default"/>
        <w:lang w:val="en-GB" w:eastAsia="en-US" w:bidi="ar-SA"/>
      </w:rPr>
    </w:lvl>
    <w:lvl w:ilvl="7" w:tplc="52A4EA50">
      <w:numFmt w:val="bullet"/>
      <w:lvlText w:val="•"/>
      <w:lvlJc w:val="left"/>
      <w:pPr>
        <w:ind w:left="6968" w:hanging="552"/>
      </w:pPr>
      <w:rPr>
        <w:rFonts w:hint="default"/>
        <w:lang w:val="en-GB" w:eastAsia="en-US" w:bidi="ar-SA"/>
      </w:rPr>
    </w:lvl>
    <w:lvl w:ilvl="8" w:tplc="904073CA">
      <w:numFmt w:val="bullet"/>
      <w:lvlText w:val="•"/>
      <w:lvlJc w:val="left"/>
      <w:pPr>
        <w:ind w:left="7861" w:hanging="552"/>
      </w:pPr>
      <w:rPr>
        <w:rFonts w:hint="default"/>
        <w:lang w:val="en-GB" w:eastAsia="en-US" w:bidi="ar-SA"/>
      </w:rPr>
    </w:lvl>
  </w:abstractNum>
  <w:abstractNum w:abstractNumId="53">
    <w:nsid w:val="1D0164BA"/>
    <w:multiLevelType w:val="hybridMultilevel"/>
    <w:tmpl w:val="FE5485A4"/>
    <w:lvl w:ilvl="0" w:tplc="474A5D7A">
      <w:start w:val="6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76B22FB2">
      <w:numFmt w:val="bullet"/>
      <w:lvlText w:val="•"/>
      <w:lvlJc w:val="left"/>
      <w:pPr>
        <w:ind w:left="1612" w:hanging="552"/>
      </w:pPr>
      <w:rPr>
        <w:rFonts w:hint="default"/>
        <w:lang w:val="en-GB" w:eastAsia="en-US" w:bidi="ar-SA"/>
      </w:rPr>
    </w:lvl>
    <w:lvl w:ilvl="2" w:tplc="387C75F4">
      <w:numFmt w:val="bullet"/>
      <w:lvlText w:val="•"/>
      <w:lvlJc w:val="left"/>
      <w:pPr>
        <w:ind w:left="2505" w:hanging="552"/>
      </w:pPr>
      <w:rPr>
        <w:rFonts w:hint="default"/>
        <w:lang w:val="en-GB" w:eastAsia="en-US" w:bidi="ar-SA"/>
      </w:rPr>
    </w:lvl>
    <w:lvl w:ilvl="3" w:tplc="A7A4AEB0">
      <w:numFmt w:val="bullet"/>
      <w:lvlText w:val="•"/>
      <w:lvlJc w:val="left"/>
      <w:pPr>
        <w:ind w:left="3397" w:hanging="552"/>
      </w:pPr>
      <w:rPr>
        <w:rFonts w:hint="default"/>
        <w:lang w:val="en-GB" w:eastAsia="en-US" w:bidi="ar-SA"/>
      </w:rPr>
    </w:lvl>
    <w:lvl w:ilvl="4" w:tplc="161A3110">
      <w:numFmt w:val="bullet"/>
      <w:lvlText w:val="•"/>
      <w:lvlJc w:val="left"/>
      <w:pPr>
        <w:ind w:left="4290" w:hanging="552"/>
      </w:pPr>
      <w:rPr>
        <w:rFonts w:hint="default"/>
        <w:lang w:val="en-GB" w:eastAsia="en-US" w:bidi="ar-SA"/>
      </w:rPr>
    </w:lvl>
    <w:lvl w:ilvl="5" w:tplc="9AA4FEAA">
      <w:numFmt w:val="bullet"/>
      <w:lvlText w:val="•"/>
      <w:lvlJc w:val="left"/>
      <w:pPr>
        <w:ind w:left="5183" w:hanging="552"/>
      </w:pPr>
      <w:rPr>
        <w:rFonts w:hint="default"/>
        <w:lang w:val="en-GB" w:eastAsia="en-US" w:bidi="ar-SA"/>
      </w:rPr>
    </w:lvl>
    <w:lvl w:ilvl="6" w:tplc="874AA730">
      <w:numFmt w:val="bullet"/>
      <w:lvlText w:val="•"/>
      <w:lvlJc w:val="left"/>
      <w:pPr>
        <w:ind w:left="6075" w:hanging="552"/>
      </w:pPr>
      <w:rPr>
        <w:rFonts w:hint="default"/>
        <w:lang w:val="en-GB" w:eastAsia="en-US" w:bidi="ar-SA"/>
      </w:rPr>
    </w:lvl>
    <w:lvl w:ilvl="7" w:tplc="59C679C2">
      <w:numFmt w:val="bullet"/>
      <w:lvlText w:val="•"/>
      <w:lvlJc w:val="left"/>
      <w:pPr>
        <w:ind w:left="6968" w:hanging="552"/>
      </w:pPr>
      <w:rPr>
        <w:rFonts w:hint="default"/>
        <w:lang w:val="en-GB" w:eastAsia="en-US" w:bidi="ar-SA"/>
      </w:rPr>
    </w:lvl>
    <w:lvl w:ilvl="8" w:tplc="92D8D5B4">
      <w:numFmt w:val="bullet"/>
      <w:lvlText w:val="•"/>
      <w:lvlJc w:val="left"/>
      <w:pPr>
        <w:ind w:left="7861" w:hanging="552"/>
      </w:pPr>
      <w:rPr>
        <w:rFonts w:hint="default"/>
        <w:lang w:val="en-GB" w:eastAsia="en-US" w:bidi="ar-SA"/>
      </w:rPr>
    </w:lvl>
  </w:abstractNum>
  <w:abstractNum w:abstractNumId="54">
    <w:nsid w:val="1DA50046"/>
    <w:multiLevelType w:val="hybridMultilevel"/>
    <w:tmpl w:val="612C36B0"/>
    <w:lvl w:ilvl="0" w:tplc="81E49EC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en-GB" w:eastAsia="en-US" w:bidi="ar-SA"/>
      </w:rPr>
    </w:lvl>
    <w:lvl w:ilvl="1" w:tplc="D2687044">
      <w:numFmt w:val="bullet"/>
      <w:lvlText w:val="•"/>
      <w:lvlJc w:val="left"/>
      <w:pPr>
        <w:ind w:left="593" w:hanging="221"/>
      </w:pPr>
      <w:rPr>
        <w:rFonts w:hint="default"/>
        <w:lang w:val="en-GB" w:eastAsia="en-US" w:bidi="ar-SA"/>
      </w:rPr>
    </w:lvl>
    <w:lvl w:ilvl="2" w:tplc="7D4C472C">
      <w:numFmt w:val="bullet"/>
      <w:lvlText w:val="•"/>
      <w:lvlJc w:val="left"/>
      <w:pPr>
        <w:ind w:left="866" w:hanging="221"/>
      </w:pPr>
      <w:rPr>
        <w:rFonts w:hint="default"/>
        <w:lang w:val="en-GB" w:eastAsia="en-US" w:bidi="ar-SA"/>
      </w:rPr>
    </w:lvl>
    <w:lvl w:ilvl="3" w:tplc="BEB0FB8A">
      <w:numFmt w:val="bullet"/>
      <w:lvlText w:val="•"/>
      <w:lvlJc w:val="left"/>
      <w:pPr>
        <w:ind w:left="1139" w:hanging="221"/>
      </w:pPr>
      <w:rPr>
        <w:rFonts w:hint="default"/>
        <w:lang w:val="en-GB" w:eastAsia="en-US" w:bidi="ar-SA"/>
      </w:rPr>
    </w:lvl>
    <w:lvl w:ilvl="4" w:tplc="9968B950">
      <w:numFmt w:val="bullet"/>
      <w:lvlText w:val="•"/>
      <w:lvlJc w:val="left"/>
      <w:pPr>
        <w:ind w:left="1412" w:hanging="221"/>
      </w:pPr>
      <w:rPr>
        <w:rFonts w:hint="default"/>
        <w:lang w:val="en-GB" w:eastAsia="en-US" w:bidi="ar-SA"/>
      </w:rPr>
    </w:lvl>
    <w:lvl w:ilvl="5" w:tplc="E53A658A">
      <w:numFmt w:val="bullet"/>
      <w:lvlText w:val="•"/>
      <w:lvlJc w:val="left"/>
      <w:pPr>
        <w:ind w:left="1685" w:hanging="221"/>
      </w:pPr>
      <w:rPr>
        <w:rFonts w:hint="default"/>
        <w:lang w:val="en-GB" w:eastAsia="en-US" w:bidi="ar-SA"/>
      </w:rPr>
    </w:lvl>
    <w:lvl w:ilvl="6" w:tplc="BCB063FE">
      <w:numFmt w:val="bullet"/>
      <w:lvlText w:val="•"/>
      <w:lvlJc w:val="left"/>
      <w:pPr>
        <w:ind w:left="1958" w:hanging="221"/>
      </w:pPr>
      <w:rPr>
        <w:rFonts w:hint="default"/>
        <w:lang w:val="en-GB" w:eastAsia="en-US" w:bidi="ar-SA"/>
      </w:rPr>
    </w:lvl>
    <w:lvl w:ilvl="7" w:tplc="5D10CA16">
      <w:numFmt w:val="bullet"/>
      <w:lvlText w:val="•"/>
      <w:lvlJc w:val="left"/>
      <w:pPr>
        <w:ind w:left="2231" w:hanging="221"/>
      </w:pPr>
      <w:rPr>
        <w:rFonts w:hint="default"/>
        <w:lang w:val="en-GB" w:eastAsia="en-US" w:bidi="ar-SA"/>
      </w:rPr>
    </w:lvl>
    <w:lvl w:ilvl="8" w:tplc="5352E7D0">
      <w:numFmt w:val="bullet"/>
      <w:lvlText w:val="•"/>
      <w:lvlJc w:val="left"/>
      <w:pPr>
        <w:ind w:left="2504" w:hanging="221"/>
      </w:pPr>
      <w:rPr>
        <w:rFonts w:hint="default"/>
        <w:lang w:val="en-GB" w:eastAsia="en-US" w:bidi="ar-SA"/>
      </w:rPr>
    </w:lvl>
  </w:abstractNum>
  <w:abstractNum w:abstractNumId="55">
    <w:nsid w:val="1F7B740E"/>
    <w:multiLevelType w:val="hybridMultilevel"/>
    <w:tmpl w:val="17A0DB50"/>
    <w:lvl w:ilvl="0" w:tplc="2B3A9ED4">
      <w:numFmt w:val="bullet"/>
      <w:lvlText w:val="o"/>
      <w:lvlJc w:val="left"/>
      <w:pPr>
        <w:ind w:left="826" w:hanging="361"/>
      </w:pPr>
      <w:rPr>
        <w:rFonts w:ascii="Courier New" w:eastAsia="Courier New" w:hAnsi="Courier New" w:cs="Courier New" w:hint="default"/>
        <w:b w:val="0"/>
        <w:bCs w:val="0"/>
        <w:i w:val="0"/>
        <w:iCs w:val="0"/>
        <w:w w:val="99"/>
        <w:sz w:val="20"/>
        <w:szCs w:val="20"/>
        <w:lang w:val="en-GB" w:eastAsia="en-US" w:bidi="ar-SA"/>
      </w:rPr>
    </w:lvl>
    <w:lvl w:ilvl="1" w:tplc="9A82F638">
      <w:numFmt w:val="bullet"/>
      <w:lvlText w:val="•"/>
      <w:lvlJc w:val="left"/>
      <w:pPr>
        <w:ind w:left="1134" w:hanging="361"/>
      </w:pPr>
      <w:rPr>
        <w:rFonts w:hint="default"/>
        <w:lang w:val="en-GB" w:eastAsia="en-US" w:bidi="ar-SA"/>
      </w:rPr>
    </w:lvl>
    <w:lvl w:ilvl="2" w:tplc="556436D8">
      <w:numFmt w:val="bullet"/>
      <w:lvlText w:val="•"/>
      <w:lvlJc w:val="left"/>
      <w:pPr>
        <w:ind w:left="1448" w:hanging="361"/>
      </w:pPr>
      <w:rPr>
        <w:rFonts w:hint="default"/>
        <w:lang w:val="en-GB" w:eastAsia="en-US" w:bidi="ar-SA"/>
      </w:rPr>
    </w:lvl>
    <w:lvl w:ilvl="3" w:tplc="8130B082">
      <w:numFmt w:val="bullet"/>
      <w:lvlText w:val="•"/>
      <w:lvlJc w:val="left"/>
      <w:pPr>
        <w:ind w:left="1762" w:hanging="361"/>
      </w:pPr>
      <w:rPr>
        <w:rFonts w:hint="default"/>
        <w:lang w:val="en-GB" w:eastAsia="en-US" w:bidi="ar-SA"/>
      </w:rPr>
    </w:lvl>
    <w:lvl w:ilvl="4" w:tplc="1D76AC80">
      <w:numFmt w:val="bullet"/>
      <w:lvlText w:val="•"/>
      <w:lvlJc w:val="left"/>
      <w:pPr>
        <w:ind w:left="2076" w:hanging="361"/>
      </w:pPr>
      <w:rPr>
        <w:rFonts w:hint="default"/>
        <w:lang w:val="en-GB" w:eastAsia="en-US" w:bidi="ar-SA"/>
      </w:rPr>
    </w:lvl>
    <w:lvl w:ilvl="5" w:tplc="197E50AA">
      <w:numFmt w:val="bullet"/>
      <w:lvlText w:val="•"/>
      <w:lvlJc w:val="left"/>
      <w:pPr>
        <w:ind w:left="2390" w:hanging="361"/>
      </w:pPr>
      <w:rPr>
        <w:rFonts w:hint="default"/>
        <w:lang w:val="en-GB" w:eastAsia="en-US" w:bidi="ar-SA"/>
      </w:rPr>
    </w:lvl>
    <w:lvl w:ilvl="6" w:tplc="F83A63B0">
      <w:numFmt w:val="bullet"/>
      <w:lvlText w:val="•"/>
      <w:lvlJc w:val="left"/>
      <w:pPr>
        <w:ind w:left="2704" w:hanging="361"/>
      </w:pPr>
      <w:rPr>
        <w:rFonts w:hint="default"/>
        <w:lang w:val="en-GB" w:eastAsia="en-US" w:bidi="ar-SA"/>
      </w:rPr>
    </w:lvl>
    <w:lvl w:ilvl="7" w:tplc="C0785574">
      <w:numFmt w:val="bullet"/>
      <w:lvlText w:val="•"/>
      <w:lvlJc w:val="left"/>
      <w:pPr>
        <w:ind w:left="3018" w:hanging="361"/>
      </w:pPr>
      <w:rPr>
        <w:rFonts w:hint="default"/>
        <w:lang w:val="en-GB" w:eastAsia="en-US" w:bidi="ar-SA"/>
      </w:rPr>
    </w:lvl>
    <w:lvl w:ilvl="8" w:tplc="D0D040F6">
      <w:numFmt w:val="bullet"/>
      <w:lvlText w:val="•"/>
      <w:lvlJc w:val="left"/>
      <w:pPr>
        <w:ind w:left="3332" w:hanging="361"/>
      </w:pPr>
      <w:rPr>
        <w:rFonts w:hint="default"/>
        <w:lang w:val="en-GB" w:eastAsia="en-US" w:bidi="ar-SA"/>
      </w:rPr>
    </w:lvl>
  </w:abstractNum>
  <w:abstractNum w:abstractNumId="56">
    <w:nsid w:val="1F86156F"/>
    <w:multiLevelType w:val="hybridMultilevel"/>
    <w:tmpl w:val="DE40D6EC"/>
    <w:lvl w:ilvl="0" w:tplc="C92052FC">
      <w:start w:val="1"/>
      <w:numFmt w:val="decimal"/>
      <w:lvlText w:val="%1."/>
      <w:lvlJc w:val="left"/>
      <w:pPr>
        <w:ind w:left="466" w:hanging="360"/>
        <w:jc w:val="left"/>
      </w:pPr>
      <w:rPr>
        <w:rFonts w:ascii="Arial" w:eastAsia="Arial" w:hAnsi="Arial" w:cs="Arial" w:hint="default"/>
        <w:b w:val="0"/>
        <w:bCs w:val="0"/>
        <w:i w:val="0"/>
        <w:iCs w:val="0"/>
        <w:spacing w:val="-1"/>
        <w:w w:val="99"/>
        <w:sz w:val="20"/>
        <w:szCs w:val="20"/>
        <w:lang w:val="en-GB" w:eastAsia="en-US" w:bidi="ar-SA"/>
      </w:rPr>
    </w:lvl>
    <w:lvl w:ilvl="1" w:tplc="F7702D70">
      <w:numFmt w:val="bullet"/>
      <w:lvlText w:val="•"/>
      <w:lvlJc w:val="left"/>
      <w:pPr>
        <w:ind w:left="753" w:hanging="360"/>
      </w:pPr>
      <w:rPr>
        <w:rFonts w:hint="default"/>
        <w:lang w:val="en-GB" w:eastAsia="en-US" w:bidi="ar-SA"/>
      </w:rPr>
    </w:lvl>
    <w:lvl w:ilvl="2" w:tplc="7F2AF656">
      <w:numFmt w:val="bullet"/>
      <w:lvlText w:val="•"/>
      <w:lvlJc w:val="left"/>
      <w:pPr>
        <w:ind w:left="1047" w:hanging="360"/>
      </w:pPr>
      <w:rPr>
        <w:rFonts w:hint="default"/>
        <w:lang w:val="en-GB" w:eastAsia="en-US" w:bidi="ar-SA"/>
      </w:rPr>
    </w:lvl>
    <w:lvl w:ilvl="3" w:tplc="EA9627B4">
      <w:numFmt w:val="bullet"/>
      <w:lvlText w:val="•"/>
      <w:lvlJc w:val="left"/>
      <w:pPr>
        <w:ind w:left="1340" w:hanging="360"/>
      </w:pPr>
      <w:rPr>
        <w:rFonts w:hint="default"/>
        <w:lang w:val="en-GB" w:eastAsia="en-US" w:bidi="ar-SA"/>
      </w:rPr>
    </w:lvl>
    <w:lvl w:ilvl="4" w:tplc="732CFF92">
      <w:numFmt w:val="bullet"/>
      <w:lvlText w:val="•"/>
      <w:lvlJc w:val="left"/>
      <w:pPr>
        <w:ind w:left="1634" w:hanging="360"/>
      </w:pPr>
      <w:rPr>
        <w:rFonts w:hint="default"/>
        <w:lang w:val="en-GB" w:eastAsia="en-US" w:bidi="ar-SA"/>
      </w:rPr>
    </w:lvl>
    <w:lvl w:ilvl="5" w:tplc="1DBCF94C">
      <w:numFmt w:val="bullet"/>
      <w:lvlText w:val="•"/>
      <w:lvlJc w:val="left"/>
      <w:pPr>
        <w:ind w:left="1927" w:hanging="360"/>
      </w:pPr>
      <w:rPr>
        <w:rFonts w:hint="default"/>
        <w:lang w:val="en-GB" w:eastAsia="en-US" w:bidi="ar-SA"/>
      </w:rPr>
    </w:lvl>
    <w:lvl w:ilvl="6" w:tplc="868C34FC">
      <w:numFmt w:val="bullet"/>
      <w:lvlText w:val="•"/>
      <w:lvlJc w:val="left"/>
      <w:pPr>
        <w:ind w:left="2221" w:hanging="360"/>
      </w:pPr>
      <w:rPr>
        <w:rFonts w:hint="default"/>
        <w:lang w:val="en-GB" w:eastAsia="en-US" w:bidi="ar-SA"/>
      </w:rPr>
    </w:lvl>
    <w:lvl w:ilvl="7" w:tplc="2B2C8E6A">
      <w:numFmt w:val="bullet"/>
      <w:lvlText w:val="•"/>
      <w:lvlJc w:val="left"/>
      <w:pPr>
        <w:ind w:left="2514" w:hanging="360"/>
      </w:pPr>
      <w:rPr>
        <w:rFonts w:hint="default"/>
        <w:lang w:val="en-GB" w:eastAsia="en-US" w:bidi="ar-SA"/>
      </w:rPr>
    </w:lvl>
    <w:lvl w:ilvl="8" w:tplc="F6744E82">
      <w:numFmt w:val="bullet"/>
      <w:lvlText w:val="•"/>
      <w:lvlJc w:val="left"/>
      <w:pPr>
        <w:ind w:left="2808" w:hanging="360"/>
      </w:pPr>
      <w:rPr>
        <w:rFonts w:hint="default"/>
        <w:lang w:val="en-GB" w:eastAsia="en-US" w:bidi="ar-SA"/>
      </w:rPr>
    </w:lvl>
  </w:abstractNum>
  <w:abstractNum w:abstractNumId="57">
    <w:nsid w:val="1FB7621A"/>
    <w:multiLevelType w:val="hybridMultilevel"/>
    <w:tmpl w:val="9AB224E0"/>
    <w:lvl w:ilvl="0" w:tplc="F2C40DD6">
      <w:start w:val="29"/>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247AC292">
      <w:numFmt w:val="bullet"/>
      <w:lvlText w:val="•"/>
      <w:lvlJc w:val="left"/>
      <w:pPr>
        <w:ind w:left="1612" w:hanging="552"/>
      </w:pPr>
      <w:rPr>
        <w:rFonts w:hint="default"/>
        <w:lang w:val="en-GB" w:eastAsia="en-US" w:bidi="ar-SA"/>
      </w:rPr>
    </w:lvl>
    <w:lvl w:ilvl="2" w:tplc="F22E8ABC">
      <w:numFmt w:val="bullet"/>
      <w:lvlText w:val="•"/>
      <w:lvlJc w:val="left"/>
      <w:pPr>
        <w:ind w:left="2505" w:hanging="552"/>
      </w:pPr>
      <w:rPr>
        <w:rFonts w:hint="default"/>
        <w:lang w:val="en-GB" w:eastAsia="en-US" w:bidi="ar-SA"/>
      </w:rPr>
    </w:lvl>
    <w:lvl w:ilvl="3" w:tplc="BEE04CDE">
      <w:numFmt w:val="bullet"/>
      <w:lvlText w:val="•"/>
      <w:lvlJc w:val="left"/>
      <w:pPr>
        <w:ind w:left="3397" w:hanging="552"/>
      </w:pPr>
      <w:rPr>
        <w:rFonts w:hint="default"/>
        <w:lang w:val="en-GB" w:eastAsia="en-US" w:bidi="ar-SA"/>
      </w:rPr>
    </w:lvl>
    <w:lvl w:ilvl="4" w:tplc="70ACDD52">
      <w:numFmt w:val="bullet"/>
      <w:lvlText w:val="•"/>
      <w:lvlJc w:val="left"/>
      <w:pPr>
        <w:ind w:left="4290" w:hanging="552"/>
      </w:pPr>
      <w:rPr>
        <w:rFonts w:hint="default"/>
        <w:lang w:val="en-GB" w:eastAsia="en-US" w:bidi="ar-SA"/>
      </w:rPr>
    </w:lvl>
    <w:lvl w:ilvl="5" w:tplc="40988CD0">
      <w:numFmt w:val="bullet"/>
      <w:lvlText w:val="•"/>
      <w:lvlJc w:val="left"/>
      <w:pPr>
        <w:ind w:left="5183" w:hanging="552"/>
      </w:pPr>
      <w:rPr>
        <w:rFonts w:hint="default"/>
        <w:lang w:val="en-GB" w:eastAsia="en-US" w:bidi="ar-SA"/>
      </w:rPr>
    </w:lvl>
    <w:lvl w:ilvl="6" w:tplc="93F0EE04">
      <w:numFmt w:val="bullet"/>
      <w:lvlText w:val="•"/>
      <w:lvlJc w:val="left"/>
      <w:pPr>
        <w:ind w:left="6075" w:hanging="552"/>
      </w:pPr>
      <w:rPr>
        <w:rFonts w:hint="default"/>
        <w:lang w:val="en-GB" w:eastAsia="en-US" w:bidi="ar-SA"/>
      </w:rPr>
    </w:lvl>
    <w:lvl w:ilvl="7" w:tplc="BCB2852E">
      <w:numFmt w:val="bullet"/>
      <w:lvlText w:val="•"/>
      <w:lvlJc w:val="left"/>
      <w:pPr>
        <w:ind w:left="6968" w:hanging="552"/>
      </w:pPr>
      <w:rPr>
        <w:rFonts w:hint="default"/>
        <w:lang w:val="en-GB" w:eastAsia="en-US" w:bidi="ar-SA"/>
      </w:rPr>
    </w:lvl>
    <w:lvl w:ilvl="8" w:tplc="C15ED8CA">
      <w:numFmt w:val="bullet"/>
      <w:lvlText w:val="•"/>
      <w:lvlJc w:val="left"/>
      <w:pPr>
        <w:ind w:left="7861" w:hanging="552"/>
      </w:pPr>
      <w:rPr>
        <w:rFonts w:hint="default"/>
        <w:lang w:val="en-GB" w:eastAsia="en-US" w:bidi="ar-SA"/>
      </w:rPr>
    </w:lvl>
  </w:abstractNum>
  <w:abstractNum w:abstractNumId="58">
    <w:nsid w:val="1FE554E6"/>
    <w:multiLevelType w:val="hybridMultilevel"/>
    <w:tmpl w:val="8042D582"/>
    <w:lvl w:ilvl="0" w:tplc="9468FC72">
      <w:start w:val="1"/>
      <w:numFmt w:val="decimal"/>
      <w:lvlText w:val="%1"/>
      <w:lvlJc w:val="left"/>
      <w:pPr>
        <w:ind w:left="271" w:hanging="152"/>
        <w:jc w:val="left"/>
      </w:pPr>
      <w:rPr>
        <w:rFonts w:ascii="Arial" w:eastAsia="Arial" w:hAnsi="Arial" w:cs="Arial" w:hint="default"/>
        <w:b w:val="0"/>
        <w:bCs w:val="0"/>
        <w:i/>
        <w:iCs/>
        <w:w w:val="100"/>
        <w:sz w:val="18"/>
        <w:szCs w:val="18"/>
        <w:lang w:val="en-GB" w:eastAsia="en-US" w:bidi="ar-SA"/>
      </w:rPr>
    </w:lvl>
    <w:lvl w:ilvl="1" w:tplc="6554D348">
      <w:numFmt w:val="bullet"/>
      <w:lvlText w:val="•"/>
      <w:lvlJc w:val="left"/>
      <w:pPr>
        <w:ind w:left="1693" w:hanging="152"/>
      </w:pPr>
      <w:rPr>
        <w:rFonts w:hint="default"/>
        <w:lang w:val="en-GB" w:eastAsia="en-US" w:bidi="ar-SA"/>
      </w:rPr>
    </w:lvl>
    <w:lvl w:ilvl="2" w:tplc="274C0D1E">
      <w:numFmt w:val="bullet"/>
      <w:lvlText w:val="•"/>
      <w:lvlJc w:val="left"/>
      <w:pPr>
        <w:ind w:left="3107" w:hanging="152"/>
      </w:pPr>
      <w:rPr>
        <w:rFonts w:hint="default"/>
        <w:lang w:val="en-GB" w:eastAsia="en-US" w:bidi="ar-SA"/>
      </w:rPr>
    </w:lvl>
    <w:lvl w:ilvl="3" w:tplc="BC6270FC">
      <w:numFmt w:val="bullet"/>
      <w:lvlText w:val="•"/>
      <w:lvlJc w:val="left"/>
      <w:pPr>
        <w:ind w:left="4521" w:hanging="152"/>
      </w:pPr>
      <w:rPr>
        <w:rFonts w:hint="default"/>
        <w:lang w:val="en-GB" w:eastAsia="en-US" w:bidi="ar-SA"/>
      </w:rPr>
    </w:lvl>
    <w:lvl w:ilvl="4" w:tplc="154C7E26">
      <w:numFmt w:val="bullet"/>
      <w:lvlText w:val="•"/>
      <w:lvlJc w:val="left"/>
      <w:pPr>
        <w:ind w:left="5935" w:hanging="152"/>
      </w:pPr>
      <w:rPr>
        <w:rFonts w:hint="default"/>
        <w:lang w:val="en-GB" w:eastAsia="en-US" w:bidi="ar-SA"/>
      </w:rPr>
    </w:lvl>
    <w:lvl w:ilvl="5" w:tplc="1F8C8846">
      <w:numFmt w:val="bullet"/>
      <w:lvlText w:val="•"/>
      <w:lvlJc w:val="left"/>
      <w:pPr>
        <w:ind w:left="7349" w:hanging="152"/>
      </w:pPr>
      <w:rPr>
        <w:rFonts w:hint="default"/>
        <w:lang w:val="en-GB" w:eastAsia="en-US" w:bidi="ar-SA"/>
      </w:rPr>
    </w:lvl>
    <w:lvl w:ilvl="6" w:tplc="8AFEC99E">
      <w:numFmt w:val="bullet"/>
      <w:lvlText w:val="•"/>
      <w:lvlJc w:val="left"/>
      <w:pPr>
        <w:ind w:left="8763" w:hanging="152"/>
      </w:pPr>
      <w:rPr>
        <w:rFonts w:hint="default"/>
        <w:lang w:val="en-GB" w:eastAsia="en-US" w:bidi="ar-SA"/>
      </w:rPr>
    </w:lvl>
    <w:lvl w:ilvl="7" w:tplc="3724D9B0">
      <w:numFmt w:val="bullet"/>
      <w:lvlText w:val="•"/>
      <w:lvlJc w:val="left"/>
      <w:pPr>
        <w:ind w:left="10176" w:hanging="152"/>
      </w:pPr>
      <w:rPr>
        <w:rFonts w:hint="default"/>
        <w:lang w:val="en-GB" w:eastAsia="en-US" w:bidi="ar-SA"/>
      </w:rPr>
    </w:lvl>
    <w:lvl w:ilvl="8" w:tplc="D2A0D6D2">
      <w:numFmt w:val="bullet"/>
      <w:lvlText w:val="•"/>
      <w:lvlJc w:val="left"/>
      <w:pPr>
        <w:ind w:left="11590" w:hanging="152"/>
      </w:pPr>
      <w:rPr>
        <w:rFonts w:hint="default"/>
        <w:lang w:val="en-GB" w:eastAsia="en-US" w:bidi="ar-SA"/>
      </w:rPr>
    </w:lvl>
  </w:abstractNum>
  <w:abstractNum w:abstractNumId="59">
    <w:nsid w:val="20383F5F"/>
    <w:multiLevelType w:val="hybridMultilevel"/>
    <w:tmpl w:val="A9B285B6"/>
    <w:lvl w:ilvl="0" w:tplc="400C7B10">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90C09EC2">
      <w:numFmt w:val="bullet"/>
      <w:lvlText w:val="•"/>
      <w:lvlJc w:val="left"/>
      <w:pPr>
        <w:ind w:left="579" w:hanging="286"/>
      </w:pPr>
      <w:rPr>
        <w:rFonts w:hint="default"/>
        <w:lang w:val="en-GB" w:eastAsia="en-US" w:bidi="ar-SA"/>
      </w:rPr>
    </w:lvl>
    <w:lvl w:ilvl="2" w:tplc="011A81AE">
      <w:numFmt w:val="bullet"/>
      <w:lvlText w:val="•"/>
      <w:lvlJc w:val="left"/>
      <w:pPr>
        <w:ind w:left="719" w:hanging="286"/>
      </w:pPr>
      <w:rPr>
        <w:rFonts w:hint="default"/>
        <w:lang w:val="en-GB" w:eastAsia="en-US" w:bidi="ar-SA"/>
      </w:rPr>
    </w:lvl>
    <w:lvl w:ilvl="3" w:tplc="96FEFF04">
      <w:numFmt w:val="bullet"/>
      <w:lvlText w:val="•"/>
      <w:lvlJc w:val="left"/>
      <w:pPr>
        <w:ind w:left="859" w:hanging="286"/>
      </w:pPr>
      <w:rPr>
        <w:rFonts w:hint="default"/>
        <w:lang w:val="en-GB" w:eastAsia="en-US" w:bidi="ar-SA"/>
      </w:rPr>
    </w:lvl>
    <w:lvl w:ilvl="4" w:tplc="FD401042">
      <w:numFmt w:val="bullet"/>
      <w:lvlText w:val="•"/>
      <w:lvlJc w:val="left"/>
      <w:pPr>
        <w:ind w:left="999" w:hanging="286"/>
      </w:pPr>
      <w:rPr>
        <w:rFonts w:hint="default"/>
        <w:lang w:val="en-GB" w:eastAsia="en-US" w:bidi="ar-SA"/>
      </w:rPr>
    </w:lvl>
    <w:lvl w:ilvl="5" w:tplc="19BA40B4">
      <w:numFmt w:val="bullet"/>
      <w:lvlText w:val="•"/>
      <w:lvlJc w:val="left"/>
      <w:pPr>
        <w:ind w:left="1139" w:hanging="286"/>
      </w:pPr>
      <w:rPr>
        <w:rFonts w:hint="default"/>
        <w:lang w:val="en-GB" w:eastAsia="en-US" w:bidi="ar-SA"/>
      </w:rPr>
    </w:lvl>
    <w:lvl w:ilvl="6" w:tplc="84567D82">
      <w:numFmt w:val="bullet"/>
      <w:lvlText w:val="•"/>
      <w:lvlJc w:val="left"/>
      <w:pPr>
        <w:ind w:left="1278" w:hanging="286"/>
      </w:pPr>
      <w:rPr>
        <w:rFonts w:hint="default"/>
        <w:lang w:val="en-GB" w:eastAsia="en-US" w:bidi="ar-SA"/>
      </w:rPr>
    </w:lvl>
    <w:lvl w:ilvl="7" w:tplc="5E267544">
      <w:numFmt w:val="bullet"/>
      <w:lvlText w:val="•"/>
      <w:lvlJc w:val="left"/>
      <w:pPr>
        <w:ind w:left="1418" w:hanging="286"/>
      </w:pPr>
      <w:rPr>
        <w:rFonts w:hint="default"/>
        <w:lang w:val="en-GB" w:eastAsia="en-US" w:bidi="ar-SA"/>
      </w:rPr>
    </w:lvl>
    <w:lvl w:ilvl="8" w:tplc="54EC33DA">
      <w:numFmt w:val="bullet"/>
      <w:lvlText w:val="•"/>
      <w:lvlJc w:val="left"/>
      <w:pPr>
        <w:ind w:left="1558" w:hanging="286"/>
      </w:pPr>
      <w:rPr>
        <w:rFonts w:hint="default"/>
        <w:lang w:val="en-GB" w:eastAsia="en-US" w:bidi="ar-SA"/>
      </w:rPr>
    </w:lvl>
  </w:abstractNum>
  <w:abstractNum w:abstractNumId="60">
    <w:nsid w:val="21294ECD"/>
    <w:multiLevelType w:val="hybridMultilevel"/>
    <w:tmpl w:val="B2224146"/>
    <w:lvl w:ilvl="0" w:tplc="77B6DBF8">
      <w:start w:val="5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5282B872">
      <w:numFmt w:val="bullet"/>
      <w:lvlText w:val="•"/>
      <w:lvlJc w:val="left"/>
      <w:pPr>
        <w:ind w:left="1612" w:hanging="552"/>
      </w:pPr>
      <w:rPr>
        <w:rFonts w:hint="default"/>
        <w:lang w:val="en-GB" w:eastAsia="en-US" w:bidi="ar-SA"/>
      </w:rPr>
    </w:lvl>
    <w:lvl w:ilvl="2" w:tplc="976E0380">
      <w:numFmt w:val="bullet"/>
      <w:lvlText w:val="•"/>
      <w:lvlJc w:val="left"/>
      <w:pPr>
        <w:ind w:left="2505" w:hanging="552"/>
      </w:pPr>
      <w:rPr>
        <w:rFonts w:hint="default"/>
        <w:lang w:val="en-GB" w:eastAsia="en-US" w:bidi="ar-SA"/>
      </w:rPr>
    </w:lvl>
    <w:lvl w:ilvl="3" w:tplc="C6DA4896">
      <w:numFmt w:val="bullet"/>
      <w:lvlText w:val="•"/>
      <w:lvlJc w:val="left"/>
      <w:pPr>
        <w:ind w:left="3397" w:hanging="552"/>
      </w:pPr>
      <w:rPr>
        <w:rFonts w:hint="default"/>
        <w:lang w:val="en-GB" w:eastAsia="en-US" w:bidi="ar-SA"/>
      </w:rPr>
    </w:lvl>
    <w:lvl w:ilvl="4" w:tplc="FCD63858">
      <w:numFmt w:val="bullet"/>
      <w:lvlText w:val="•"/>
      <w:lvlJc w:val="left"/>
      <w:pPr>
        <w:ind w:left="4290" w:hanging="552"/>
      </w:pPr>
      <w:rPr>
        <w:rFonts w:hint="default"/>
        <w:lang w:val="en-GB" w:eastAsia="en-US" w:bidi="ar-SA"/>
      </w:rPr>
    </w:lvl>
    <w:lvl w:ilvl="5" w:tplc="1AE06EE6">
      <w:numFmt w:val="bullet"/>
      <w:lvlText w:val="•"/>
      <w:lvlJc w:val="left"/>
      <w:pPr>
        <w:ind w:left="5183" w:hanging="552"/>
      </w:pPr>
      <w:rPr>
        <w:rFonts w:hint="default"/>
        <w:lang w:val="en-GB" w:eastAsia="en-US" w:bidi="ar-SA"/>
      </w:rPr>
    </w:lvl>
    <w:lvl w:ilvl="6" w:tplc="E2009B3C">
      <w:numFmt w:val="bullet"/>
      <w:lvlText w:val="•"/>
      <w:lvlJc w:val="left"/>
      <w:pPr>
        <w:ind w:left="6075" w:hanging="552"/>
      </w:pPr>
      <w:rPr>
        <w:rFonts w:hint="default"/>
        <w:lang w:val="en-GB" w:eastAsia="en-US" w:bidi="ar-SA"/>
      </w:rPr>
    </w:lvl>
    <w:lvl w:ilvl="7" w:tplc="BAE6A5C4">
      <w:numFmt w:val="bullet"/>
      <w:lvlText w:val="•"/>
      <w:lvlJc w:val="left"/>
      <w:pPr>
        <w:ind w:left="6968" w:hanging="552"/>
      </w:pPr>
      <w:rPr>
        <w:rFonts w:hint="default"/>
        <w:lang w:val="en-GB" w:eastAsia="en-US" w:bidi="ar-SA"/>
      </w:rPr>
    </w:lvl>
    <w:lvl w:ilvl="8" w:tplc="F046378C">
      <w:numFmt w:val="bullet"/>
      <w:lvlText w:val="•"/>
      <w:lvlJc w:val="left"/>
      <w:pPr>
        <w:ind w:left="7861" w:hanging="552"/>
      </w:pPr>
      <w:rPr>
        <w:rFonts w:hint="default"/>
        <w:lang w:val="en-GB" w:eastAsia="en-US" w:bidi="ar-SA"/>
      </w:rPr>
    </w:lvl>
  </w:abstractNum>
  <w:abstractNum w:abstractNumId="61">
    <w:nsid w:val="22042167"/>
    <w:multiLevelType w:val="hybridMultilevel"/>
    <w:tmpl w:val="24B23A82"/>
    <w:lvl w:ilvl="0" w:tplc="E53A9470">
      <w:start w:val="97"/>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FA4E1CC8">
      <w:numFmt w:val="bullet"/>
      <w:lvlText w:val="•"/>
      <w:lvlJc w:val="left"/>
      <w:pPr>
        <w:ind w:left="1612" w:hanging="552"/>
      </w:pPr>
      <w:rPr>
        <w:rFonts w:hint="default"/>
        <w:lang w:val="en-GB" w:eastAsia="en-US" w:bidi="ar-SA"/>
      </w:rPr>
    </w:lvl>
    <w:lvl w:ilvl="2" w:tplc="A2507C02">
      <w:numFmt w:val="bullet"/>
      <w:lvlText w:val="•"/>
      <w:lvlJc w:val="left"/>
      <w:pPr>
        <w:ind w:left="2505" w:hanging="552"/>
      </w:pPr>
      <w:rPr>
        <w:rFonts w:hint="default"/>
        <w:lang w:val="en-GB" w:eastAsia="en-US" w:bidi="ar-SA"/>
      </w:rPr>
    </w:lvl>
    <w:lvl w:ilvl="3" w:tplc="C6B0FBAE">
      <w:numFmt w:val="bullet"/>
      <w:lvlText w:val="•"/>
      <w:lvlJc w:val="left"/>
      <w:pPr>
        <w:ind w:left="3397" w:hanging="552"/>
      </w:pPr>
      <w:rPr>
        <w:rFonts w:hint="default"/>
        <w:lang w:val="en-GB" w:eastAsia="en-US" w:bidi="ar-SA"/>
      </w:rPr>
    </w:lvl>
    <w:lvl w:ilvl="4" w:tplc="02C6E744">
      <w:numFmt w:val="bullet"/>
      <w:lvlText w:val="•"/>
      <w:lvlJc w:val="left"/>
      <w:pPr>
        <w:ind w:left="4290" w:hanging="552"/>
      </w:pPr>
      <w:rPr>
        <w:rFonts w:hint="default"/>
        <w:lang w:val="en-GB" w:eastAsia="en-US" w:bidi="ar-SA"/>
      </w:rPr>
    </w:lvl>
    <w:lvl w:ilvl="5" w:tplc="CCFA3C8A">
      <w:numFmt w:val="bullet"/>
      <w:lvlText w:val="•"/>
      <w:lvlJc w:val="left"/>
      <w:pPr>
        <w:ind w:left="5183" w:hanging="552"/>
      </w:pPr>
      <w:rPr>
        <w:rFonts w:hint="default"/>
        <w:lang w:val="en-GB" w:eastAsia="en-US" w:bidi="ar-SA"/>
      </w:rPr>
    </w:lvl>
    <w:lvl w:ilvl="6" w:tplc="E15289E8">
      <w:numFmt w:val="bullet"/>
      <w:lvlText w:val="•"/>
      <w:lvlJc w:val="left"/>
      <w:pPr>
        <w:ind w:left="6075" w:hanging="552"/>
      </w:pPr>
      <w:rPr>
        <w:rFonts w:hint="default"/>
        <w:lang w:val="en-GB" w:eastAsia="en-US" w:bidi="ar-SA"/>
      </w:rPr>
    </w:lvl>
    <w:lvl w:ilvl="7" w:tplc="EBA0DC66">
      <w:numFmt w:val="bullet"/>
      <w:lvlText w:val="•"/>
      <w:lvlJc w:val="left"/>
      <w:pPr>
        <w:ind w:left="6968" w:hanging="552"/>
      </w:pPr>
      <w:rPr>
        <w:rFonts w:hint="default"/>
        <w:lang w:val="en-GB" w:eastAsia="en-US" w:bidi="ar-SA"/>
      </w:rPr>
    </w:lvl>
    <w:lvl w:ilvl="8" w:tplc="D00E45B4">
      <w:numFmt w:val="bullet"/>
      <w:lvlText w:val="•"/>
      <w:lvlJc w:val="left"/>
      <w:pPr>
        <w:ind w:left="7861" w:hanging="552"/>
      </w:pPr>
      <w:rPr>
        <w:rFonts w:hint="default"/>
        <w:lang w:val="en-GB" w:eastAsia="en-US" w:bidi="ar-SA"/>
      </w:rPr>
    </w:lvl>
  </w:abstractNum>
  <w:abstractNum w:abstractNumId="62">
    <w:nsid w:val="226E1D8E"/>
    <w:multiLevelType w:val="hybridMultilevel"/>
    <w:tmpl w:val="F9CA5052"/>
    <w:lvl w:ilvl="0" w:tplc="CEF41748">
      <w:start w:val="1"/>
      <w:numFmt w:val="decimal"/>
      <w:lvlText w:val="%1."/>
      <w:lvlJc w:val="left"/>
      <w:pPr>
        <w:ind w:left="466" w:hanging="361"/>
        <w:jc w:val="left"/>
      </w:pPr>
      <w:rPr>
        <w:rFonts w:ascii="Arial" w:eastAsia="Arial" w:hAnsi="Arial" w:cs="Arial" w:hint="default"/>
        <w:b w:val="0"/>
        <w:bCs w:val="0"/>
        <w:i w:val="0"/>
        <w:iCs w:val="0"/>
        <w:spacing w:val="-1"/>
        <w:w w:val="99"/>
        <w:sz w:val="20"/>
        <w:szCs w:val="20"/>
        <w:lang w:val="en-GB" w:eastAsia="en-US" w:bidi="ar-SA"/>
      </w:rPr>
    </w:lvl>
    <w:lvl w:ilvl="1" w:tplc="649E9A84">
      <w:numFmt w:val="bullet"/>
      <w:lvlText w:val="•"/>
      <w:lvlJc w:val="left"/>
      <w:pPr>
        <w:ind w:left="733" w:hanging="361"/>
      </w:pPr>
      <w:rPr>
        <w:rFonts w:hint="default"/>
        <w:lang w:val="en-GB" w:eastAsia="en-US" w:bidi="ar-SA"/>
      </w:rPr>
    </w:lvl>
    <w:lvl w:ilvl="2" w:tplc="3490E2BC">
      <w:numFmt w:val="bullet"/>
      <w:lvlText w:val="•"/>
      <w:lvlJc w:val="left"/>
      <w:pPr>
        <w:ind w:left="1006" w:hanging="361"/>
      </w:pPr>
      <w:rPr>
        <w:rFonts w:hint="default"/>
        <w:lang w:val="en-GB" w:eastAsia="en-US" w:bidi="ar-SA"/>
      </w:rPr>
    </w:lvl>
    <w:lvl w:ilvl="3" w:tplc="D72412B0">
      <w:numFmt w:val="bullet"/>
      <w:lvlText w:val="•"/>
      <w:lvlJc w:val="left"/>
      <w:pPr>
        <w:ind w:left="1279" w:hanging="361"/>
      </w:pPr>
      <w:rPr>
        <w:rFonts w:hint="default"/>
        <w:lang w:val="en-GB" w:eastAsia="en-US" w:bidi="ar-SA"/>
      </w:rPr>
    </w:lvl>
    <w:lvl w:ilvl="4" w:tplc="60FAD154">
      <w:numFmt w:val="bullet"/>
      <w:lvlText w:val="•"/>
      <w:lvlJc w:val="left"/>
      <w:pPr>
        <w:ind w:left="1553" w:hanging="361"/>
      </w:pPr>
      <w:rPr>
        <w:rFonts w:hint="default"/>
        <w:lang w:val="en-GB" w:eastAsia="en-US" w:bidi="ar-SA"/>
      </w:rPr>
    </w:lvl>
    <w:lvl w:ilvl="5" w:tplc="21400AEA">
      <w:numFmt w:val="bullet"/>
      <w:lvlText w:val="•"/>
      <w:lvlJc w:val="left"/>
      <w:pPr>
        <w:ind w:left="1826" w:hanging="361"/>
      </w:pPr>
      <w:rPr>
        <w:rFonts w:hint="default"/>
        <w:lang w:val="en-GB" w:eastAsia="en-US" w:bidi="ar-SA"/>
      </w:rPr>
    </w:lvl>
    <w:lvl w:ilvl="6" w:tplc="02A0138A">
      <w:numFmt w:val="bullet"/>
      <w:lvlText w:val="•"/>
      <w:lvlJc w:val="left"/>
      <w:pPr>
        <w:ind w:left="2099" w:hanging="361"/>
      </w:pPr>
      <w:rPr>
        <w:rFonts w:hint="default"/>
        <w:lang w:val="en-GB" w:eastAsia="en-US" w:bidi="ar-SA"/>
      </w:rPr>
    </w:lvl>
    <w:lvl w:ilvl="7" w:tplc="0B1EFFC0">
      <w:numFmt w:val="bullet"/>
      <w:lvlText w:val="•"/>
      <w:lvlJc w:val="left"/>
      <w:pPr>
        <w:ind w:left="2373" w:hanging="361"/>
      </w:pPr>
      <w:rPr>
        <w:rFonts w:hint="default"/>
        <w:lang w:val="en-GB" w:eastAsia="en-US" w:bidi="ar-SA"/>
      </w:rPr>
    </w:lvl>
    <w:lvl w:ilvl="8" w:tplc="11289982">
      <w:numFmt w:val="bullet"/>
      <w:lvlText w:val="•"/>
      <w:lvlJc w:val="left"/>
      <w:pPr>
        <w:ind w:left="2646" w:hanging="361"/>
      </w:pPr>
      <w:rPr>
        <w:rFonts w:hint="default"/>
        <w:lang w:val="en-GB" w:eastAsia="en-US" w:bidi="ar-SA"/>
      </w:rPr>
    </w:lvl>
  </w:abstractNum>
  <w:abstractNum w:abstractNumId="63">
    <w:nsid w:val="22E847EC"/>
    <w:multiLevelType w:val="hybridMultilevel"/>
    <w:tmpl w:val="FAE25D36"/>
    <w:lvl w:ilvl="0" w:tplc="3CAE3F4A">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8118DCF2">
      <w:numFmt w:val="bullet"/>
      <w:lvlText w:val="•"/>
      <w:lvlJc w:val="left"/>
      <w:pPr>
        <w:ind w:left="1486" w:hanging="430"/>
      </w:pPr>
      <w:rPr>
        <w:rFonts w:hint="default"/>
        <w:lang w:val="en-GB" w:eastAsia="en-US" w:bidi="ar-SA"/>
      </w:rPr>
    </w:lvl>
    <w:lvl w:ilvl="2" w:tplc="B0C2984E">
      <w:numFmt w:val="bullet"/>
      <w:lvlText w:val="•"/>
      <w:lvlJc w:val="left"/>
      <w:pPr>
        <w:ind w:left="2393" w:hanging="430"/>
      </w:pPr>
      <w:rPr>
        <w:rFonts w:hint="default"/>
        <w:lang w:val="en-GB" w:eastAsia="en-US" w:bidi="ar-SA"/>
      </w:rPr>
    </w:lvl>
    <w:lvl w:ilvl="3" w:tplc="86F6F2A2">
      <w:numFmt w:val="bullet"/>
      <w:lvlText w:val="•"/>
      <w:lvlJc w:val="left"/>
      <w:pPr>
        <w:ind w:left="3299" w:hanging="430"/>
      </w:pPr>
      <w:rPr>
        <w:rFonts w:hint="default"/>
        <w:lang w:val="en-GB" w:eastAsia="en-US" w:bidi="ar-SA"/>
      </w:rPr>
    </w:lvl>
    <w:lvl w:ilvl="4" w:tplc="B6C64370">
      <w:numFmt w:val="bullet"/>
      <w:lvlText w:val="•"/>
      <w:lvlJc w:val="left"/>
      <w:pPr>
        <w:ind w:left="4206" w:hanging="430"/>
      </w:pPr>
      <w:rPr>
        <w:rFonts w:hint="default"/>
        <w:lang w:val="en-GB" w:eastAsia="en-US" w:bidi="ar-SA"/>
      </w:rPr>
    </w:lvl>
    <w:lvl w:ilvl="5" w:tplc="A0C2DE9E">
      <w:numFmt w:val="bullet"/>
      <w:lvlText w:val="•"/>
      <w:lvlJc w:val="left"/>
      <w:pPr>
        <w:ind w:left="5113" w:hanging="430"/>
      </w:pPr>
      <w:rPr>
        <w:rFonts w:hint="default"/>
        <w:lang w:val="en-GB" w:eastAsia="en-US" w:bidi="ar-SA"/>
      </w:rPr>
    </w:lvl>
    <w:lvl w:ilvl="6" w:tplc="F74E076E">
      <w:numFmt w:val="bullet"/>
      <w:lvlText w:val="•"/>
      <w:lvlJc w:val="left"/>
      <w:pPr>
        <w:ind w:left="6019" w:hanging="430"/>
      </w:pPr>
      <w:rPr>
        <w:rFonts w:hint="default"/>
        <w:lang w:val="en-GB" w:eastAsia="en-US" w:bidi="ar-SA"/>
      </w:rPr>
    </w:lvl>
    <w:lvl w:ilvl="7" w:tplc="5652181C">
      <w:numFmt w:val="bullet"/>
      <w:lvlText w:val="•"/>
      <w:lvlJc w:val="left"/>
      <w:pPr>
        <w:ind w:left="6926" w:hanging="430"/>
      </w:pPr>
      <w:rPr>
        <w:rFonts w:hint="default"/>
        <w:lang w:val="en-GB" w:eastAsia="en-US" w:bidi="ar-SA"/>
      </w:rPr>
    </w:lvl>
    <w:lvl w:ilvl="8" w:tplc="686A45F4">
      <w:numFmt w:val="bullet"/>
      <w:lvlText w:val="•"/>
      <w:lvlJc w:val="left"/>
      <w:pPr>
        <w:ind w:left="7833" w:hanging="430"/>
      </w:pPr>
      <w:rPr>
        <w:rFonts w:hint="default"/>
        <w:lang w:val="en-GB" w:eastAsia="en-US" w:bidi="ar-SA"/>
      </w:rPr>
    </w:lvl>
  </w:abstractNum>
  <w:abstractNum w:abstractNumId="64">
    <w:nsid w:val="2489564C"/>
    <w:multiLevelType w:val="hybridMultilevel"/>
    <w:tmpl w:val="B30C7C12"/>
    <w:lvl w:ilvl="0" w:tplc="1D522378">
      <w:start w:val="1"/>
      <w:numFmt w:val="decimal"/>
      <w:lvlText w:val="%1."/>
      <w:lvlJc w:val="left"/>
      <w:pPr>
        <w:ind w:left="466" w:hanging="361"/>
        <w:jc w:val="left"/>
      </w:pPr>
      <w:rPr>
        <w:rFonts w:ascii="Arial" w:eastAsia="Arial" w:hAnsi="Arial" w:cs="Arial" w:hint="default"/>
        <w:b w:val="0"/>
        <w:bCs w:val="0"/>
        <w:i w:val="0"/>
        <w:iCs w:val="0"/>
        <w:spacing w:val="-1"/>
        <w:w w:val="99"/>
        <w:sz w:val="20"/>
        <w:szCs w:val="20"/>
        <w:lang w:val="en-GB" w:eastAsia="en-US" w:bidi="ar-SA"/>
      </w:rPr>
    </w:lvl>
    <w:lvl w:ilvl="1" w:tplc="06068CCA">
      <w:numFmt w:val="bullet"/>
      <w:lvlText w:val="•"/>
      <w:lvlJc w:val="left"/>
      <w:pPr>
        <w:ind w:left="733" w:hanging="361"/>
      </w:pPr>
      <w:rPr>
        <w:rFonts w:hint="default"/>
        <w:lang w:val="en-GB" w:eastAsia="en-US" w:bidi="ar-SA"/>
      </w:rPr>
    </w:lvl>
    <w:lvl w:ilvl="2" w:tplc="AC466D76">
      <w:numFmt w:val="bullet"/>
      <w:lvlText w:val="•"/>
      <w:lvlJc w:val="left"/>
      <w:pPr>
        <w:ind w:left="1006" w:hanging="361"/>
      </w:pPr>
      <w:rPr>
        <w:rFonts w:hint="default"/>
        <w:lang w:val="en-GB" w:eastAsia="en-US" w:bidi="ar-SA"/>
      </w:rPr>
    </w:lvl>
    <w:lvl w:ilvl="3" w:tplc="DA965106">
      <w:numFmt w:val="bullet"/>
      <w:lvlText w:val="•"/>
      <w:lvlJc w:val="left"/>
      <w:pPr>
        <w:ind w:left="1279" w:hanging="361"/>
      </w:pPr>
      <w:rPr>
        <w:rFonts w:hint="default"/>
        <w:lang w:val="en-GB" w:eastAsia="en-US" w:bidi="ar-SA"/>
      </w:rPr>
    </w:lvl>
    <w:lvl w:ilvl="4" w:tplc="AC1EA4E8">
      <w:numFmt w:val="bullet"/>
      <w:lvlText w:val="•"/>
      <w:lvlJc w:val="left"/>
      <w:pPr>
        <w:ind w:left="1553" w:hanging="361"/>
      </w:pPr>
      <w:rPr>
        <w:rFonts w:hint="default"/>
        <w:lang w:val="en-GB" w:eastAsia="en-US" w:bidi="ar-SA"/>
      </w:rPr>
    </w:lvl>
    <w:lvl w:ilvl="5" w:tplc="F18408F6">
      <w:numFmt w:val="bullet"/>
      <w:lvlText w:val="•"/>
      <w:lvlJc w:val="left"/>
      <w:pPr>
        <w:ind w:left="1826" w:hanging="361"/>
      </w:pPr>
      <w:rPr>
        <w:rFonts w:hint="default"/>
        <w:lang w:val="en-GB" w:eastAsia="en-US" w:bidi="ar-SA"/>
      </w:rPr>
    </w:lvl>
    <w:lvl w:ilvl="6" w:tplc="3EAA75F8">
      <w:numFmt w:val="bullet"/>
      <w:lvlText w:val="•"/>
      <w:lvlJc w:val="left"/>
      <w:pPr>
        <w:ind w:left="2099" w:hanging="361"/>
      </w:pPr>
      <w:rPr>
        <w:rFonts w:hint="default"/>
        <w:lang w:val="en-GB" w:eastAsia="en-US" w:bidi="ar-SA"/>
      </w:rPr>
    </w:lvl>
    <w:lvl w:ilvl="7" w:tplc="251601E8">
      <w:numFmt w:val="bullet"/>
      <w:lvlText w:val="•"/>
      <w:lvlJc w:val="left"/>
      <w:pPr>
        <w:ind w:left="2373" w:hanging="361"/>
      </w:pPr>
      <w:rPr>
        <w:rFonts w:hint="default"/>
        <w:lang w:val="en-GB" w:eastAsia="en-US" w:bidi="ar-SA"/>
      </w:rPr>
    </w:lvl>
    <w:lvl w:ilvl="8" w:tplc="616037DC">
      <w:numFmt w:val="bullet"/>
      <w:lvlText w:val="•"/>
      <w:lvlJc w:val="left"/>
      <w:pPr>
        <w:ind w:left="2646" w:hanging="361"/>
      </w:pPr>
      <w:rPr>
        <w:rFonts w:hint="default"/>
        <w:lang w:val="en-GB" w:eastAsia="en-US" w:bidi="ar-SA"/>
      </w:rPr>
    </w:lvl>
  </w:abstractNum>
  <w:abstractNum w:abstractNumId="65">
    <w:nsid w:val="254047FE"/>
    <w:multiLevelType w:val="hybridMultilevel"/>
    <w:tmpl w:val="23246470"/>
    <w:lvl w:ilvl="0" w:tplc="837C9B04">
      <w:start w:val="1"/>
      <w:numFmt w:val="decimal"/>
      <w:lvlText w:val="%1."/>
      <w:lvlJc w:val="left"/>
      <w:pPr>
        <w:ind w:left="466" w:hanging="360"/>
        <w:jc w:val="left"/>
      </w:pPr>
      <w:rPr>
        <w:rFonts w:ascii="Arial" w:eastAsia="Arial" w:hAnsi="Arial" w:cs="Arial" w:hint="default"/>
        <w:b w:val="0"/>
        <w:bCs w:val="0"/>
        <w:i w:val="0"/>
        <w:iCs w:val="0"/>
        <w:spacing w:val="-1"/>
        <w:w w:val="99"/>
        <w:sz w:val="20"/>
        <w:szCs w:val="20"/>
        <w:lang w:val="en-GB" w:eastAsia="en-US" w:bidi="ar-SA"/>
      </w:rPr>
    </w:lvl>
    <w:lvl w:ilvl="1" w:tplc="7AFA2FEE">
      <w:numFmt w:val="bullet"/>
      <w:lvlText w:val="•"/>
      <w:lvlJc w:val="left"/>
      <w:pPr>
        <w:ind w:left="753" w:hanging="360"/>
      </w:pPr>
      <w:rPr>
        <w:rFonts w:hint="default"/>
        <w:lang w:val="en-GB" w:eastAsia="en-US" w:bidi="ar-SA"/>
      </w:rPr>
    </w:lvl>
    <w:lvl w:ilvl="2" w:tplc="2C02A8FA">
      <w:numFmt w:val="bullet"/>
      <w:lvlText w:val="•"/>
      <w:lvlJc w:val="left"/>
      <w:pPr>
        <w:ind w:left="1047" w:hanging="360"/>
      </w:pPr>
      <w:rPr>
        <w:rFonts w:hint="default"/>
        <w:lang w:val="en-GB" w:eastAsia="en-US" w:bidi="ar-SA"/>
      </w:rPr>
    </w:lvl>
    <w:lvl w:ilvl="3" w:tplc="F602561E">
      <w:numFmt w:val="bullet"/>
      <w:lvlText w:val="•"/>
      <w:lvlJc w:val="left"/>
      <w:pPr>
        <w:ind w:left="1340" w:hanging="360"/>
      </w:pPr>
      <w:rPr>
        <w:rFonts w:hint="default"/>
        <w:lang w:val="en-GB" w:eastAsia="en-US" w:bidi="ar-SA"/>
      </w:rPr>
    </w:lvl>
    <w:lvl w:ilvl="4" w:tplc="3C723B6A">
      <w:numFmt w:val="bullet"/>
      <w:lvlText w:val="•"/>
      <w:lvlJc w:val="left"/>
      <w:pPr>
        <w:ind w:left="1634" w:hanging="360"/>
      </w:pPr>
      <w:rPr>
        <w:rFonts w:hint="default"/>
        <w:lang w:val="en-GB" w:eastAsia="en-US" w:bidi="ar-SA"/>
      </w:rPr>
    </w:lvl>
    <w:lvl w:ilvl="5" w:tplc="BF1881B2">
      <w:numFmt w:val="bullet"/>
      <w:lvlText w:val="•"/>
      <w:lvlJc w:val="left"/>
      <w:pPr>
        <w:ind w:left="1927" w:hanging="360"/>
      </w:pPr>
      <w:rPr>
        <w:rFonts w:hint="default"/>
        <w:lang w:val="en-GB" w:eastAsia="en-US" w:bidi="ar-SA"/>
      </w:rPr>
    </w:lvl>
    <w:lvl w:ilvl="6" w:tplc="E9BEC4B2">
      <w:numFmt w:val="bullet"/>
      <w:lvlText w:val="•"/>
      <w:lvlJc w:val="left"/>
      <w:pPr>
        <w:ind w:left="2221" w:hanging="360"/>
      </w:pPr>
      <w:rPr>
        <w:rFonts w:hint="default"/>
        <w:lang w:val="en-GB" w:eastAsia="en-US" w:bidi="ar-SA"/>
      </w:rPr>
    </w:lvl>
    <w:lvl w:ilvl="7" w:tplc="54BABE58">
      <w:numFmt w:val="bullet"/>
      <w:lvlText w:val="•"/>
      <w:lvlJc w:val="left"/>
      <w:pPr>
        <w:ind w:left="2514" w:hanging="360"/>
      </w:pPr>
      <w:rPr>
        <w:rFonts w:hint="default"/>
        <w:lang w:val="en-GB" w:eastAsia="en-US" w:bidi="ar-SA"/>
      </w:rPr>
    </w:lvl>
    <w:lvl w:ilvl="8" w:tplc="B29200CE">
      <w:numFmt w:val="bullet"/>
      <w:lvlText w:val="•"/>
      <w:lvlJc w:val="left"/>
      <w:pPr>
        <w:ind w:left="2808" w:hanging="360"/>
      </w:pPr>
      <w:rPr>
        <w:rFonts w:hint="default"/>
        <w:lang w:val="en-GB" w:eastAsia="en-US" w:bidi="ar-SA"/>
      </w:rPr>
    </w:lvl>
  </w:abstractNum>
  <w:abstractNum w:abstractNumId="66">
    <w:nsid w:val="25A01FEC"/>
    <w:multiLevelType w:val="hybridMultilevel"/>
    <w:tmpl w:val="94E24502"/>
    <w:lvl w:ilvl="0" w:tplc="AF1EACA8">
      <w:start w:val="33"/>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48AC6DE">
      <w:numFmt w:val="bullet"/>
      <w:lvlText w:val="•"/>
      <w:lvlJc w:val="left"/>
      <w:pPr>
        <w:ind w:left="1612" w:hanging="552"/>
      </w:pPr>
      <w:rPr>
        <w:rFonts w:hint="default"/>
        <w:lang w:val="en-GB" w:eastAsia="en-US" w:bidi="ar-SA"/>
      </w:rPr>
    </w:lvl>
    <w:lvl w:ilvl="2" w:tplc="F07ED544">
      <w:numFmt w:val="bullet"/>
      <w:lvlText w:val="•"/>
      <w:lvlJc w:val="left"/>
      <w:pPr>
        <w:ind w:left="2505" w:hanging="552"/>
      </w:pPr>
      <w:rPr>
        <w:rFonts w:hint="default"/>
        <w:lang w:val="en-GB" w:eastAsia="en-US" w:bidi="ar-SA"/>
      </w:rPr>
    </w:lvl>
    <w:lvl w:ilvl="3" w:tplc="4580D35E">
      <w:numFmt w:val="bullet"/>
      <w:lvlText w:val="•"/>
      <w:lvlJc w:val="left"/>
      <w:pPr>
        <w:ind w:left="3397" w:hanging="552"/>
      </w:pPr>
      <w:rPr>
        <w:rFonts w:hint="default"/>
        <w:lang w:val="en-GB" w:eastAsia="en-US" w:bidi="ar-SA"/>
      </w:rPr>
    </w:lvl>
    <w:lvl w:ilvl="4" w:tplc="3D44EA18">
      <w:numFmt w:val="bullet"/>
      <w:lvlText w:val="•"/>
      <w:lvlJc w:val="left"/>
      <w:pPr>
        <w:ind w:left="4290" w:hanging="552"/>
      </w:pPr>
      <w:rPr>
        <w:rFonts w:hint="default"/>
        <w:lang w:val="en-GB" w:eastAsia="en-US" w:bidi="ar-SA"/>
      </w:rPr>
    </w:lvl>
    <w:lvl w:ilvl="5" w:tplc="30E05DC4">
      <w:numFmt w:val="bullet"/>
      <w:lvlText w:val="•"/>
      <w:lvlJc w:val="left"/>
      <w:pPr>
        <w:ind w:left="5183" w:hanging="552"/>
      </w:pPr>
      <w:rPr>
        <w:rFonts w:hint="default"/>
        <w:lang w:val="en-GB" w:eastAsia="en-US" w:bidi="ar-SA"/>
      </w:rPr>
    </w:lvl>
    <w:lvl w:ilvl="6" w:tplc="B5B466EA">
      <w:numFmt w:val="bullet"/>
      <w:lvlText w:val="•"/>
      <w:lvlJc w:val="left"/>
      <w:pPr>
        <w:ind w:left="6075" w:hanging="552"/>
      </w:pPr>
      <w:rPr>
        <w:rFonts w:hint="default"/>
        <w:lang w:val="en-GB" w:eastAsia="en-US" w:bidi="ar-SA"/>
      </w:rPr>
    </w:lvl>
    <w:lvl w:ilvl="7" w:tplc="97680596">
      <w:numFmt w:val="bullet"/>
      <w:lvlText w:val="•"/>
      <w:lvlJc w:val="left"/>
      <w:pPr>
        <w:ind w:left="6968" w:hanging="552"/>
      </w:pPr>
      <w:rPr>
        <w:rFonts w:hint="default"/>
        <w:lang w:val="en-GB" w:eastAsia="en-US" w:bidi="ar-SA"/>
      </w:rPr>
    </w:lvl>
    <w:lvl w:ilvl="8" w:tplc="864820BA">
      <w:numFmt w:val="bullet"/>
      <w:lvlText w:val="•"/>
      <w:lvlJc w:val="left"/>
      <w:pPr>
        <w:ind w:left="7861" w:hanging="552"/>
      </w:pPr>
      <w:rPr>
        <w:rFonts w:hint="default"/>
        <w:lang w:val="en-GB" w:eastAsia="en-US" w:bidi="ar-SA"/>
      </w:rPr>
    </w:lvl>
  </w:abstractNum>
  <w:abstractNum w:abstractNumId="67">
    <w:nsid w:val="264E4B38"/>
    <w:multiLevelType w:val="hybridMultilevel"/>
    <w:tmpl w:val="EA5211DA"/>
    <w:lvl w:ilvl="0" w:tplc="4B4AA4F2">
      <w:start w:val="33"/>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42A7F5C">
      <w:numFmt w:val="bullet"/>
      <w:lvlText w:val="•"/>
      <w:lvlJc w:val="left"/>
      <w:pPr>
        <w:ind w:left="1612" w:hanging="552"/>
      </w:pPr>
      <w:rPr>
        <w:rFonts w:hint="default"/>
        <w:lang w:val="en-GB" w:eastAsia="en-US" w:bidi="ar-SA"/>
      </w:rPr>
    </w:lvl>
    <w:lvl w:ilvl="2" w:tplc="88242F3C">
      <w:numFmt w:val="bullet"/>
      <w:lvlText w:val="•"/>
      <w:lvlJc w:val="left"/>
      <w:pPr>
        <w:ind w:left="2505" w:hanging="552"/>
      </w:pPr>
      <w:rPr>
        <w:rFonts w:hint="default"/>
        <w:lang w:val="en-GB" w:eastAsia="en-US" w:bidi="ar-SA"/>
      </w:rPr>
    </w:lvl>
    <w:lvl w:ilvl="3" w:tplc="74FA35B2">
      <w:numFmt w:val="bullet"/>
      <w:lvlText w:val="•"/>
      <w:lvlJc w:val="left"/>
      <w:pPr>
        <w:ind w:left="3397" w:hanging="552"/>
      </w:pPr>
      <w:rPr>
        <w:rFonts w:hint="default"/>
        <w:lang w:val="en-GB" w:eastAsia="en-US" w:bidi="ar-SA"/>
      </w:rPr>
    </w:lvl>
    <w:lvl w:ilvl="4" w:tplc="7DF0FD86">
      <w:numFmt w:val="bullet"/>
      <w:lvlText w:val="•"/>
      <w:lvlJc w:val="left"/>
      <w:pPr>
        <w:ind w:left="4290" w:hanging="552"/>
      </w:pPr>
      <w:rPr>
        <w:rFonts w:hint="default"/>
        <w:lang w:val="en-GB" w:eastAsia="en-US" w:bidi="ar-SA"/>
      </w:rPr>
    </w:lvl>
    <w:lvl w:ilvl="5" w:tplc="9B8A87BE">
      <w:numFmt w:val="bullet"/>
      <w:lvlText w:val="•"/>
      <w:lvlJc w:val="left"/>
      <w:pPr>
        <w:ind w:left="5183" w:hanging="552"/>
      </w:pPr>
      <w:rPr>
        <w:rFonts w:hint="default"/>
        <w:lang w:val="en-GB" w:eastAsia="en-US" w:bidi="ar-SA"/>
      </w:rPr>
    </w:lvl>
    <w:lvl w:ilvl="6" w:tplc="083E9012">
      <w:numFmt w:val="bullet"/>
      <w:lvlText w:val="•"/>
      <w:lvlJc w:val="left"/>
      <w:pPr>
        <w:ind w:left="6075" w:hanging="552"/>
      </w:pPr>
      <w:rPr>
        <w:rFonts w:hint="default"/>
        <w:lang w:val="en-GB" w:eastAsia="en-US" w:bidi="ar-SA"/>
      </w:rPr>
    </w:lvl>
    <w:lvl w:ilvl="7" w:tplc="7BA27CEC">
      <w:numFmt w:val="bullet"/>
      <w:lvlText w:val="•"/>
      <w:lvlJc w:val="left"/>
      <w:pPr>
        <w:ind w:left="6968" w:hanging="552"/>
      </w:pPr>
      <w:rPr>
        <w:rFonts w:hint="default"/>
        <w:lang w:val="en-GB" w:eastAsia="en-US" w:bidi="ar-SA"/>
      </w:rPr>
    </w:lvl>
    <w:lvl w:ilvl="8" w:tplc="C6B00C16">
      <w:numFmt w:val="bullet"/>
      <w:lvlText w:val="•"/>
      <w:lvlJc w:val="left"/>
      <w:pPr>
        <w:ind w:left="7861" w:hanging="552"/>
      </w:pPr>
      <w:rPr>
        <w:rFonts w:hint="default"/>
        <w:lang w:val="en-GB" w:eastAsia="en-US" w:bidi="ar-SA"/>
      </w:rPr>
    </w:lvl>
  </w:abstractNum>
  <w:abstractNum w:abstractNumId="68">
    <w:nsid w:val="26D6247D"/>
    <w:multiLevelType w:val="hybridMultilevel"/>
    <w:tmpl w:val="16702262"/>
    <w:lvl w:ilvl="0" w:tplc="584840CA">
      <w:numFmt w:val="bullet"/>
      <w:lvlText w:val=""/>
      <w:lvlJc w:val="left"/>
      <w:pPr>
        <w:ind w:left="554" w:hanging="454"/>
      </w:pPr>
      <w:rPr>
        <w:rFonts w:ascii="Symbol" w:eastAsia="Symbol" w:hAnsi="Symbol" w:cs="Symbol" w:hint="default"/>
        <w:b w:val="0"/>
        <w:bCs w:val="0"/>
        <w:i w:val="0"/>
        <w:iCs w:val="0"/>
        <w:w w:val="100"/>
        <w:sz w:val="22"/>
        <w:szCs w:val="22"/>
        <w:lang w:val="en-GB" w:eastAsia="en-US" w:bidi="ar-SA"/>
      </w:rPr>
    </w:lvl>
    <w:lvl w:ilvl="1" w:tplc="E1D43D32">
      <w:numFmt w:val="bullet"/>
      <w:lvlText w:val="•"/>
      <w:lvlJc w:val="left"/>
      <w:pPr>
        <w:ind w:left="1428" w:hanging="454"/>
      </w:pPr>
      <w:rPr>
        <w:rFonts w:hint="default"/>
        <w:lang w:val="en-GB" w:eastAsia="en-US" w:bidi="ar-SA"/>
      </w:rPr>
    </w:lvl>
    <w:lvl w:ilvl="2" w:tplc="11C05EC6">
      <w:numFmt w:val="bullet"/>
      <w:lvlText w:val="•"/>
      <w:lvlJc w:val="left"/>
      <w:pPr>
        <w:ind w:left="2297" w:hanging="454"/>
      </w:pPr>
      <w:rPr>
        <w:rFonts w:hint="default"/>
        <w:lang w:val="en-GB" w:eastAsia="en-US" w:bidi="ar-SA"/>
      </w:rPr>
    </w:lvl>
    <w:lvl w:ilvl="3" w:tplc="61461008">
      <w:numFmt w:val="bullet"/>
      <w:lvlText w:val="•"/>
      <w:lvlJc w:val="left"/>
      <w:pPr>
        <w:ind w:left="3165" w:hanging="454"/>
      </w:pPr>
      <w:rPr>
        <w:rFonts w:hint="default"/>
        <w:lang w:val="en-GB" w:eastAsia="en-US" w:bidi="ar-SA"/>
      </w:rPr>
    </w:lvl>
    <w:lvl w:ilvl="4" w:tplc="67C8D12E">
      <w:numFmt w:val="bullet"/>
      <w:lvlText w:val="•"/>
      <w:lvlJc w:val="left"/>
      <w:pPr>
        <w:ind w:left="4034" w:hanging="454"/>
      </w:pPr>
      <w:rPr>
        <w:rFonts w:hint="default"/>
        <w:lang w:val="en-GB" w:eastAsia="en-US" w:bidi="ar-SA"/>
      </w:rPr>
    </w:lvl>
    <w:lvl w:ilvl="5" w:tplc="6E008A54">
      <w:numFmt w:val="bullet"/>
      <w:lvlText w:val="•"/>
      <w:lvlJc w:val="left"/>
      <w:pPr>
        <w:ind w:left="4903" w:hanging="454"/>
      </w:pPr>
      <w:rPr>
        <w:rFonts w:hint="default"/>
        <w:lang w:val="en-GB" w:eastAsia="en-US" w:bidi="ar-SA"/>
      </w:rPr>
    </w:lvl>
    <w:lvl w:ilvl="6" w:tplc="263082E2">
      <w:numFmt w:val="bullet"/>
      <w:lvlText w:val="•"/>
      <w:lvlJc w:val="left"/>
      <w:pPr>
        <w:ind w:left="5771" w:hanging="454"/>
      </w:pPr>
      <w:rPr>
        <w:rFonts w:hint="default"/>
        <w:lang w:val="en-GB" w:eastAsia="en-US" w:bidi="ar-SA"/>
      </w:rPr>
    </w:lvl>
    <w:lvl w:ilvl="7" w:tplc="90CECF42">
      <w:numFmt w:val="bullet"/>
      <w:lvlText w:val="•"/>
      <w:lvlJc w:val="left"/>
      <w:pPr>
        <w:ind w:left="6640" w:hanging="454"/>
      </w:pPr>
      <w:rPr>
        <w:rFonts w:hint="default"/>
        <w:lang w:val="en-GB" w:eastAsia="en-US" w:bidi="ar-SA"/>
      </w:rPr>
    </w:lvl>
    <w:lvl w:ilvl="8" w:tplc="8F206290">
      <w:numFmt w:val="bullet"/>
      <w:lvlText w:val="•"/>
      <w:lvlJc w:val="left"/>
      <w:pPr>
        <w:ind w:left="7509" w:hanging="454"/>
      </w:pPr>
      <w:rPr>
        <w:rFonts w:hint="default"/>
        <w:lang w:val="en-GB" w:eastAsia="en-US" w:bidi="ar-SA"/>
      </w:rPr>
    </w:lvl>
  </w:abstractNum>
  <w:abstractNum w:abstractNumId="69">
    <w:nsid w:val="2A4A0ED7"/>
    <w:multiLevelType w:val="hybridMultilevel"/>
    <w:tmpl w:val="F1FAA300"/>
    <w:lvl w:ilvl="0" w:tplc="BCE2B138">
      <w:start w:val="100"/>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2E7E1FD2">
      <w:numFmt w:val="bullet"/>
      <w:lvlText w:val="•"/>
      <w:lvlJc w:val="left"/>
      <w:pPr>
        <w:ind w:left="1720" w:hanging="675"/>
      </w:pPr>
      <w:rPr>
        <w:rFonts w:hint="default"/>
        <w:lang w:val="en-GB" w:eastAsia="en-US" w:bidi="ar-SA"/>
      </w:rPr>
    </w:lvl>
    <w:lvl w:ilvl="2" w:tplc="09CAE4DA">
      <w:numFmt w:val="bullet"/>
      <w:lvlText w:val="•"/>
      <w:lvlJc w:val="left"/>
      <w:pPr>
        <w:ind w:left="2601" w:hanging="675"/>
      </w:pPr>
      <w:rPr>
        <w:rFonts w:hint="default"/>
        <w:lang w:val="en-GB" w:eastAsia="en-US" w:bidi="ar-SA"/>
      </w:rPr>
    </w:lvl>
    <w:lvl w:ilvl="3" w:tplc="02E2F35A">
      <w:numFmt w:val="bullet"/>
      <w:lvlText w:val="•"/>
      <w:lvlJc w:val="left"/>
      <w:pPr>
        <w:ind w:left="3481" w:hanging="675"/>
      </w:pPr>
      <w:rPr>
        <w:rFonts w:hint="default"/>
        <w:lang w:val="en-GB" w:eastAsia="en-US" w:bidi="ar-SA"/>
      </w:rPr>
    </w:lvl>
    <w:lvl w:ilvl="4" w:tplc="5364B886">
      <w:numFmt w:val="bullet"/>
      <w:lvlText w:val="•"/>
      <w:lvlJc w:val="left"/>
      <w:pPr>
        <w:ind w:left="4362" w:hanging="675"/>
      </w:pPr>
      <w:rPr>
        <w:rFonts w:hint="default"/>
        <w:lang w:val="en-GB" w:eastAsia="en-US" w:bidi="ar-SA"/>
      </w:rPr>
    </w:lvl>
    <w:lvl w:ilvl="5" w:tplc="7D42D0C0">
      <w:numFmt w:val="bullet"/>
      <w:lvlText w:val="•"/>
      <w:lvlJc w:val="left"/>
      <w:pPr>
        <w:ind w:left="5243" w:hanging="675"/>
      </w:pPr>
      <w:rPr>
        <w:rFonts w:hint="default"/>
        <w:lang w:val="en-GB" w:eastAsia="en-US" w:bidi="ar-SA"/>
      </w:rPr>
    </w:lvl>
    <w:lvl w:ilvl="6" w:tplc="D7B49BE4">
      <w:numFmt w:val="bullet"/>
      <w:lvlText w:val="•"/>
      <w:lvlJc w:val="left"/>
      <w:pPr>
        <w:ind w:left="6123" w:hanging="675"/>
      </w:pPr>
      <w:rPr>
        <w:rFonts w:hint="default"/>
        <w:lang w:val="en-GB" w:eastAsia="en-US" w:bidi="ar-SA"/>
      </w:rPr>
    </w:lvl>
    <w:lvl w:ilvl="7" w:tplc="E706525A">
      <w:numFmt w:val="bullet"/>
      <w:lvlText w:val="•"/>
      <w:lvlJc w:val="left"/>
      <w:pPr>
        <w:ind w:left="7004" w:hanging="675"/>
      </w:pPr>
      <w:rPr>
        <w:rFonts w:hint="default"/>
        <w:lang w:val="en-GB" w:eastAsia="en-US" w:bidi="ar-SA"/>
      </w:rPr>
    </w:lvl>
    <w:lvl w:ilvl="8" w:tplc="9FB46E46">
      <w:numFmt w:val="bullet"/>
      <w:lvlText w:val="•"/>
      <w:lvlJc w:val="left"/>
      <w:pPr>
        <w:ind w:left="7885" w:hanging="675"/>
      </w:pPr>
      <w:rPr>
        <w:rFonts w:hint="default"/>
        <w:lang w:val="en-GB" w:eastAsia="en-US" w:bidi="ar-SA"/>
      </w:rPr>
    </w:lvl>
  </w:abstractNum>
  <w:abstractNum w:abstractNumId="70">
    <w:nsid w:val="2AE26BAA"/>
    <w:multiLevelType w:val="hybridMultilevel"/>
    <w:tmpl w:val="438CD746"/>
    <w:lvl w:ilvl="0" w:tplc="58029E8E">
      <w:start w:val="25"/>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AD64214">
      <w:numFmt w:val="bullet"/>
      <w:lvlText w:val="•"/>
      <w:lvlJc w:val="left"/>
      <w:pPr>
        <w:ind w:left="1612" w:hanging="552"/>
      </w:pPr>
      <w:rPr>
        <w:rFonts w:hint="default"/>
        <w:lang w:val="en-GB" w:eastAsia="en-US" w:bidi="ar-SA"/>
      </w:rPr>
    </w:lvl>
    <w:lvl w:ilvl="2" w:tplc="4C409D2E">
      <w:numFmt w:val="bullet"/>
      <w:lvlText w:val="•"/>
      <w:lvlJc w:val="left"/>
      <w:pPr>
        <w:ind w:left="2505" w:hanging="552"/>
      </w:pPr>
      <w:rPr>
        <w:rFonts w:hint="default"/>
        <w:lang w:val="en-GB" w:eastAsia="en-US" w:bidi="ar-SA"/>
      </w:rPr>
    </w:lvl>
    <w:lvl w:ilvl="3" w:tplc="62826DD0">
      <w:numFmt w:val="bullet"/>
      <w:lvlText w:val="•"/>
      <w:lvlJc w:val="left"/>
      <w:pPr>
        <w:ind w:left="3397" w:hanging="552"/>
      </w:pPr>
      <w:rPr>
        <w:rFonts w:hint="default"/>
        <w:lang w:val="en-GB" w:eastAsia="en-US" w:bidi="ar-SA"/>
      </w:rPr>
    </w:lvl>
    <w:lvl w:ilvl="4" w:tplc="3BD84506">
      <w:numFmt w:val="bullet"/>
      <w:lvlText w:val="•"/>
      <w:lvlJc w:val="left"/>
      <w:pPr>
        <w:ind w:left="4290" w:hanging="552"/>
      </w:pPr>
      <w:rPr>
        <w:rFonts w:hint="default"/>
        <w:lang w:val="en-GB" w:eastAsia="en-US" w:bidi="ar-SA"/>
      </w:rPr>
    </w:lvl>
    <w:lvl w:ilvl="5" w:tplc="7CCAF59A">
      <w:numFmt w:val="bullet"/>
      <w:lvlText w:val="•"/>
      <w:lvlJc w:val="left"/>
      <w:pPr>
        <w:ind w:left="5183" w:hanging="552"/>
      </w:pPr>
      <w:rPr>
        <w:rFonts w:hint="default"/>
        <w:lang w:val="en-GB" w:eastAsia="en-US" w:bidi="ar-SA"/>
      </w:rPr>
    </w:lvl>
    <w:lvl w:ilvl="6" w:tplc="AF42097C">
      <w:numFmt w:val="bullet"/>
      <w:lvlText w:val="•"/>
      <w:lvlJc w:val="left"/>
      <w:pPr>
        <w:ind w:left="6075" w:hanging="552"/>
      </w:pPr>
      <w:rPr>
        <w:rFonts w:hint="default"/>
        <w:lang w:val="en-GB" w:eastAsia="en-US" w:bidi="ar-SA"/>
      </w:rPr>
    </w:lvl>
    <w:lvl w:ilvl="7" w:tplc="3BA82390">
      <w:numFmt w:val="bullet"/>
      <w:lvlText w:val="•"/>
      <w:lvlJc w:val="left"/>
      <w:pPr>
        <w:ind w:left="6968" w:hanging="552"/>
      </w:pPr>
      <w:rPr>
        <w:rFonts w:hint="default"/>
        <w:lang w:val="en-GB" w:eastAsia="en-US" w:bidi="ar-SA"/>
      </w:rPr>
    </w:lvl>
    <w:lvl w:ilvl="8" w:tplc="C1B4B564">
      <w:numFmt w:val="bullet"/>
      <w:lvlText w:val="•"/>
      <w:lvlJc w:val="left"/>
      <w:pPr>
        <w:ind w:left="7861" w:hanging="552"/>
      </w:pPr>
      <w:rPr>
        <w:rFonts w:hint="default"/>
        <w:lang w:val="en-GB" w:eastAsia="en-US" w:bidi="ar-SA"/>
      </w:rPr>
    </w:lvl>
  </w:abstractNum>
  <w:abstractNum w:abstractNumId="71">
    <w:nsid w:val="2CD825F2"/>
    <w:multiLevelType w:val="hybridMultilevel"/>
    <w:tmpl w:val="D4902F72"/>
    <w:lvl w:ilvl="0" w:tplc="AD1EC636">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AD98242C">
      <w:numFmt w:val="bullet"/>
      <w:lvlText w:val="•"/>
      <w:lvlJc w:val="left"/>
      <w:pPr>
        <w:ind w:left="798" w:hanging="360"/>
      </w:pPr>
      <w:rPr>
        <w:rFonts w:hint="default"/>
        <w:lang w:val="en-GB" w:eastAsia="en-US" w:bidi="ar-SA"/>
      </w:rPr>
    </w:lvl>
    <w:lvl w:ilvl="2" w:tplc="25801334">
      <w:numFmt w:val="bullet"/>
      <w:lvlText w:val="•"/>
      <w:lvlJc w:val="left"/>
      <w:pPr>
        <w:ind w:left="1137" w:hanging="360"/>
      </w:pPr>
      <w:rPr>
        <w:rFonts w:hint="default"/>
        <w:lang w:val="en-GB" w:eastAsia="en-US" w:bidi="ar-SA"/>
      </w:rPr>
    </w:lvl>
    <w:lvl w:ilvl="3" w:tplc="0D780176">
      <w:numFmt w:val="bullet"/>
      <w:lvlText w:val="•"/>
      <w:lvlJc w:val="left"/>
      <w:pPr>
        <w:ind w:left="1475" w:hanging="360"/>
      </w:pPr>
      <w:rPr>
        <w:rFonts w:hint="default"/>
        <w:lang w:val="en-GB" w:eastAsia="en-US" w:bidi="ar-SA"/>
      </w:rPr>
    </w:lvl>
    <w:lvl w:ilvl="4" w:tplc="4BA68306">
      <w:numFmt w:val="bullet"/>
      <w:lvlText w:val="•"/>
      <w:lvlJc w:val="left"/>
      <w:pPr>
        <w:ind w:left="1814" w:hanging="360"/>
      </w:pPr>
      <w:rPr>
        <w:rFonts w:hint="default"/>
        <w:lang w:val="en-GB" w:eastAsia="en-US" w:bidi="ar-SA"/>
      </w:rPr>
    </w:lvl>
    <w:lvl w:ilvl="5" w:tplc="22C8B3EE">
      <w:numFmt w:val="bullet"/>
      <w:lvlText w:val="•"/>
      <w:lvlJc w:val="left"/>
      <w:pPr>
        <w:ind w:left="2152" w:hanging="360"/>
      </w:pPr>
      <w:rPr>
        <w:rFonts w:hint="default"/>
        <w:lang w:val="en-GB" w:eastAsia="en-US" w:bidi="ar-SA"/>
      </w:rPr>
    </w:lvl>
    <w:lvl w:ilvl="6" w:tplc="67F804AA">
      <w:numFmt w:val="bullet"/>
      <w:lvlText w:val="•"/>
      <w:lvlJc w:val="left"/>
      <w:pPr>
        <w:ind w:left="2491" w:hanging="360"/>
      </w:pPr>
      <w:rPr>
        <w:rFonts w:hint="default"/>
        <w:lang w:val="en-GB" w:eastAsia="en-US" w:bidi="ar-SA"/>
      </w:rPr>
    </w:lvl>
    <w:lvl w:ilvl="7" w:tplc="65E81174">
      <w:numFmt w:val="bullet"/>
      <w:lvlText w:val="•"/>
      <w:lvlJc w:val="left"/>
      <w:pPr>
        <w:ind w:left="2829" w:hanging="360"/>
      </w:pPr>
      <w:rPr>
        <w:rFonts w:hint="default"/>
        <w:lang w:val="en-GB" w:eastAsia="en-US" w:bidi="ar-SA"/>
      </w:rPr>
    </w:lvl>
    <w:lvl w:ilvl="8" w:tplc="EBC6940A">
      <w:numFmt w:val="bullet"/>
      <w:lvlText w:val="•"/>
      <w:lvlJc w:val="left"/>
      <w:pPr>
        <w:ind w:left="3168" w:hanging="360"/>
      </w:pPr>
      <w:rPr>
        <w:rFonts w:hint="default"/>
        <w:lang w:val="en-GB" w:eastAsia="en-US" w:bidi="ar-SA"/>
      </w:rPr>
    </w:lvl>
  </w:abstractNum>
  <w:abstractNum w:abstractNumId="72">
    <w:nsid w:val="2CF91A28"/>
    <w:multiLevelType w:val="hybridMultilevel"/>
    <w:tmpl w:val="2DD49EBC"/>
    <w:lvl w:ilvl="0" w:tplc="1AA0D49C">
      <w:start w:val="70"/>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048A9E68">
      <w:numFmt w:val="bullet"/>
      <w:lvlText w:val="•"/>
      <w:lvlJc w:val="left"/>
      <w:pPr>
        <w:ind w:left="1612" w:hanging="552"/>
      </w:pPr>
      <w:rPr>
        <w:rFonts w:hint="default"/>
        <w:lang w:val="en-GB" w:eastAsia="en-US" w:bidi="ar-SA"/>
      </w:rPr>
    </w:lvl>
    <w:lvl w:ilvl="2" w:tplc="92844EF2">
      <w:numFmt w:val="bullet"/>
      <w:lvlText w:val="•"/>
      <w:lvlJc w:val="left"/>
      <w:pPr>
        <w:ind w:left="2505" w:hanging="552"/>
      </w:pPr>
      <w:rPr>
        <w:rFonts w:hint="default"/>
        <w:lang w:val="en-GB" w:eastAsia="en-US" w:bidi="ar-SA"/>
      </w:rPr>
    </w:lvl>
    <w:lvl w:ilvl="3" w:tplc="0B3C4DB0">
      <w:numFmt w:val="bullet"/>
      <w:lvlText w:val="•"/>
      <w:lvlJc w:val="left"/>
      <w:pPr>
        <w:ind w:left="3397" w:hanging="552"/>
      </w:pPr>
      <w:rPr>
        <w:rFonts w:hint="default"/>
        <w:lang w:val="en-GB" w:eastAsia="en-US" w:bidi="ar-SA"/>
      </w:rPr>
    </w:lvl>
    <w:lvl w:ilvl="4" w:tplc="A92C8678">
      <w:numFmt w:val="bullet"/>
      <w:lvlText w:val="•"/>
      <w:lvlJc w:val="left"/>
      <w:pPr>
        <w:ind w:left="4290" w:hanging="552"/>
      </w:pPr>
      <w:rPr>
        <w:rFonts w:hint="default"/>
        <w:lang w:val="en-GB" w:eastAsia="en-US" w:bidi="ar-SA"/>
      </w:rPr>
    </w:lvl>
    <w:lvl w:ilvl="5" w:tplc="4BB018F8">
      <w:numFmt w:val="bullet"/>
      <w:lvlText w:val="•"/>
      <w:lvlJc w:val="left"/>
      <w:pPr>
        <w:ind w:left="5183" w:hanging="552"/>
      </w:pPr>
      <w:rPr>
        <w:rFonts w:hint="default"/>
        <w:lang w:val="en-GB" w:eastAsia="en-US" w:bidi="ar-SA"/>
      </w:rPr>
    </w:lvl>
    <w:lvl w:ilvl="6" w:tplc="4094FE02">
      <w:numFmt w:val="bullet"/>
      <w:lvlText w:val="•"/>
      <w:lvlJc w:val="left"/>
      <w:pPr>
        <w:ind w:left="6075" w:hanging="552"/>
      </w:pPr>
      <w:rPr>
        <w:rFonts w:hint="default"/>
        <w:lang w:val="en-GB" w:eastAsia="en-US" w:bidi="ar-SA"/>
      </w:rPr>
    </w:lvl>
    <w:lvl w:ilvl="7" w:tplc="3EFCD978">
      <w:numFmt w:val="bullet"/>
      <w:lvlText w:val="•"/>
      <w:lvlJc w:val="left"/>
      <w:pPr>
        <w:ind w:left="6968" w:hanging="552"/>
      </w:pPr>
      <w:rPr>
        <w:rFonts w:hint="default"/>
        <w:lang w:val="en-GB" w:eastAsia="en-US" w:bidi="ar-SA"/>
      </w:rPr>
    </w:lvl>
    <w:lvl w:ilvl="8" w:tplc="547EC97C">
      <w:numFmt w:val="bullet"/>
      <w:lvlText w:val="•"/>
      <w:lvlJc w:val="left"/>
      <w:pPr>
        <w:ind w:left="7861" w:hanging="552"/>
      </w:pPr>
      <w:rPr>
        <w:rFonts w:hint="default"/>
        <w:lang w:val="en-GB" w:eastAsia="en-US" w:bidi="ar-SA"/>
      </w:rPr>
    </w:lvl>
  </w:abstractNum>
  <w:abstractNum w:abstractNumId="73">
    <w:nsid w:val="2D943E6B"/>
    <w:multiLevelType w:val="hybridMultilevel"/>
    <w:tmpl w:val="96049190"/>
    <w:lvl w:ilvl="0" w:tplc="C63ED260">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2BF23C8C">
      <w:numFmt w:val="bullet"/>
      <w:lvlText w:val="•"/>
      <w:lvlJc w:val="left"/>
      <w:pPr>
        <w:ind w:left="798" w:hanging="360"/>
      </w:pPr>
      <w:rPr>
        <w:rFonts w:hint="default"/>
        <w:lang w:val="en-GB" w:eastAsia="en-US" w:bidi="ar-SA"/>
      </w:rPr>
    </w:lvl>
    <w:lvl w:ilvl="2" w:tplc="2E3C0AB6">
      <w:numFmt w:val="bullet"/>
      <w:lvlText w:val="•"/>
      <w:lvlJc w:val="left"/>
      <w:pPr>
        <w:ind w:left="1137" w:hanging="360"/>
      </w:pPr>
      <w:rPr>
        <w:rFonts w:hint="default"/>
        <w:lang w:val="en-GB" w:eastAsia="en-US" w:bidi="ar-SA"/>
      </w:rPr>
    </w:lvl>
    <w:lvl w:ilvl="3" w:tplc="3CB2C1B4">
      <w:numFmt w:val="bullet"/>
      <w:lvlText w:val="•"/>
      <w:lvlJc w:val="left"/>
      <w:pPr>
        <w:ind w:left="1476" w:hanging="360"/>
      </w:pPr>
      <w:rPr>
        <w:rFonts w:hint="default"/>
        <w:lang w:val="en-GB" w:eastAsia="en-US" w:bidi="ar-SA"/>
      </w:rPr>
    </w:lvl>
    <w:lvl w:ilvl="4" w:tplc="A8DC809C">
      <w:numFmt w:val="bullet"/>
      <w:lvlText w:val="•"/>
      <w:lvlJc w:val="left"/>
      <w:pPr>
        <w:ind w:left="1815" w:hanging="360"/>
      </w:pPr>
      <w:rPr>
        <w:rFonts w:hint="default"/>
        <w:lang w:val="en-GB" w:eastAsia="en-US" w:bidi="ar-SA"/>
      </w:rPr>
    </w:lvl>
    <w:lvl w:ilvl="5" w:tplc="7FAA2D12">
      <w:numFmt w:val="bullet"/>
      <w:lvlText w:val="•"/>
      <w:lvlJc w:val="left"/>
      <w:pPr>
        <w:ind w:left="2154" w:hanging="360"/>
      </w:pPr>
      <w:rPr>
        <w:rFonts w:hint="default"/>
        <w:lang w:val="en-GB" w:eastAsia="en-US" w:bidi="ar-SA"/>
      </w:rPr>
    </w:lvl>
    <w:lvl w:ilvl="6" w:tplc="8E00F860">
      <w:numFmt w:val="bullet"/>
      <w:lvlText w:val="•"/>
      <w:lvlJc w:val="left"/>
      <w:pPr>
        <w:ind w:left="2492" w:hanging="360"/>
      </w:pPr>
      <w:rPr>
        <w:rFonts w:hint="default"/>
        <w:lang w:val="en-GB" w:eastAsia="en-US" w:bidi="ar-SA"/>
      </w:rPr>
    </w:lvl>
    <w:lvl w:ilvl="7" w:tplc="066844BA">
      <w:numFmt w:val="bullet"/>
      <w:lvlText w:val="•"/>
      <w:lvlJc w:val="left"/>
      <w:pPr>
        <w:ind w:left="2831" w:hanging="360"/>
      </w:pPr>
      <w:rPr>
        <w:rFonts w:hint="default"/>
        <w:lang w:val="en-GB" w:eastAsia="en-US" w:bidi="ar-SA"/>
      </w:rPr>
    </w:lvl>
    <w:lvl w:ilvl="8" w:tplc="E0604AD4">
      <w:numFmt w:val="bullet"/>
      <w:lvlText w:val="•"/>
      <w:lvlJc w:val="left"/>
      <w:pPr>
        <w:ind w:left="3170" w:hanging="360"/>
      </w:pPr>
      <w:rPr>
        <w:rFonts w:hint="default"/>
        <w:lang w:val="en-GB" w:eastAsia="en-US" w:bidi="ar-SA"/>
      </w:rPr>
    </w:lvl>
  </w:abstractNum>
  <w:abstractNum w:abstractNumId="74">
    <w:nsid w:val="2DAD06EB"/>
    <w:multiLevelType w:val="hybridMultilevel"/>
    <w:tmpl w:val="0DDAD096"/>
    <w:lvl w:ilvl="0" w:tplc="C5A4A1E6">
      <w:start w:val="12"/>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598B93E">
      <w:numFmt w:val="bullet"/>
      <w:lvlText w:val="•"/>
      <w:lvlJc w:val="left"/>
      <w:pPr>
        <w:ind w:left="1612" w:hanging="552"/>
      </w:pPr>
      <w:rPr>
        <w:rFonts w:hint="default"/>
        <w:lang w:val="en-GB" w:eastAsia="en-US" w:bidi="ar-SA"/>
      </w:rPr>
    </w:lvl>
    <w:lvl w:ilvl="2" w:tplc="154C4D06">
      <w:numFmt w:val="bullet"/>
      <w:lvlText w:val="•"/>
      <w:lvlJc w:val="left"/>
      <w:pPr>
        <w:ind w:left="2505" w:hanging="552"/>
      </w:pPr>
      <w:rPr>
        <w:rFonts w:hint="default"/>
        <w:lang w:val="en-GB" w:eastAsia="en-US" w:bidi="ar-SA"/>
      </w:rPr>
    </w:lvl>
    <w:lvl w:ilvl="3" w:tplc="64DA628C">
      <w:numFmt w:val="bullet"/>
      <w:lvlText w:val="•"/>
      <w:lvlJc w:val="left"/>
      <w:pPr>
        <w:ind w:left="3397" w:hanging="552"/>
      </w:pPr>
      <w:rPr>
        <w:rFonts w:hint="default"/>
        <w:lang w:val="en-GB" w:eastAsia="en-US" w:bidi="ar-SA"/>
      </w:rPr>
    </w:lvl>
    <w:lvl w:ilvl="4" w:tplc="EE1066F0">
      <w:numFmt w:val="bullet"/>
      <w:lvlText w:val="•"/>
      <w:lvlJc w:val="left"/>
      <w:pPr>
        <w:ind w:left="4290" w:hanging="552"/>
      </w:pPr>
      <w:rPr>
        <w:rFonts w:hint="default"/>
        <w:lang w:val="en-GB" w:eastAsia="en-US" w:bidi="ar-SA"/>
      </w:rPr>
    </w:lvl>
    <w:lvl w:ilvl="5" w:tplc="6F52F44E">
      <w:numFmt w:val="bullet"/>
      <w:lvlText w:val="•"/>
      <w:lvlJc w:val="left"/>
      <w:pPr>
        <w:ind w:left="5183" w:hanging="552"/>
      </w:pPr>
      <w:rPr>
        <w:rFonts w:hint="default"/>
        <w:lang w:val="en-GB" w:eastAsia="en-US" w:bidi="ar-SA"/>
      </w:rPr>
    </w:lvl>
    <w:lvl w:ilvl="6" w:tplc="E8F81D84">
      <w:numFmt w:val="bullet"/>
      <w:lvlText w:val="•"/>
      <w:lvlJc w:val="left"/>
      <w:pPr>
        <w:ind w:left="6075" w:hanging="552"/>
      </w:pPr>
      <w:rPr>
        <w:rFonts w:hint="default"/>
        <w:lang w:val="en-GB" w:eastAsia="en-US" w:bidi="ar-SA"/>
      </w:rPr>
    </w:lvl>
    <w:lvl w:ilvl="7" w:tplc="BB449C24">
      <w:numFmt w:val="bullet"/>
      <w:lvlText w:val="•"/>
      <w:lvlJc w:val="left"/>
      <w:pPr>
        <w:ind w:left="6968" w:hanging="552"/>
      </w:pPr>
      <w:rPr>
        <w:rFonts w:hint="default"/>
        <w:lang w:val="en-GB" w:eastAsia="en-US" w:bidi="ar-SA"/>
      </w:rPr>
    </w:lvl>
    <w:lvl w:ilvl="8" w:tplc="B6B6DAE2">
      <w:numFmt w:val="bullet"/>
      <w:lvlText w:val="•"/>
      <w:lvlJc w:val="left"/>
      <w:pPr>
        <w:ind w:left="7861" w:hanging="552"/>
      </w:pPr>
      <w:rPr>
        <w:rFonts w:hint="default"/>
        <w:lang w:val="en-GB" w:eastAsia="en-US" w:bidi="ar-SA"/>
      </w:rPr>
    </w:lvl>
  </w:abstractNum>
  <w:abstractNum w:abstractNumId="75">
    <w:nsid w:val="2EC3190E"/>
    <w:multiLevelType w:val="hybridMultilevel"/>
    <w:tmpl w:val="DD34BC2C"/>
    <w:lvl w:ilvl="0" w:tplc="68947C80">
      <w:start w:val="11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CE7E6AC4">
      <w:numFmt w:val="bullet"/>
      <w:lvlText w:val="•"/>
      <w:lvlJc w:val="left"/>
      <w:pPr>
        <w:ind w:left="1720" w:hanging="675"/>
      </w:pPr>
      <w:rPr>
        <w:rFonts w:hint="default"/>
        <w:lang w:val="en-GB" w:eastAsia="en-US" w:bidi="ar-SA"/>
      </w:rPr>
    </w:lvl>
    <w:lvl w:ilvl="2" w:tplc="67360000">
      <w:numFmt w:val="bullet"/>
      <w:lvlText w:val="•"/>
      <w:lvlJc w:val="left"/>
      <w:pPr>
        <w:ind w:left="2601" w:hanging="675"/>
      </w:pPr>
      <w:rPr>
        <w:rFonts w:hint="default"/>
        <w:lang w:val="en-GB" w:eastAsia="en-US" w:bidi="ar-SA"/>
      </w:rPr>
    </w:lvl>
    <w:lvl w:ilvl="3" w:tplc="5EB26FD2">
      <w:numFmt w:val="bullet"/>
      <w:lvlText w:val="•"/>
      <w:lvlJc w:val="left"/>
      <w:pPr>
        <w:ind w:left="3481" w:hanging="675"/>
      </w:pPr>
      <w:rPr>
        <w:rFonts w:hint="default"/>
        <w:lang w:val="en-GB" w:eastAsia="en-US" w:bidi="ar-SA"/>
      </w:rPr>
    </w:lvl>
    <w:lvl w:ilvl="4" w:tplc="3CAE69FC">
      <w:numFmt w:val="bullet"/>
      <w:lvlText w:val="•"/>
      <w:lvlJc w:val="left"/>
      <w:pPr>
        <w:ind w:left="4362" w:hanging="675"/>
      </w:pPr>
      <w:rPr>
        <w:rFonts w:hint="default"/>
        <w:lang w:val="en-GB" w:eastAsia="en-US" w:bidi="ar-SA"/>
      </w:rPr>
    </w:lvl>
    <w:lvl w:ilvl="5" w:tplc="4EF434D4">
      <w:numFmt w:val="bullet"/>
      <w:lvlText w:val="•"/>
      <w:lvlJc w:val="left"/>
      <w:pPr>
        <w:ind w:left="5243" w:hanging="675"/>
      </w:pPr>
      <w:rPr>
        <w:rFonts w:hint="default"/>
        <w:lang w:val="en-GB" w:eastAsia="en-US" w:bidi="ar-SA"/>
      </w:rPr>
    </w:lvl>
    <w:lvl w:ilvl="6" w:tplc="04DCC056">
      <w:numFmt w:val="bullet"/>
      <w:lvlText w:val="•"/>
      <w:lvlJc w:val="left"/>
      <w:pPr>
        <w:ind w:left="6123" w:hanging="675"/>
      </w:pPr>
      <w:rPr>
        <w:rFonts w:hint="default"/>
        <w:lang w:val="en-GB" w:eastAsia="en-US" w:bidi="ar-SA"/>
      </w:rPr>
    </w:lvl>
    <w:lvl w:ilvl="7" w:tplc="57BC2646">
      <w:numFmt w:val="bullet"/>
      <w:lvlText w:val="•"/>
      <w:lvlJc w:val="left"/>
      <w:pPr>
        <w:ind w:left="7004" w:hanging="675"/>
      </w:pPr>
      <w:rPr>
        <w:rFonts w:hint="default"/>
        <w:lang w:val="en-GB" w:eastAsia="en-US" w:bidi="ar-SA"/>
      </w:rPr>
    </w:lvl>
    <w:lvl w:ilvl="8" w:tplc="9EC0D89A">
      <w:numFmt w:val="bullet"/>
      <w:lvlText w:val="•"/>
      <w:lvlJc w:val="left"/>
      <w:pPr>
        <w:ind w:left="7885" w:hanging="675"/>
      </w:pPr>
      <w:rPr>
        <w:rFonts w:hint="default"/>
        <w:lang w:val="en-GB" w:eastAsia="en-US" w:bidi="ar-SA"/>
      </w:rPr>
    </w:lvl>
  </w:abstractNum>
  <w:abstractNum w:abstractNumId="76">
    <w:nsid w:val="2F09359A"/>
    <w:multiLevelType w:val="hybridMultilevel"/>
    <w:tmpl w:val="20861668"/>
    <w:lvl w:ilvl="0" w:tplc="F2EE3C38">
      <w:start w:val="1"/>
      <w:numFmt w:val="decimal"/>
      <w:lvlText w:val="%1"/>
      <w:lvlJc w:val="left"/>
      <w:pPr>
        <w:ind w:left="271" w:hanging="152"/>
        <w:jc w:val="left"/>
      </w:pPr>
      <w:rPr>
        <w:rFonts w:ascii="Arial" w:eastAsia="Arial" w:hAnsi="Arial" w:cs="Arial" w:hint="default"/>
        <w:b w:val="0"/>
        <w:bCs w:val="0"/>
        <w:i/>
        <w:iCs/>
        <w:w w:val="100"/>
        <w:sz w:val="18"/>
        <w:szCs w:val="18"/>
        <w:lang w:val="en-GB" w:eastAsia="en-US" w:bidi="ar-SA"/>
      </w:rPr>
    </w:lvl>
    <w:lvl w:ilvl="1" w:tplc="B71EA47C">
      <w:numFmt w:val="bullet"/>
      <w:lvlText w:val="•"/>
      <w:lvlJc w:val="left"/>
      <w:pPr>
        <w:ind w:left="1693" w:hanging="152"/>
      </w:pPr>
      <w:rPr>
        <w:rFonts w:hint="default"/>
        <w:lang w:val="en-GB" w:eastAsia="en-US" w:bidi="ar-SA"/>
      </w:rPr>
    </w:lvl>
    <w:lvl w:ilvl="2" w:tplc="C7D842B8">
      <w:numFmt w:val="bullet"/>
      <w:lvlText w:val="•"/>
      <w:lvlJc w:val="left"/>
      <w:pPr>
        <w:ind w:left="3107" w:hanging="152"/>
      </w:pPr>
      <w:rPr>
        <w:rFonts w:hint="default"/>
        <w:lang w:val="en-GB" w:eastAsia="en-US" w:bidi="ar-SA"/>
      </w:rPr>
    </w:lvl>
    <w:lvl w:ilvl="3" w:tplc="14F8CD52">
      <w:numFmt w:val="bullet"/>
      <w:lvlText w:val="•"/>
      <w:lvlJc w:val="left"/>
      <w:pPr>
        <w:ind w:left="4521" w:hanging="152"/>
      </w:pPr>
      <w:rPr>
        <w:rFonts w:hint="default"/>
        <w:lang w:val="en-GB" w:eastAsia="en-US" w:bidi="ar-SA"/>
      </w:rPr>
    </w:lvl>
    <w:lvl w:ilvl="4" w:tplc="42C26416">
      <w:numFmt w:val="bullet"/>
      <w:lvlText w:val="•"/>
      <w:lvlJc w:val="left"/>
      <w:pPr>
        <w:ind w:left="5935" w:hanging="152"/>
      </w:pPr>
      <w:rPr>
        <w:rFonts w:hint="default"/>
        <w:lang w:val="en-GB" w:eastAsia="en-US" w:bidi="ar-SA"/>
      </w:rPr>
    </w:lvl>
    <w:lvl w:ilvl="5" w:tplc="1542D004">
      <w:numFmt w:val="bullet"/>
      <w:lvlText w:val="•"/>
      <w:lvlJc w:val="left"/>
      <w:pPr>
        <w:ind w:left="7349" w:hanging="152"/>
      </w:pPr>
      <w:rPr>
        <w:rFonts w:hint="default"/>
        <w:lang w:val="en-GB" w:eastAsia="en-US" w:bidi="ar-SA"/>
      </w:rPr>
    </w:lvl>
    <w:lvl w:ilvl="6" w:tplc="D04C790C">
      <w:numFmt w:val="bullet"/>
      <w:lvlText w:val="•"/>
      <w:lvlJc w:val="left"/>
      <w:pPr>
        <w:ind w:left="8763" w:hanging="152"/>
      </w:pPr>
      <w:rPr>
        <w:rFonts w:hint="default"/>
        <w:lang w:val="en-GB" w:eastAsia="en-US" w:bidi="ar-SA"/>
      </w:rPr>
    </w:lvl>
    <w:lvl w:ilvl="7" w:tplc="3036CF44">
      <w:numFmt w:val="bullet"/>
      <w:lvlText w:val="•"/>
      <w:lvlJc w:val="left"/>
      <w:pPr>
        <w:ind w:left="10176" w:hanging="152"/>
      </w:pPr>
      <w:rPr>
        <w:rFonts w:hint="default"/>
        <w:lang w:val="en-GB" w:eastAsia="en-US" w:bidi="ar-SA"/>
      </w:rPr>
    </w:lvl>
    <w:lvl w:ilvl="8" w:tplc="ED462E50">
      <w:numFmt w:val="bullet"/>
      <w:lvlText w:val="•"/>
      <w:lvlJc w:val="left"/>
      <w:pPr>
        <w:ind w:left="11590" w:hanging="152"/>
      </w:pPr>
      <w:rPr>
        <w:rFonts w:hint="default"/>
        <w:lang w:val="en-GB" w:eastAsia="en-US" w:bidi="ar-SA"/>
      </w:rPr>
    </w:lvl>
  </w:abstractNum>
  <w:abstractNum w:abstractNumId="77">
    <w:nsid w:val="2F5D3CA5"/>
    <w:multiLevelType w:val="hybridMultilevel"/>
    <w:tmpl w:val="942CF400"/>
    <w:lvl w:ilvl="0" w:tplc="3A287AA0">
      <w:start w:val="1"/>
      <w:numFmt w:val="decimal"/>
      <w:lvlText w:val="%1"/>
      <w:lvlJc w:val="left"/>
      <w:pPr>
        <w:ind w:left="120" w:hanging="152"/>
        <w:jc w:val="left"/>
      </w:pPr>
      <w:rPr>
        <w:rFonts w:ascii="Arial" w:eastAsia="Arial" w:hAnsi="Arial" w:cs="Arial" w:hint="default"/>
        <w:b w:val="0"/>
        <w:bCs w:val="0"/>
        <w:i/>
        <w:iCs/>
        <w:w w:val="100"/>
        <w:sz w:val="18"/>
        <w:szCs w:val="18"/>
        <w:lang w:val="en-GB" w:eastAsia="en-US" w:bidi="ar-SA"/>
      </w:rPr>
    </w:lvl>
    <w:lvl w:ilvl="1" w:tplc="AECE8D00">
      <w:numFmt w:val="bullet"/>
      <w:lvlText w:val="•"/>
      <w:lvlJc w:val="left"/>
      <w:pPr>
        <w:ind w:left="1549" w:hanging="152"/>
      </w:pPr>
      <w:rPr>
        <w:rFonts w:hint="default"/>
        <w:lang w:val="en-GB" w:eastAsia="en-US" w:bidi="ar-SA"/>
      </w:rPr>
    </w:lvl>
    <w:lvl w:ilvl="2" w:tplc="B9B28492">
      <w:numFmt w:val="bullet"/>
      <w:lvlText w:val="•"/>
      <w:lvlJc w:val="left"/>
      <w:pPr>
        <w:ind w:left="2979" w:hanging="152"/>
      </w:pPr>
      <w:rPr>
        <w:rFonts w:hint="default"/>
        <w:lang w:val="en-GB" w:eastAsia="en-US" w:bidi="ar-SA"/>
      </w:rPr>
    </w:lvl>
    <w:lvl w:ilvl="3" w:tplc="7D34D254">
      <w:numFmt w:val="bullet"/>
      <w:lvlText w:val="•"/>
      <w:lvlJc w:val="left"/>
      <w:pPr>
        <w:ind w:left="4409" w:hanging="152"/>
      </w:pPr>
      <w:rPr>
        <w:rFonts w:hint="default"/>
        <w:lang w:val="en-GB" w:eastAsia="en-US" w:bidi="ar-SA"/>
      </w:rPr>
    </w:lvl>
    <w:lvl w:ilvl="4" w:tplc="920EB2D4">
      <w:numFmt w:val="bullet"/>
      <w:lvlText w:val="•"/>
      <w:lvlJc w:val="left"/>
      <w:pPr>
        <w:ind w:left="5839" w:hanging="152"/>
      </w:pPr>
      <w:rPr>
        <w:rFonts w:hint="default"/>
        <w:lang w:val="en-GB" w:eastAsia="en-US" w:bidi="ar-SA"/>
      </w:rPr>
    </w:lvl>
    <w:lvl w:ilvl="5" w:tplc="17D48CBE">
      <w:numFmt w:val="bullet"/>
      <w:lvlText w:val="•"/>
      <w:lvlJc w:val="left"/>
      <w:pPr>
        <w:ind w:left="7269" w:hanging="152"/>
      </w:pPr>
      <w:rPr>
        <w:rFonts w:hint="default"/>
        <w:lang w:val="en-GB" w:eastAsia="en-US" w:bidi="ar-SA"/>
      </w:rPr>
    </w:lvl>
    <w:lvl w:ilvl="6" w:tplc="D584C140">
      <w:numFmt w:val="bullet"/>
      <w:lvlText w:val="•"/>
      <w:lvlJc w:val="left"/>
      <w:pPr>
        <w:ind w:left="8699" w:hanging="152"/>
      </w:pPr>
      <w:rPr>
        <w:rFonts w:hint="default"/>
        <w:lang w:val="en-GB" w:eastAsia="en-US" w:bidi="ar-SA"/>
      </w:rPr>
    </w:lvl>
    <w:lvl w:ilvl="7" w:tplc="653403A0">
      <w:numFmt w:val="bullet"/>
      <w:lvlText w:val="•"/>
      <w:lvlJc w:val="left"/>
      <w:pPr>
        <w:ind w:left="10128" w:hanging="152"/>
      </w:pPr>
      <w:rPr>
        <w:rFonts w:hint="default"/>
        <w:lang w:val="en-GB" w:eastAsia="en-US" w:bidi="ar-SA"/>
      </w:rPr>
    </w:lvl>
    <w:lvl w:ilvl="8" w:tplc="6400D9EA">
      <w:numFmt w:val="bullet"/>
      <w:lvlText w:val="•"/>
      <w:lvlJc w:val="left"/>
      <w:pPr>
        <w:ind w:left="11558" w:hanging="152"/>
      </w:pPr>
      <w:rPr>
        <w:rFonts w:hint="default"/>
        <w:lang w:val="en-GB" w:eastAsia="en-US" w:bidi="ar-SA"/>
      </w:rPr>
    </w:lvl>
  </w:abstractNum>
  <w:abstractNum w:abstractNumId="78">
    <w:nsid w:val="312E61F1"/>
    <w:multiLevelType w:val="hybridMultilevel"/>
    <w:tmpl w:val="5E148FB0"/>
    <w:lvl w:ilvl="0" w:tplc="D7B85EDC">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8B908534">
      <w:numFmt w:val="bullet"/>
      <w:lvlText w:val="•"/>
      <w:lvlJc w:val="left"/>
      <w:pPr>
        <w:ind w:left="1486" w:hanging="430"/>
      </w:pPr>
      <w:rPr>
        <w:rFonts w:hint="default"/>
        <w:lang w:val="en-GB" w:eastAsia="en-US" w:bidi="ar-SA"/>
      </w:rPr>
    </w:lvl>
    <w:lvl w:ilvl="2" w:tplc="AB86C46C">
      <w:numFmt w:val="bullet"/>
      <w:lvlText w:val="•"/>
      <w:lvlJc w:val="left"/>
      <w:pPr>
        <w:ind w:left="2393" w:hanging="430"/>
      </w:pPr>
      <w:rPr>
        <w:rFonts w:hint="default"/>
        <w:lang w:val="en-GB" w:eastAsia="en-US" w:bidi="ar-SA"/>
      </w:rPr>
    </w:lvl>
    <w:lvl w:ilvl="3" w:tplc="06148D18">
      <w:numFmt w:val="bullet"/>
      <w:lvlText w:val="•"/>
      <w:lvlJc w:val="left"/>
      <w:pPr>
        <w:ind w:left="3299" w:hanging="430"/>
      </w:pPr>
      <w:rPr>
        <w:rFonts w:hint="default"/>
        <w:lang w:val="en-GB" w:eastAsia="en-US" w:bidi="ar-SA"/>
      </w:rPr>
    </w:lvl>
    <w:lvl w:ilvl="4" w:tplc="5804E5B0">
      <w:numFmt w:val="bullet"/>
      <w:lvlText w:val="•"/>
      <w:lvlJc w:val="left"/>
      <w:pPr>
        <w:ind w:left="4206" w:hanging="430"/>
      </w:pPr>
      <w:rPr>
        <w:rFonts w:hint="default"/>
        <w:lang w:val="en-GB" w:eastAsia="en-US" w:bidi="ar-SA"/>
      </w:rPr>
    </w:lvl>
    <w:lvl w:ilvl="5" w:tplc="0E9CC6C4">
      <w:numFmt w:val="bullet"/>
      <w:lvlText w:val="•"/>
      <w:lvlJc w:val="left"/>
      <w:pPr>
        <w:ind w:left="5113" w:hanging="430"/>
      </w:pPr>
      <w:rPr>
        <w:rFonts w:hint="default"/>
        <w:lang w:val="en-GB" w:eastAsia="en-US" w:bidi="ar-SA"/>
      </w:rPr>
    </w:lvl>
    <w:lvl w:ilvl="6" w:tplc="E7D8C992">
      <w:numFmt w:val="bullet"/>
      <w:lvlText w:val="•"/>
      <w:lvlJc w:val="left"/>
      <w:pPr>
        <w:ind w:left="6019" w:hanging="430"/>
      </w:pPr>
      <w:rPr>
        <w:rFonts w:hint="default"/>
        <w:lang w:val="en-GB" w:eastAsia="en-US" w:bidi="ar-SA"/>
      </w:rPr>
    </w:lvl>
    <w:lvl w:ilvl="7" w:tplc="A1941928">
      <w:numFmt w:val="bullet"/>
      <w:lvlText w:val="•"/>
      <w:lvlJc w:val="left"/>
      <w:pPr>
        <w:ind w:left="6926" w:hanging="430"/>
      </w:pPr>
      <w:rPr>
        <w:rFonts w:hint="default"/>
        <w:lang w:val="en-GB" w:eastAsia="en-US" w:bidi="ar-SA"/>
      </w:rPr>
    </w:lvl>
    <w:lvl w:ilvl="8" w:tplc="7766ECF0">
      <w:numFmt w:val="bullet"/>
      <w:lvlText w:val="•"/>
      <w:lvlJc w:val="left"/>
      <w:pPr>
        <w:ind w:left="7833" w:hanging="430"/>
      </w:pPr>
      <w:rPr>
        <w:rFonts w:hint="default"/>
        <w:lang w:val="en-GB" w:eastAsia="en-US" w:bidi="ar-SA"/>
      </w:rPr>
    </w:lvl>
  </w:abstractNum>
  <w:abstractNum w:abstractNumId="79">
    <w:nsid w:val="31A11CA8"/>
    <w:multiLevelType w:val="hybridMultilevel"/>
    <w:tmpl w:val="45B0EAC8"/>
    <w:lvl w:ilvl="0" w:tplc="8326B114">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BCE8B5EC">
      <w:numFmt w:val="bullet"/>
      <w:lvlText w:val="o"/>
      <w:lvlJc w:val="left"/>
      <w:pPr>
        <w:ind w:left="1547" w:hanging="360"/>
      </w:pPr>
      <w:rPr>
        <w:rFonts w:ascii="Courier New" w:eastAsia="Courier New" w:hAnsi="Courier New" w:cs="Courier New" w:hint="default"/>
        <w:b w:val="0"/>
        <w:bCs w:val="0"/>
        <w:i w:val="0"/>
        <w:iCs w:val="0"/>
        <w:w w:val="99"/>
        <w:sz w:val="20"/>
        <w:szCs w:val="20"/>
        <w:lang w:val="en-GB" w:eastAsia="en-US" w:bidi="ar-SA"/>
      </w:rPr>
    </w:lvl>
    <w:lvl w:ilvl="2" w:tplc="BC12A81E">
      <w:numFmt w:val="bullet"/>
      <w:lvlText w:val="•"/>
      <w:lvlJc w:val="left"/>
      <w:pPr>
        <w:ind w:left="2115" w:hanging="360"/>
      </w:pPr>
      <w:rPr>
        <w:rFonts w:hint="default"/>
        <w:lang w:val="en-GB" w:eastAsia="en-US" w:bidi="ar-SA"/>
      </w:rPr>
    </w:lvl>
    <w:lvl w:ilvl="3" w:tplc="36D2942A">
      <w:numFmt w:val="bullet"/>
      <w:lvlText w:val="•"/>
      <w:lvlJc w:val="left"/>
      <w:pPr>
        <w:ind w:left="2690" w:hanging="360"/>
      </w:pPr>
      <w:rPr>
        <w:rFonts w:hint="default"/>
        <w:lang w:val="en-GB" w:eastAsia="en-US" w:bidi="ar-SA"/>
      </w:rPr>
    </w:lvl>
    <w:lvl w:ilvl="4" w:tplc="9FBEEDAE">
      <w:numFmt w:val="bullet"/>
      <w:lvlText w:val="•"/>
      <w:lvlJc w:val="left"/>
      <w:pPr>
        <w:ind w:left="3265" w:hanging="360"/>
      </w:pPr>
      <w:rPr>
        <w:rFonts w:hint="default"/>
        <w:lang w:val="en-GB" w:eastAsia="en-US" w:bidi="ar-SA"/>
      </w:rPr>
    </w:lvl>
    <w:lvl w:ilvl="5" w:tplc="BBF4274E">
      <w:numFmt w:val="bullet"/>
      <w:lvlText w:val="•"/>
      <w:lvlJc w:val="left"/>
      <w:pPr>
        <w:ind w:left="3840" w:hanging="360"/>
      </w:pPr>
      <w:rPr>
        <w:rFonts w:hint="default"/>
        <w:lang w:val="en-GB" w:eastAsia="en-US" w:bidi="ar-SA"/>
      </w:rPr>
    </w:lvl>
    <w:lvl w:ilvl="6" w:tplc="66DC6BD6">
      <w:numFmt w:val="bullet"/>
      <w:lvlText w:val="•"/>
      <w:lvlJc w:val="left"/>
      <w:pPr>
        <w:ind w:left="4415" w:hanging="360"/>
      </w:pPr>
      <w:rPr>
        <w:rFonts w:hint="default"/>
        <w:lang w:val="en-GB" w:eastAsia="en-US" w:bidi="ar-SA"/>
      </w:rPr>
    </w:lvl>
    <w:lvl w:ilvl="7" w:tplc="7D7C9998">
      <w:numFmt w:val="bullet"/>
      <w:lvlText w:val="•"/>
      <w:lvlJc w:val="left"/>
      <w:pPr>
        <w:ind w:left="4990" w:hanging="360"/>
      </w:pPr>
      <w:rPr>
        <w:rFonts w:hint="default"/>
        <w:lang w:val="en-GB" w:eastAsia="en-US" w:bidi="ar-SA"/>
      </w:rPr>
    </w:lvl>
    <w:lvl w:ilvl="8" w:tplc="FF1207B6">
      <w:numFmt w:val="bullet"/>
      <w:lvlText w:val="•"/>
      <w:lvlJc w:val="left"/>
      <w:pPr>
        <w:ind w:left="5565" w:hanging="360"/>
      </w:pPr>
      <w:rPr>
        <w:rFonts w:hint="default"/>
        <w:lang w:val="en-GB" w:eastAsia="en-US" w:bidi="ar-SA"/>
      </w:rPr>
    </w:lvl>
  </w:abstractNum>
  <w:abstractNum w:abstractNumId="80">
    <w:nsid w:val="33730240"/>
    <w:multiLevelType w:val="hybridMultilevel"/>
    <w:tmpl w:val="08864462"/>
    <w:lvl w:ilvl="0" w:tplc="E378F578">
      <w:start w:val="8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3862500">
      <w:numFmt w:val="bullet"/>
      <w:lvlText w:val="•"/>
      <w:lvlJc w:val="left"/>
      <w:pPr>
        <w:ind w:left="1612" w:hanging="552"/>
      </w:pPr>
      <w:rPr>
        <w:rFonts w:hint="default"/>
        <w:lang w:val="en-GB" w:eastAsia="en-US" w:bidi="ar-SA"/>
      </w:rPr>
    </w:lvl>
    <w:lvl w:ilvl="2" w:tplc="DD103FD6">
      <w:numFmt w:val="bullet"/>
      <w:lvlText w:val="•"/>
      <w:lvlJc w:val="left"/>
      <w:pPr>
        <w:ind w:left="2505" w:hanging="552"/>
      </w:pPr>
      <w:rPr>
        <w:rFonts w:hint="default"/>
        <w:lang w:val="en-GB" w:eastAsia="en-US" w:bidi="ar-SA"/>
      </w:rPr>
    </w:lvl>
    <w:lvl w:ilvl="3" w:tplc="7702F89C">
      <w:numFmt w:val="bullet"/>
      <w:lvlText w:val="•"/>
      <w:lvlJc w:val="left"/>
      <w:pPr>
        <w:ind w:left="3397" w:hanging="552"/>
      </w:pPr>
      <w:rPr>
        <w:rFonts w:hint="default"/>
        <w:lang w:val="en-GB" w:eastAsia="en-US" w:bidi="ar-SA"/>
      </w:rPr>
    </w:lvl>
    <w:lvl w:ilvl="4" w:tplc="004241AA">
      <w:numFmt w:val="bullet"/>
      <w:lvlText w:val="•"/>
      <w:lvlJc w:val="left"/>
      <w:pPr>
        <w:ind w:left="4290" w:hanging="552"/>
      </w:pPr>
      <w:rPr>
        <w:rFonts w:hint="default"/>
        <w:lang w:val="en-GB" w:eastAsia="en-US" w:bidi="ar-SA"/>
      </w:rPr>
    </w:lvl>
    <w:lvl w:ilvl="5" w:tplc="8D68680A">
      <w:numFmt w:val="bullet"/>
      <w:lvlText w:val="•"/>
      <w:lvlJc w:val="left"/>
      <w:pPr>
        <w:ind w:left="5183" w:hanging="552"/>
      </w:pPr>
      <w:rPr>
        <w:rFonts w:hint="default"/>
        <w:lang w:val="en-GB" w:eastAsia="en-US" w:bidi="ar-SA"/>
      </w:rPr>
    </w:lvl>
    <w:lvl w:ilvl="6" w:tplc="AED6FE62">
      <w:numFmt w:val="bullet"/>
      <w:lvlText w:val="•"/>
      <w:lvlJc w:val="left"/>
      <w:pPr>
        <w:ind w:left="6075" w:hanging="552"/>
      </w:pPr>
      <w:rPr>
        <w:rFonts w:hint="default"/>
        <w:lang w:val="en-GB" w:eastAsia="en-US" w:bidi="ar-SA"/>
      </w:rPr>
    </w:lvl>
    <w:lvl w:ilvl="7" w:tplc="C27E11FA">
      <w:numFmt w:val="bullet"/>
      <w:lvlText w:val="•"/>
      <w:lvlJc w:val="left"/>
      <w:pPr>
        <w:ind w:left="6968" w:hanging="552"/>
      </w:pPr>
      <w:rPr>
        <w:rFonts w:hint="default"/>
        <w:lang w:val="en-GB" w:eastAsia="en-US" w:bidi="ar-SA"/>
      </w:rPr>
    </w:lvl>
    <w:lvl w:ilvl="8" w:tplc="E7007B1E">
      <w:numFmt w:val="bullet"/>
      <w:lvlText w:val="•"/>
      <w:lvlJc w:val="left"/>
      <w:pPr>
        <w:ind w:left="7861" w:hanging="552"/>
      </w:pPr>
      <w:rPr>
        <w:rFonts w:hint="default"/>
        <w:lang w:val="en-GB" w:eastAsia="en-US" w:bidi="ar-SA"/>
      </w:rPr>
    </w:lvl>
  </w:abstractNum>
  <w:abstractNum w:abstractNumId="81">
    <w:nsid w:val="339522C2"/>
    <w:multiLevelType w:val="hybridMultilevel"/>
    <w:tmpl w:val="27CE960C"/>
    <w:lvl w:ilvl="0" w:tplc="CB12EBD6">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32BA8306">
      <w:numFmt w:val="bullet"/>
      <w:lvlText w:val="•"/>
      <w:lvlJc w:val="left"/>
      <w:pPr>
        <w:ind w:left="798" w:hanging="360"/>
      </w:pPr>
      <w:rPr>
        <w:rFonts w:hint="default"/>
        <w:lang w:val="en-GB" w:eastAsia="en-US" w:bidi="ar-SA"/>
      </w:rPr>
    </w:lvl>
    <w:lvl w:ilvl="2" w:tplc="F876701C">
      <w:numFmt w:val="bullet"/>
      <w:lvlText w:val="•"/>
      <w:lvlJc w:val="left"/>
      <w:pPr>
        <w:ind w:left="1137" w:hanging="360"/>
      </w:pPr>
      <w:rPr>
        <w:rFonts w:hint="default"/>
        <w:lang w:val="en-GB" w:eastAsia="en-US" w:bidi="ar-SA"/>
      </w:rPr>
    </w:lvl>
    <w:lvl w:ilvl="3" w:tplc="750827F4">
      <w:numFmt w:val="bullet"/>
      <w:lvlText w:val="•"/>
      <w:lvlJc w:val="left"/>
      <w:pPr>
        <w:ind w:left="1476" w:hanging="360"/>
      </w:pPr>
      <w:rPr>
        <w:rFonts w:hint="default"/>
        <w:lang w:val="en-GB" w:eastAsia="en-US" w:bidi="ar-SA"/>
      </w:rPr>
    </w:lvl>
    <w:lvl w:ilvl="4" w:tplc="3CB092C0">
      <w:numFmt w:val="bullet"/>
      <w:lvlText w:val="•"/>
      <w:lvlJc w:val="left"/>
      <w:pPr>
        <w:ind w:left="1815" w:hanging="360"/>
      </w:pPr>
      <w:rPr>
        <w:rFonts w:hint="default"/>
        <w:lang w:val="en-GB" w:eastAsia="en-US" w:bidi="ar-SA"/>
      </w:rPr>
    </w:lvl>
    <w:lvl w:ilvl="5" w:tplc="691E0DB4">
      <w:numFmt w:val="bullet"/>
      <w:lvlText w:val="•"/>
      <w:lvlJc w:val="left"/>
      <w:pPr>
        <w:ind w:left="2154" w:hanging="360"/>
      </w:pPr>
      <w:rPr>
        <w:rFonts w:hint="default"/>
        <w:lang w:val="en-GB" w:eastAsia="en-US" w:bidi="ar-SA"/>
      </w:rPr>
    </w:lvl>
    <w:lvl w:ilvl="6" w:tplc="319EF9D2">
      <w:numFmt w:val="bullet"/>
      <w:lvlText w:val="•"/>
      <w:lvlJc w:val="left"/>
      <w:pPr>
        <w:ind w:left="2492" w:hanging="360"/>
      </w:pPr>
      <w:rPr>
        <w:rFonts w:hint="default"/>
        <w:lang w:val="en-GB" w:eastAsia="en-US" w:bidi="ar-SA"/>
      </w:rPr>
    </w:lvl>
    <w:lvl w:ilvl="7" w:tplc="8E944F10">
      <w:numFmt w:val="bullet"/>
      <w:lvlText w:val="•"/>
      <w:lvlJc w:val="left"/>
      <w:pPr>
        <w:ind w:left="2831" w:hanging="360"/>
      </w:pPr>
      <w:rPr>
        <w:rFonts w:hint="default"/>
        <w:lang w:val="en-GB" w:eastAsia="en-US" w:bidi="ar-SA"/>
      </w:rPr>
    </w:lvl>
    <w:lvl w:ilvl="8" w:tplc="7868999E">
      <w:numFmt w:val="bullet"/>
      <w:lvlText w:val="•"/>
      <w:lvlJc w:val="left"/>
      <w:pPr>
        <w:ind w:left="3170" w:hanging="360"/>
      </w:pPr>
      <w:rPr>
        <w:rFonts w:hint="default"/>
        <w:lang w:val="en-GB" w:eastAsia="en-US" w:bidi="ar-SA"/>
      </w:rPr>
    </w:lvl>
  </w:abstractNum>
  <w:abstractNum w:abstractNumId="82">
    <w:nsid w:val="359C5EE9"/>
    <w:multiLevelType w:val="hybridMultilevel"/>
    <w:tmpl w:val="A7284B9A"/>
    <w:lvl w:ilvl="0" w:tplc="CDD85EE2">
      <w:start w:val="97"/>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3EEFF0E">
      <w:numFmt w:val="bullet"/>
      <w:lvlText w:val="•"/>
      <w:lvlJc w:val="left"/>
      <w:pPr>
        <w:ind w:left="1612" w:hanging="552"/>
      </w:pPr>
      <w:rPr>
        <w:rFonts w:hint="default"/>
        <w:lang w:val="en-GB" w:eastAsia="en-US" w:bidi="ar-SA"/>
      </w:rPr>
    </w:lvl>
    <w:lvl w:ilvl="2" w:tplc="7CEAB994">
      <w:numFmt w:val="bullet"/>
      <w:lvlText w:val="•"/>
      <w:lvlJc w:val="left"/>
      <w:pPr>
        <w:ind w:left="2505" w:hanging="552"/>
      </w:pPr>
      <w:rPr>
        <w:rFonts w:hint="default"/>
        <w:lang w:val="en-GB" w:eastAsia="en-US" w:bidi="ar-SA"/>
      </w:rPr>
    </w:lvl>
    <w:lvl w:ilvl="3" w:tplc="F3AE2340">
      <w:numFmt w:val="bullet"/>
      <w:lvlText w:val="•"/>
      <w:lvlJc w:val="left"/>
      <w:pPr>
        <w:ind w:left="3397" w:hanging="552"/>
      </w:pPr>
      <w:rPr>
        <w:rFonts w:hint="default"/>
        <w:lang w:val="en-GB" w:eastAsia="en-US" w:bidi="ar-SA"/>
      </w:rPr>
    </w:lvl>
    <w:lvl w:ilvl="4" w:tplc="A7DA02CA">
      <w:numFmt w:val="bullet"/>
      <w:lvlText w:val="•"/>
      <w:lvlJc w:val="left"/>
      <w:pPr>
        <w:ind w:left="4290" w:hanging="552"/>
      </w:pPr>
      <w:rPr>
        <w:rFonts w:hint="default"/>
        <w:lang w:val="en-GB" w:eastAsia="en-US" w:bidi="ar-SA"/>
      </w:rPr>
    </w:lvl>
    <w:lvl w:ilvl="5" w:tplc="70E8CF36">
      <w:numFmt w:val="bullet"/>
      <w:lvlText w:val="•"/>
      <w:lvlJc w:val="left"/>
      <w:pPr>
        <w:ind w:left="5183" w:hanging="552"/>
      </w:pPr>
      <w:rPr>
        <w:rFonts w:hint="default"/>
        <w:lang w:val="en-GB" w:eastAsia="en-US" w:bidi="ar-SA"/>
      </w:rPr>
    </w:lvl>
    <w:lvl w:ilvl="6" w:tplc="E95AAB2C">
      <w:numFmt w:val="bullet"/>
      <w:lvlText w:val="•"/>
      <w:lvlJc w:val="left"/>
      <w:pPr>
        <w:ind w:left="6075" w:hanging="552"/>
      </w:pPr>
      <w:rPr>
        <w:rFonts w:hint="default"/>
        <w:lang w:val="en-GB" w:eastAsia="en-US" w:bidi="ar-SA"/>
      </w:rPr>
    </w:lvl>
    <w:lvl w:ilvl="7" w:tplc="685C28CC">
      <w:numFmt w:val="bullet"/>
      <w:lvlText w:val="•"/>
      <w:lvlJc w:val="left"/>
      <w:pPr>
        <w:ind w:left="6968" w:hanging="552"/>
      </w:pPr>
      <w:rPr>
        <w:rFonts w:hint="default"/>
        <w:lang w:val="en-GB" w:eastAsia="en-US" w:bidi="ar-SA"/>
      </w:rPr>
    </w:lvl>
    <w:lvl w:ilvl="8" w:tplc="857C8936">
      <w:numFmt w:val="bullet"/>
      <w:lvlText w:val="•"/>
      <w:lvlJc w:val="left"/>
      <w:pPr>
        <w:ind w:left="7861" w:hanging="552"/>
      </w:pPr>
      <w:rPr>
        <w:rFonts w:hint="default"/>
        <w:lang w:val="en-GB" w:eastAsia="en-US" w:bidi="ar-SA"/>
      </w:rPr>
    </w:lvl>
  </w:abstractNum>
  <w:abstractNum w:abstractNumId="83">
    <w:nsid w:val="35EA1897"/>
    <w:multiLevelType w:val="hybridMultilevel"/>
    <w:tmpl w:val="3D88126C"/>
    <w:lvl w:ilvl="0" w:tplc="FACC2D6E">
      <w:start w:val="3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5900B780">
      <w:numFmt w:val="bullet"/>
      <w:lvlText w:val="•"/>
      <w:lvlJc w:val="left"/>
      <w:pPr>
        <w:ind w:left="1612" w:hanging="552"/>
      </w:pPr>
      <w:rPr>
        <w:rFonts w:hint="default"/>
        <w:lang w:val="en-GB" w:eastAsia="en-US" w:bidi="ar-SA"/>
      </w:rPr>
    </w:lvl>
    <w:lvl w:ilvl="2" w:tplc="592C7CF8">
      <w:numFmt w:val="bullet"/>
      <w:lvlText w:val="•"/>
      <w:lvlJc w:val="left"/>
      <w:pPr>
        <w:ind w:left="2505" w:hanging="552"/>
      </w:pPr>
      <w:rPr>
        <w:rFonts w:hint="default"/>
        <w:lang w:val="en-GB" w:eastAsia="en-US" w:bidi="ar-SA"/>
      </w:rPr>
    </w:lvl>
    <w:lvl w:ilvl="3" w:tplc="9C5A9E58">
      <w:numFmt w:val="bullet"/>
      <w:lvlText w:val="•"/>
      <w:lvlJc w:val="left"/>
      <w:pPr>
        <w:ind w:left="3397" w:hanging="552"/>
      </w:pPr>
      <w:rPr>
        <w:rFonts w:hint="default"/>
        <w:lang w:val="en-GB" w:eastAsia="en-US" w:bidi="ar-SA"/>
      </w:rPr>
    </w:lvl>
    <w:lvl w:ilvl="4" w:tplc="2426496E">
      <w:numFmt w:val="bullet"/>
      <w:lvlText w:val="•"/>
      <w:lvlJc w:val="left"/>
      <w:pPr>
        <w:ind w:left="4290" w:hanging="552"/>
      </w:pPr>
      <w:rPr>
        <w:rFonts w:hint="default"/>
        <w:lang w:val="en-GB" w:eastAsia="en-US" w:bidi="ar-SA"/>
      </w:rPr>
    </w:lvl>
    <w:lvl w:ilvl="5" w:tplc="706C46E4">
      <w:numFmt w:val="bullet"/>
      <w:lvlText w:val="•"/>
      <w:lvlJc w:val="left"/>
      <w:pPr>
        <w:ind w:left="5183" w:hanging="552"/>
      </w:pPr>
      <w:rPr>
        <w:rFonts w:hint="default"/>
        <w:lang w:val="en-GB" w:eastAsia="en-US" w:bidi="ar-SA"/>
      </w:rPr>
    </w:lvl>
    <w:lvl w:ilvl="6" w:tplc="07BC1196">
      <w:numFmt w:val="bullet"/>
      <w:lvlText w:val="•"/>
      <w:lvlJc w:val="left"/>
      <w:pPr>
        <w:ind w:left="6075" w:hanging="552"/>
      </w:pPr>
      <w:rPr>
        <w:rFonts w:hint="default"/>
        <w:lang w:val="en-GB" w:eastAsia="en-US" w:bidi="ar-SA"/>
      </w:rPr>
    </w:lvl>
    <w:lvl w:ilvl="7" w:tplc="F76EC12A">
      <w:numFmt w:val="bullet"/>
      <w:lvlText w:val="•"/>
      <w:lvlJc w:val="left"/>
      <w:pPr>
        <w:ind w:left="6968" w:hanging="552"/>
      </w:pPr>
      <w:rPr>
        <w:rFonts w:hint="default"/>
        <w:lang w:val="en-GB" w:eastAsia="en-US" w:bidi="ar-SA"/>
      </w:rPr>
    </w:lvl>
    <w:lvl w:ilvl="8" w:tplc="DFE61DF0">
      <w:numFmt w:val="bullet"/>
      <w:lvlText w:val="•"/>
      <w:lvlJc w:val="left"/>
      <w:pPr>
        <w:ind w:left="7861" w:hanging="552"/>
      </w:pPr>
      <w:rPr>
        <w:rFonts w:hint="default"/>
        <w:lang w:val="en-GB" w:eastAsia="en-US" w:bidi="ar-SA"/>
      </w:rPr>
    </w:lvl>
  </w:abstractNum>
  <w:abstractNum w:abstractNumId="84">
    <w:nsid w:val="35ED0747"/>
    <w:multiLevelType w:val="hybridMultilevel"/>
    <w:tmpl w:val="99FE0F3A"/>
    <w:lvl w:ilvl="0" w:tplc="8F58B7DE">
      <w:start w:val="1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54329900">
      <w:numFmt w:val="bullet"/>
      <w:lvlText w:val="•"/>
      <w:lvlJc w:val="left"/>
      <w:pPr>
        <w:ind w:left="1612" w:hanging="552"/>
      </w:pPr>
      <w:rPr>
        <w:rFonts w:hint="default"/>
        <w:lang w:val="en-GB" w:eastAsia="en-US" w:bidi="ar-SA"/>
      </w:rPr>
    </w:lvl>
    <w:lvl w:ilvl="2" w:tplc="3E825D20">
      <w:numFmt w:val="bullet"/>
      <w:lvlText w:val="•"/>
      <w:lvlJc w:val="left"/>
      <w:pPr>
        <w:ind w:left="2505" w:hanging="552"/>
      </w:pPr>
      <w:rPr>
        <w:rFonts w:hint="default"/>
        <w:lang w:val="en-GB" w:eastAsia="en-US" w:bidi="ar-SA"/>
      </w:rPr>
    </w:lvl>
    <w:lvl w:ilvl="3" w:tplc="03180A9A">
      <w:numFmt w:val="bullet"/>
      <w:lvlText w:val="•"/>
      <w:lvlJc w:val="left"/>
      <w:pPr>
        <w:ind w:left="3397" w:hanging="552"/>
      </w:pPr>
      <w:rPr>
        <w:rFonts w:hint="default"/>
        <w:lang w:val="en-GB" w:eastAsia="en-US" w:bidi="ar-SA"/>
      </w:rPr>
    </w:lvl>
    <w:lvl w:ilvl="4" w:tplc="2D94DBC2">
      <w:numFmt w:val="bullet"/>
      <w:lvlText w:val="•"/>
      <w:lvlJc w:val="left"/>
      <w:pPr>
        <w:ind w:left="4290" w:hanging="552"/>
      </w:pPr>
      <w:rPr>
        <w:rFonts w:hint="default"/>
        <w:lang w:val="en-GB" w:eastAsia="en-US" w:bidi="ar-SA"/>
      </w:rPr>
    </w:lvl>
    <w:lvl w:ilvl="5" w:tplc="32CC4738">
      <w:numFmt w:val="bullet"/>
      <w:lvlText w:val="•"/>
      <w:lvlJc w:val="left"/>
      <w:pPr>
        <w:ind w:left="5183" w:hanging="552"/>
      </w:pPr>
      <w:rPr>
        <w:rFonts w:hint="default"/>
        <w:lang w:val="en-GB" w:eastAsia="en-US" w:bidi="ar-SA"/>
      </w:rPr>
    </w:lvl>
    <w:lvl w:ilvl="6" w:tplc="BC94F0E4">
      <w:numFmt w:val="bullet"/>
      <w:lvlText w:val="•"/>
      <w:lvlJc w:val="left"/>
      <w:pPr>
        <w:ind w:left="6075" w:hanging="552"/>
      </w:pPr>
      <w:rPr>
        <w:rFonts w:hint="default"/>
        <w:lang w:val="en-GB" w:eastAsia="en-US" w:bidi="ar-SA"/>
      </w:rPr>
    </w:lvl>
    <w:lvl w:ilvl="7" w:tplc="03F4E2D2">
      <w:numFmt w:val="bullet"/>
      <w:lvlText w:val="•"/>
      <w:lvlJc w:val="left"/>
      <w:pPr>
        <w:ind w:left="6968" w:hanging="552"/>
      </w:pPr>
      <w:rPr>
        <w:rFonts w:hint="default"/>
        <w:lang w:val="en-GB" w:eastAsia="en-US" w:bidi="ar-SA"/>
      </w:rPr>
    </w:lvl>
    <w:lvl w:ilvl="8" w:tplc="521A14F6">
      <w:numFmt w:val="bullet"/>
      <w:lvlText w:val="•"/>
      <w:lvlJc w:val="left"/>
      <w:pPr>
        <w:ind w:left="7861" w:hanging="552"/>
      </w:pPr>
      <w:rPr>
        <w:rFonts w:hint="default"/>
        <w:lang w:val="en-GB" w:eastAsia="en-US" w:bidi="ar-SA"/>
      </w:rPr>
    </w:lvl>
  </w:abstractNum>
  <w:abstractNum w:abstractNumId="85">
    <w:nsid w:val="36650628"/>
    <w:multiLevelType w:val="hybridMultilevel"/>
    <w:tmpl w:val="D6FAAF36"/>
    <w:lvl w:ilvl="0" w:tplc="35508A08">
      <w:start w:val="8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DB10947A">
      <w:numFmt w:val="bullet"/>
      <w:lvlText w:val="•"/>
      <w:lvlJc w:val="left"/>
      <w:pPr>
        <w:ind w:left="1612" w:hanging="552"/>
      </w:pPr>
      <w:rPr>
        <w:rFonts w:hint="default"/>
        <w:lang w:val="en-GB" w:eastAsia="en-US" w:bidi="ar-SA"/>
      </w:rPr>
    </w:lvl>
    <w:lvl w:ilvl="2" w:tplc="79344AE6">
      <w:numFmt w:val="bullet"/>
      <w:lvlText w:val="•"/>
      <w:lvlJc w:val="left"/>
      <w:pPr>
        <w:ind w:left="2505" w:hanging="552"/>
      </w:pPr>
      <w:rPr>
        <w:rFonts w:hint="default"/>
        <w:lang w:val="en-GB" w:eastAsia="en-US" w:bidi="ar-SA"/>
      </w:rPr>
    </w:lvl>
    <w:lvl w:ilvl="3" w:tplc="B7D2AD1E">
      <w:numFmt w:val="bullet"/>
      <w:lvlText w:val="•"/>
      <w:lvlJc w:val="left"/>
      <w:pPr>
        <w:ind w:left="3397" w:hanging="552"/>
      </w:pPr>
      <w:rPr>
        <w:rFonts w:hint="default"/>
        <w:lang w:val="en-GB" w:eastAsia="en-US" w:bidi="ar-SA"/>
      </w:rPr>
    </w:lvl>
    <w:lvl w:ilvl="4" w:tplc="057E25B0">
      <w:numFmt w:val="bullet"/>
      <w:lvlText w:val="•"/>
      <w:lvlJc w:val="left"/>
      <w:pPr>
        <w:ind w:left="4290" w:hanging="552"/>
      </w:pPr>
      <w:rPr>
        <w:rFonts w:hint="default"/>
        <w:lang w:val="en-GB" w:eastAsia="en-US" w:bidi="ar-SA"/>
      </w:rPr>
    </w:lvl>
    <w:lvl w:ilvl="5" w:tplc="5EFC74F2">
      <w:numFmt w:val="bullet"/>
      <w:lvlText w:val="•"/>
      <w:lvlJc w:val="left"/>
      <w:pPr>
        <w:ind w:left="5183" w:hanging="552"/>
      </w:pPr>
      <w:rPr>
        <w:rFonts w:hint="default"/>
        <w:lang w:val="en-GB" w:eastAsia="en-US" w:bidi="ar-SA"/>
      </w:rPr>
    </w:lvl>
    <w:lvl w:ilvl="6" w:tplc="EB14048E">
      <w:numFmt w:val="bullet"/>
      <w:lvlText w:val="•"/>
      <w:lvlJc w:val="left"/>
      <w:pPr>
        <w:ind w:left="6075" w:hanging="552"/>
      </w:pPr>
      <w:rPr>
        <w:rFonts w:hint="default"/>
        <w:lang w:val="en-GB" w:eastAsia="en-US" w:bidi="ar-SA"/>
      </w:rPr>
    </w:lvl>
    <w:lvl w:ilvl="7" w:tplc="17C400B4">
      <w:numFmt w:val="bullet"/>
      <w:lvlText w:val="•"/>
      <w:lvlJc w:val="left"/>
      <w:pPr>
        <w:ind w:left="6968" w:hanging="552"/>
      </w:pPr>
      <w:rPr>
        <w:rFonts w:hint="default"/>
        <w:lang w:val="en-GB" w:eastAsia="en-US" w:bidi="ar-SA"/>
      </w:rPr>
    </w:lvl>
    <w:lvl w:ilvl="8" w:tplc="7BA61226">
      <w:numFmt w:val="bullet"/>
      <w:lvlText w:val="•"/>
      <w:lvlJc w:val="left"/>
      <w:pPr>
        <w:ind w:left="7861" w:hanging="552"/>
      </w:pPr>
      <w:rPr>
        <w:rFonts w:hint="default"/>
        <w:lang w:val="en-GB" w:eastAsia="en-US" w:bidi="ar-SA"/>
      </w:rPr>
    </w:lvl>
  </w:abstractNum>
  <w:abstractNum w:abstractNumId="86">
    <w:nsid w:val="37DB7C49"/>
    <w:multiLevelType w:val="hybridMultilevel"/>
    <w:tmpl w:val="B226D2EC"/>
    <w:lvl w:ilvl="0" w:tplc="2592C2E8">
      <w:start w:val="1"/>
      <w:numFmt w:val="decimal"/>
      <w:lvlText w:val="%1"/>
      <w:lvlJc w:val="left"/>
      <w:pPr>
        <w:ind w:left="880" w:hanging="720"/>
        <w:jc w:val="left"/>
      </w:pPr>
      <w:rPr>
        <w:rFonts w:ascii="Arial" w:eastAsia="Arial" w:hAnsi="Arial" w:cs="Arial" w:hint="default"/>
        <w:b w:val="0"/>
        <w:bCs w:val="0"/>
        <w:i w:val="0"/>
        <w:iCs w:val="0"/>
        <w:w w:val="100"/>
        <w:sz w:val="22"/>
        <w:szCs w:val="22"/>
        <w:lang w:val="en-GB" w:eastAsia="en-US" w:bidi="ar-SA"/>
      </w:rPr>
    </w:lvl>
    <w:lvl w:ilvl="1" w:tplc="DA2A30E6">
      <w:numFmt w:val="bullet"/>
      <w:lvlText w:val="•"/>
      <w:lvlJc w:val="left"/>
      <w:pPr>
        <w:ind w:left="1756" w:hanging="720"/>
      </w:pPr>
      <w:rPr>
        <w:rFonts w:hint="default"/>
        <w:lang w:val="en-GB" w:eastAsia="en-US" w:bidi="ar-SA"/>
      </w:rPr>
    </w:lvl>
    <w:lvl w:ilvl="2" w:tplc="3C18E09A">
      <w:numFmt w:val="bullet"/>
      <w:lvlText w:val="•"/>
      <w:lvlJc w:val="left"/>
      <w:pPr>
        <w:ind w:left="2633" w:hanging="720"/>
      </w:pPr>
      <w:rPr>
        <w:rFonts w:hint="default"/>
        <w:lang w:val="en-GB" w:eastAsia="en-US" w:bidi="ar-SA"/>
      </w:rPr>
    </w:lvl>
    <w:lvl w:ilvl="3" w:tplc="FBC428C0">
      <w:numFmt w:val="bullet"/>
      <w:lvlText w:val="•"/>
      <w:lvlJc w:val="left"/>
      <w:pPr>
        <w:ind w:left="3509" w:hanging="720"/>
      </w:pPr>
      <w:rPr>
        <w:rFonts w:hint="default"/>
        <w:lang w:val="en-GB" w:eastAsia="en-US" w:bidi="ar-SA"/>
      </w:rPr>
    </w:lvl>
    <w:lvl w:ilvl="4" w:tplc="B8FAD52E">
      <w:numFmt w:val="bullet"/>
      <w:lvlText w:val="•"/>
      <w:lvlJc w:val="left"/>
      <w:pPr>
        <w:ind w:left="4386" w:hanging="720"/>
      </w:pPr>
      <w:rPr>
        <w:rFonts w:hint="default"/>
        <w:lang w:val="en-GB" w:eastAsia="en-US" w:bidi="ar-SA"/>
      </w:rPr>
    </w:lvl>
    <w:lvl w:ilvl="5" w:tplc="DEB6779C">
      <w:numFmt w:val="bullet"/>
      <w:lvlText w:val="•"/>
      <w:lvlJc w:val="left"/>
      <w:pPr>
        <w:ind w:left="5263" w:hanging="720"/>
      </w:pPr>
      <w:rPr>
        <w:rFonts w:hint="default"/>
        <w:lang w:val="en-GB" w:eastAsia="en-US" w:bidi="ar-SA"/>
      </w:rPr>
    </w:lvl>
    <w:lvl w:ilvl="6" w:tplc="36D28C90">
      <w:numFmt w:val="bullet"/>
      <w:lvlText w:val="•"/>
      <w:lvlJc w:val="left"/>
      <w:pPr>
        <w:ind w:left="6139" w:hanging="720"/>
      </w:pPr>
      <w:rPr>
        <w:rFonts w:hint="default"/>
        <w:lang w:val="en-GB" w:eastAsia="en-US" w:bidi="ar-SA"/>
      </w:rPr>
    </w:lvl>
    <w:lvl w:ilvl="7" w:tplc="D7F4454E">
      <w:numFmt w:val="bullet"/>
      <w:lvlText w:val="•"/>
      <w:lvlJc w:val="left"/>
      <w:pPr>
        <w:ind w:left="7016" w:hanging="720"/>
      </w:pPr>
      <w:rPr>
        <w:rFonts w:hint="default"/>
        <w:lang w:val="en-GB" w:eastAsia="en-US" w:bidi="ar-SA"/>
      </w:rPr>
    </w:lvl>
    <w:lvl w:ilvl="8" w:tplc="4AD06C2A">
      <w:numFmt w:val="bullet"/>
      <w:lvlText w:val="•"/>
      <w:lvlJc w:val="left"/>
      <w:pPr>
        <w:ind w:left="7893" w:hanging="720"/>
      </w:pPr>
      <w:rPr>
        <w:rFonts w:hint="default"/>
        <w:lang w:val="en-GB" w:eastAsia="en-US" w:bidi="ar-SA"/>
      </w:rPr>
    </w:lvl>
  </w:abstractNum>
  <w:abstractNum w:abstractNumId="87">
    <w:nsid w:val="39280531"/>
    <w:multiLevelType w:val="hybridMultilevel"/>
    <w:tmpl w:val="AC1E7470"/>
    <w:lvl w:ilvl="0" w:tplc="8ADC8808">
      <w:start w:val="67"/>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307692BC">
      <w:numFmt w:val="bullet"/>
      <w:lvlText w:val="•"/>
      <w:lvlJc w:val="left"/>
      <w:pPr>
        <w:ind w:left="1612" w:hanging="552"/>
      </w:pPr>
      <w:rPr>
        <w:rFonts w:hint="default"/>
        <w:lang w:val="en-GB" w:eastAsia="en-US" w:bidi="ar-SA"/>
      </w:rPr>
    </w:lvl>
    <w:lvl w:ilvl="2" w:tplc="9D4E65DC">
      <w:numFmt w:val="bullet"/>
      <w:lvlText w:val="•"/>
      <w:lvlJc w:val="left"/>
      <w:pPr>
        <w:ind w:left="2505" w:hanging="552"/>
      </w:pPr>
      <w:rPr>
        <w:rFonts w:hint="default"/>
        <w:lang w:val="en-GB" w:eastAsia="en-US" w:bidi="ar-SA"/>
      </w:rPr>
    </w:lvl>
    <w:lvl w:ilvl="3" w:tplc="0C881630">
      <w:numFmt w:val="bullet"/>
      <w:lvlText w:val="•"/>
      <w:lvlJc w:val="left"/>
      <w:pPr>
        <w:ind w:left="3397" w:hanging="552"/>
      </w:pPr>
      <w:rPr>
        <w:rFonts w:hint="default"/>
        <w:lang w:val="en-GB" w:eastAsia="en-US" w:bidi="ar-SA"/>
      </w:rPr>
    </w:lvl>
    <w:lvl w:ilvl="4" w:tplc="B4EEAEB4">
      <w:numFmt w:val="bullet"/>
      <w:lvlText w:val="•"/>
      <w:lvlJc w:val="left"/>
      <w:pPr>
        <w:ind w:left="4290" w:hanging="552"/>
      </w:pPr>
      <w:rPr>
        <w:rFonts w:hint="default"/>
        <w:lang w:val="en-GB" w:eastAsia="en-US" w:bidi="ar-SA"/>
      </w:rPr>
    </w:lvl>
    <w:lvl w:ilvl="5" w:tplc="DB4CA2B6">
      <w:numFmt w:val="bullet"/>
      <w:lvlText w:val="•"/>
      <w:lvlJc w:val="left"/>
      <w:pPr>
        <w:ind w:left="5183" w:hanging="552"/>
      </w:pPr>
      <w:rPr>
        <w:rFonts w:hint="default"/>
        <w:lang w:val="en-GB" w:eastAsia="en-US" w:bidi="ar-SA"/>
      </w:rPr>
    </w:lvl>
    <w:lvl w:ilvl="6" w:tplc="B30A1398">
      <w:numFmt w:val="bullet"/>
      <w:lvlText w:val="•"/>
      <w:lvlJc w:val="left"/>
      <w:pPr>
        <w:ind w:left="6075" w:hanging="552"/>
      </w:pPr>
      <w:rPr>
        <w:rFonts w:hint="default"/>
        <w:lang w:val="en-GB" w:eastAsia="en-US" w:bidi="ar-SA"/>
      </w:rPr>
    </w:lvl>
    <w:lvl w:ilvl="7" w:tplc="FFD2B188">
      <w:numFmt w:val="bullet"/>
      <w:lvlText w:val="•"/>
      <w:lvlJc w:val="left"/>
      <w:pPr>
        <w:ind w:left="6968" w:hanging="552"/>
      </w:pPr>
      <w:rPr>
        <w:rFonts w:hint="default"/>
        <w:lang w:val="en-GB" w:eastAsia="en-US" w:bidi="ar-SA"/>
      </w:rPr>
    </w:lvl>
    <w:lvl w:ilvl="8" w:tplc="2D208194">
      <w:numFmt w:val="bullet"/>
      <w:lvlText w:val="•"/>
      <w:lvlJc w:val="left"/>
      <w:pPr>
        <w:ind w:left="7861" w:hanging="552"/>
      </w:pPr>
      <w:rPr>
        <w:rFonts w:hint="default"/>
        <w:lang w:val="en-GB" w:eastAsia="en-US" w:bidi="ar-SA"/>
      </w:rPr>
    </w:lvl>
  </w:abstractNum>
  <w:abstractNum w:abstractNumId="88">
    <w:nsid w:val="39565BA5"/>
    <w:multiLevelType w:val="hybridMultilevel"/>
    <w:tmpl w:val="1C3EC476"/>
    <w:lvl w:ilvl="0" w:tplc="89840B80">
      <w:start w:val="1"/>
      <w:numFmt w:val="decimal"/>
      <w:lvlText w:val="%1."/>
      <w:lvlJc w:val="left"/>
      <w:pPr>
        <w:ind w:left="405" w:hanging="245"/>
        <w:jc w:val="left"/>
      </w:pPr>
      <w:rPr>
        <w:rFonts w:ascii="Arial" w:eastAsia="Arial" w:hAnsi="Arial" w:cs="Arial" w:hint="default"/>
        <w:b w:val="0"/>
        <w:bCs w:val="0"/>
        <w:i w:val="0"/>
        <w:iCs w:val="0"/>
        <w:spacing w:val="-1"/>
        <w:w w:val="100"/>
        <w:sz w:val="22"/>
        <w:szCs w:val="22"/>
        <w:lang w:val="en-GB" w:eastAsia="en-US" w:bidi="ar-SA"/>
      </w:rPr>
    </w:lvl>
    <w:lvl w:ilvl="1" w:tplc="7A347F16">
      <w:numFmt w:val="bullet"/>
      <w:lvlText w:val="•"/>
      <w:lvlJc w:val="left"/>
      <w:pPr>
        <w:ind w:left="1324" w:hanging="245"/>
      </w:pPr>
      <w:rPr>
        <w:rFonts w:hint="default"/>
        <w:lang w:val="en-GB" w:eastAsia="en-US" w:bidi="ar-SA"/>
      </w:rPr>
    </w:lvl>
    <w:lvl w:ilvl="2" w:tplc="F6E688B2">
      <w:numFmt w:val="bullet"/>
      <w:lvlText w:val="•"/>
      <w:lvlJc w:val="left"/>
      <w:pPr>
        <w:ind w:left="2249" w:hanging="245"/>
      </w:pPr>
      <w:rPr>
        <w:rFonts w:hint="default"/>
        <w:lang w:val="en-GB" w:eastAsia="en-US" w:bidi="ar-SA"/>
      </w:rPr>
    </w:lvl>
    <w:lvl w:ilvl="3" w:tplc="B666D79E">
      <w:numFmt w:val="bullet"/>
      <w:lvlText w:val="•"/>
      <w:lvlJc w:val="left"/>
      <w:pPr>
        <w:ind w:left="3173" w:hanging="245"/>
      </w:pPr>
      <w:rPr>
        <w:rFonts w:hint="default"/>
        <w:lang w:val="en-GB" w:eastAsia="en-US" w:bidi="ar-SA"/>
      </w:rPr>
    </w:lvl>
    <w:lvl w:ilvl="4" w:tplc="5F2EBF90">
      <w:numFmt w:val="bullet"/>
      <w:lvlText w:val="•"/>
      <w:lvlJc w:val="left"/>
      <w:pPr>
        <w:ind w:left="4098" w:hanging="245"/>
      </w:pPr>
      <w:rPr>
        <w:rFonts w:hint="default"/>
        <w:lang w:val="en-GB" w:eastAsia="en-US" w:bidi="ar-SA"/>
      </w:rPr>
    </w:lvl>
    <w:lvl w:ilvl="5" w:tplc="99B8B460">
      <w:numFmt w:val="bullet"/>
      <w:lvlText w:val="•"/>
      <w:lvlJc w:val="left"/>
      <w:pPr>
        <w:ind w:left="5023" w:hanging="245"/>
      </w:pPr>
      <w:rPr>
        <w:rFonts w:hint="default"/>
        <w:lang w:val="en-GB" w:eastAsia="en-US" w:bidi="ar-SA"/>
      </w:rPr>
    </w:lvl>
    <w:lvl w:ilvl="6" w:tplc="4F18D49E">
      <w:numFmt w:val="bullet"/>
      <w:lvlText w:val="•"/>
      <w:lvlJc w:val="left"/>
      <w:pPr>
        <w:ind w:left="5947" w:hanging="245"/>
      </w:pPr>
      <w:rPr>
        <w:rFonts w:hint="default"/>
        <w:lang w:val="en-GB" w:eastAsia="en-US" w:bidi="ar-SA"/>
      </w:rPr>
    </w:lvl>
    <w:lvl w:ilvl="7" w:tplc="55DAFE48">
      <w:numFmt w:val="bullet"/>
      <w:lvlText w:val="•"/>
      <w:lvlJc w:val="left"/>
      <w:pPr>
        <w:ind w:left="6872" w:hanging="245"/>
      </w:pPr>
      <w:rPr>
        <w:rFonts w:hint="default"/>
        <w:lang w:val="en-GB" w:eastAsia="en-US" w:bidi="ar-SA"/>
      </w:rPr>
    </w:lvl>
    <w:lvl w:ilvl="8" w:tplc="DC321702">
      <w:numFmt w:val="bullet"/>
      <w:lvlText w:val="•"/>
      <w:lvlJc w:val="left"/>
      <w:pPr>
        <w:ind w:left="7797" w:hanging="245"/>
      </w:pPr>
      <w:rPr>
        <w:rFonts w:hint="default"/>
        <w:lang w:val="en-GB" w:eastAsia="en-US" w:bidi="ar-SA"/>
      </w:rPr>
    </w:lvl>
  </w:abstractNum>
  <w:abstractNum w:abstractNumId="89">
    <w:nsid w:val="396638C7"/>
    <w:multiLevelType w:val="hybridMultilevel"/>
    <w:tmpl w:val="BBAE9968"/>
    <w:lvl w:ilvl="0" w:tplc="AAAE6424">
      <w:start w:val="33"/>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315E73F0">
      <w:numFmt w:val="bullet"/>
      <w:lvlText w:val="•"/>
      <w:lvlJc w:val="left"/>
      <w:pPr>
        <w:ind w:left="1612" w:hanging="552"/>
      </w:pPr>
      <w:rPr>
        <w:rFonts w:hint="default"/>
        <w:lang w:val="en-GB" w:eastAsia="en-US" w:bidi="ar-SA"/>
      </w:rPr>
    </w:lvl>
    <w:lvl w:ilvl="2" w:tplc="29422108">
      <w:numFmt w:val="bullet"/>
      <w:lvlText w:val="•"/>
      <w:lvlJc w:val="left"/>
      <w:pPr>
        <w:ind w:left="2505" w:hanging="552"/>
      </w:pPr>
      <w:rPr>
        <w:rFonts w:hint="default"/>
        <w:lang w:val="en-GB" w:eastAsia="en-US" w:bidi="ar-SA"/>
      </w:rPr>
    </w:lvl>
    <w:lvl w:ilvl="3" w:tplc="BA725D12">
      <w:numFmt w:val="bullet"/>
      <w:lvlText w:val="•"/>
      <w:lvlJc w:val="left"/>
      <w:pPr>
        <w:ind w:left="3397" w:hanging="552"/>
      </w:pPr>
      <w:rPr>
        <w:rFonts w:hint="default"/>
        <w:lang w:val="en-GB" w:eastAsia="en-US" w:bidi="ar-SA"/>
      </w:rPr>
    </w:lvl>
    <w:lvl w:ilvl="4" w:tplc="D3169540">
      <w:numFmt w:val="bullet"/>
      <w:lvlText w:val="•"/>
      <w:lvlJc w:val="left"/>
      <w:pPr>
        <w:ind w:left="4290" w:hanging="552"/>
      </w:pPr>
      <w:rPr>
        <w:rFonts w:hint="default"/>
        <w:lang w:val="en-GB" w:eastAsia="en-US" w:bidi="ar-SA"/>
      </w:rPr>
    </w:lvl>
    <w:lvl w:ilvl="5" w:tplc="49F0D884">
      <w:numFmt w:val="bullet"/>
      <w:lvlText w:val="•"/>
      <w:lvlJc w:val="left"/>
      <w:pPr>
        <w:ind w:left="5183" w:hanging="552"/>
      </w:pPr>
      <w:rPr>
        <w:rFonts w:hint="default"/>
        <w:lang w:val="en-GB" w:eastAsia="en-US" w:bidi="ar-SA"/>
      </w:rPr>
    </w:lvl>
    <w:lvl w:ilvl="6" w:tplc="F5602642">
      <w:numFmt w:val="bullet"/>
      <w:lvlText w:val="•"/>
      <w:lvlJc w:val="left"/>
      <w:pPr>
        <w:ind w:left="6075" w:hanging="552"/>
      </w:pPr>
      <w:rPr>
        <w:rFonts w:hint="default"/>
        <w:lang w:val="en-GB" w:eastAsia="en-US" w:bidi="ar-SA"/>
      </w:rPr>
    </w:lvl>
    <w:lvl w:ilvl="7" w:tplc="07AA8240">
      <w:numFmt w:val="bullet"/>
      <w:lvlText w:val="•"/>
      <w:lvlJc w:val="left"/>
      <w:pPr>
        <w:ind w:left="6968" w:hanging="552"/>
      </w:pPr>
      <w:rPr>
        <w:rFonts w:hint="default"/>
        <w:lang w:val="en-GB" w:eastAsia="en-US" w:bidi="ar-SA"/>
      </w:rPr>
    </w:lvl>
    <w:lvl w:ilvl="8" w:tplc="6BAC4210">
      <w:numFmt w:val="bullet"/>
      <w:lvlText w:val="•"/>
      <w:lvlJc w:val="left"/>
      <w:pPr>
        <w:ind w:left="7861" w:hanging="552"/>
      </w:pPr>
      <w:rPr>
        <w:rFonts w:hint="default"/>
        <w:lang w:val="en-GB" w:eastAsia="en-US" w:bidi="ar-SA"/>
      </w:rPr>
    </w:lvl>
  </w:abstractNum>
  <w:abstractNum w:abstractNumId="90">
    <w:nsid w:val="3D6D4F5C"/>
    <w:multiLevelType w:val="hybridMultilevel"/>
    <w:tmpl w:val="A2587640"/>
    <w:lvl w:ilvl="0" w:tplc="F58C81D6">
      <w:start w:val="110"/>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74821816">
      <w:numFmt w:val="bullet"/>
      <w:lvlText w:val="•"/>
      <w:lvlJc w:val="left"/>
      <w:pPr>
        <w:ind w:left="1720" w:hanging="675"/>
      </w:pPr>
      <w:rPr>
        <w:rFonts w:hint="default"/>
        <w:lang w:val="en-GB" w:eastAsia="en-US" w:bidi="ar-SA"/>
      </w:rPr>
    </w:lvl>
    <w:lvl w:ilvl="2" w:tplc="6AF2496A">
      <w:numFmt w:val="bullet"/>
      <w:lvlText w:val="•"/>
      <w:lvlJc w:val="left"/>
      <w:pPr>
        <w:ind w:left="2601" w:hanging="675"/>
      </w:pPr>
      <w:rPr>
        <w:rFonts w:hint="default"/>
        <w:lang w:val="en-GB" w:eastAsia="en-US" w:bidi="ar-SA"/>
      </w:rPr>
    </w:lvl>
    <w:lvl w:ilvl="3" w:tplc="C1E4DCC0">
      <w:numFmt w:val="bullet"/>
      <w:lvlText w:val="•"/>
      <w:lvlJc w:val="left"/>
      <w:pPr>
        <w:ind w:left="3481" w:hanging="675"/>
      </w:pPr>
      <w:rPr>
        <w:rFonts w:hint="default"/>
        <w:lang w:val="en-GB" w:eastAsia="en-US" w:bidi="ar-SA"/>
      </w:rPr>
    </w:lvl>
    <w:lvl w:ilvl="4" w:tplc="314E0DFC">
      <w:numFmt w:val="bullet"/>
      <w:lvlText w:val="•"/>
      <w:lvlJc w:val="left"/>
      <w:pPr>
        <w:ind w:left="4362" w:hanging="675"/>
      </w:pPr>
      <w:rPr>
        <w:rFonts w:hint="default"/>
        <w:lang w:val="en-GB" w:eastAsia="en-US" w:bidi="ar-SA"/>
      </w:rPr>
    </w:lvl>
    <w:lvl w:ilvl="5" w:tplc="DA663242">
      <w:numFmt w:val="bullet"/>
      <w:lvlText w:val="•"/>
      <w:lvlJc w:val="left"/>
      <w:pPr>
        <w:ind w:left="5243" w:hanging="675"/>
      </w:pPr>
      <w:rPr>
        <w:rFonts w:hint="default"/>
        <w:lang w:val="en-GB" w:eastAsia="en-US" w:bidi="ar-SA"/>
      </w:rPr>
    </w:lvl>
    <w:lvl w:ilvl="6" w:tplc="7B447974">
      <w:numFmt w:val="bullet"/>
      <w:lvlText w:val="•"/>
      <w:lvlJc w:val="left"/>
      <w:pPr>
        <w:ind w:left="6123" w:hanging="675"/>
      </w:pPr>
      <w:rPr>
        <w:rFonts w:hint="default"/>
        <w:lang w:val="en-GB" w:eastAsia="en-US" w:bidi="ar-SA"/>
      </w:rPr>
    </w:lvl>
    <w:lvl w:ilvl="7" w:tplc="FBBA9F5C">
      <w:numFmt w:val="bullet"/>
      <w:lvlText w:val="•"/>
      <w:lvlJc w:val="left"/>
      <w:pPr>
        <w:ind w:left="7004" w:hanging="675"/>
      </w:pPr>
      <w:rPr>
        <w:rFonts w:hint="default"/>
        <w:lang w:val="en-GB" w:eastAsia="en-US" w:bidi="ar-SA"/>
      </w:rPr>
    </w:lvl>
    <w:lvl w:ilvl="8" w:tplc="FFA88D12">
      <w:numFmt w:val="bullet"/>
      <w:lvlText w:val="•"/>
      <w:lvlJc w:val="left"/>
      <w:pPr>
        <w:ind w:left="7885" w:hanging="675"/>
      </w:pPr>
      <w:rPr>
        <w:rFonts w:hint="default"/>
        <w:lang w:val="en-GB" w:eastAsia="en-US" w:bidi="ar-SA"/>
      </w:rPr>
    </w:lvl>
  </w:abstractNum>
  <w:abstractNum w:abstractNumId="91">
    <w:nsid w:val="3DF80630"/>
    <w:multiLevelType w:val="hybridMultilevel"/>
    <w:tmpl w:val="120C92CE"/>
    <w:lvl w:ilvl="0" w:tplc="5BA8C790">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9C142A3A">
      <w:numFmt w:val="bullet"/>
      <w:lvlText w:val="•"/>
      <w:lvlJc w:val="left"/>
      <w:pPr>
        <w:ind w:left="579" w:hanging="286"/>
      </w:pPr>
      <w:rPr>
        <w:rFonts w:hint="default"/>
        <w:lang w:val="en-GB" w:eastAsia="en-US" w:bidi="ar-SA"/>
      </w:rPr>
    </w:lvl>
    <w:lvl w:ilvl="2" w:tplc="3BC8BF44">
      <w:numFmt w:val="bullet"/>
      <w:lvlText w:val="•"/>
      <w:lvlJc w:val="left"/>
      <w:pPr>
        <w:ind w:left="719" w:hanging="286"/>
      </w:pPr>
      <w:rPr>
        <w:rFonts w:hint="default"/>
        <w:lang w:val="en-GB" w:eastAsia="en-US" w:bidi="ar-SA"/>
      </w:rPr>
    </w:lvl>
    <w:lvl w:ilvl="3" w:tplc="3FCE3480">
      <w:numFmt w:val="bullet"/>
      <w:lvlText w:val="•"/>
      <w:lvlJc w:val="left"/>
      <w:pPr>
        <w:ind w:left="859" w:hanging="286"/>
      </w:pPr>
      <w:rPr>
        <w:rFonts w:hint="default"/>
        <w:lang w:val="en-GB" w:eastAsia="en-US" w:bidi="ar-SA"/>
      </w:rPr>
    </w:lvl>
    <w:lvl w:ilvl="4" w:tplc="741CE026">
      <w:numFmt w:val="bullet"/>
      <w:lvlText w:val="•"/>
      <w:lvlJc w:val="left"/>
      <w:pPr>
        <w:ind w:left="999" w:hanging="286"/>
      </w:pPr>
      <w:rPr>
        <w:rFonts w:hint="default"/>
        <w:lang w:val="en-GB" w:eastAsia="en-US" w:bidi="ar-SA"/>
      </w:rPr>
    </w:lvl>
    <w:lvl w:ilvl="5" w:tplc="A0BE3EA4">
      <w:numFmt w:val="bullet"/>
      <w:lvlText w:val="•"/>
      <w:lvlJc w:val="left"/>
      <w:pPr>
        <w:ind w:left="1139" w:hanging="286"/>
      </w:pPr>
      <w:rPr>
        <w:rFonts w:hint="default"/>
        <w:lang w:val="en-GB" w:eastAsia="en-US" w:bidi="ar-SA"/>
      </w:rPr>
    </w:lvl>
    <w:lvl w:ilvl="6" w:tplc="A122FF1A">
      <w:numFmt w:val="bullet"/>
      <w:lvlText w:val="•"/>
      <w:lvlJc w:val="left"/>
      <w:pPr>
        <w:ind w:left="1278" w:hanging="286"/>
      </w:pPr>
      <w:rPr>
        <w:rFonts w:hint="default"/>
        <w:lang w:val="en-GB" w:eastAsia="en-US" w:bidi="ar-SA"/>
      </w:rPr>
    </w:lvl>
    <w:lvl w:ilvl="7" w:tplc="3932A68A">
      <w:numFmt w:val="bullet"/>
      <w:lvlText w:val="•"/>
      <w:lvlJc w:val="left"/>
      <w:pPr>
        <w:ind w:left="1418" w:hanging="286"/>
      </w:pPr>
      <w:rPr>
        <w:rFonts w:hint="default"/>
        <w:lang w:val="en-GB" w:eastAsia="en-US" w:bidi="ar-SA"/>
      </w:rPr>
    </w:lvl>
    <w:lvl w:ilvl="8" w:tplc="7BD88E6A">
      <w:numFmt w:val="bullet"/>
      <w:lvlText w:val="•"/>
      <w:lvlJc w:val="left"/>
      <w:pPr>
        <w:ind w:left="1558" w:hanging="286"/>
      </w:pPr>
      <w:rPr>
        <w:rFonts w:hint="default"/>
        <w:lang w:val="en-GB" w:eastAsia="en-US" w:bidi="ar-SA"/>
      </w:rPr>
    </w:lvl>
  </w:abstractNum>
  <w:abstractNum w:abstractNumId="92">
    <w:nsid w:val="3EB27F12"/>
    <w:multiLevelType w:val="hybridMultilevel"/>
    <w:tmpl w:val="61FEC798"/>
    <w:lvl w:ilvl="0" w:tplc="9E1051EC">
      <w:start w:val="7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1EB68A52">
      <w:numFmt w:val="bullet"/>
      <w:lvlText w:val="•"/>
      <w:lvlJc w:val="left"/>
      <w:pPr>
        <w:ind w:left="1612" w:hanging="552"/>
      </w:pPr>
      <w:rPr>
        <w:rFonts w:hint="default"/>
        <w:lang w:val="en-GB" w:eastAsia="en-US" w:bidi="ar-SA"/>
      </w:rPr>
    </w:lvl>
    <w:lvl w:ilvl="2" w:tplc="D23010DA">
      <w:numFmt w:val="bullet"/>
      <w:lvlText w:val="•"/>
      <w:lvlJc w:val="left"/>
      <w:pPr>
        <w:ind w:left="2505" w:hanging="552"/>
      </w:pPr>
      <w:rPr>
        <w:rFonts w:hint="default"/>
        <w:lang w:val="en-GB" w:eastAsia="en-US" w:bidi="ar-SA"/>
      </w:rPr>
    </w:lvl>
    <w:lvl w:ilvl="3" w:tplc="C3C2707C">
      <w:numFmt w:val="bullet"/>
      <w:lvlText w:val="•"/>
      <w:lvlJc w:val="left"/>
      <w:pPr>
        <w:ind w:left="3397" w:hanging="552"/>
      </w:pPr>
      <w:rPr>
        <w:rFonts w:hint="default"/>
        <w:lang w:val="en-GB" w:eastAsia="en-US" w:bidi="ar-SA"/>
      </w:rPr>
    </w:lvl>
    <w:lvl w:ilvl="4" w:tplc="BF7C9AEE">
      <w:numFmt w:val="bullet"/>
      <w:lvlText w:val="•"/>
      <w:lvlJc w:val="left"/>
      <w:pPr>
        <w:ind w:left="4290" w:hanging="552"/>
      </w:pPr>
      <w:rPr>
        <w:rFonts w:hint="default"/>
        <w:lang w:val="en-GB" w:eastAsia="en-US" w:bidi="ar-SA"/>
      </w:rPr>
    </w:lvl>
    <w:lvl w:ilvl="5" w:tplc="333295CE">
      <w:numFmt w:val="bullet"/>
      <w:lvlText w:val="•"/>
      <w:lvlJc w:val="left"/>
      <w:pPr>
        <w:ind w:left="5183" w:hanging="552"/>
      </w:pPr>
      <w:rPr>
        <w:rFonts w:hint="default"/>
        <w:lang w:val="en-GB" w:eastAsia="en-US" w:bidi="ar-SA"/>
      </w:rPr>
    </w:lvl>
    <w:lvl w:ilvl="6" w:tplc="784C6FE0">
      <w:numFmt w:val="bullet"/>
      <w:lvlText w:val="•"/>
      <w:lvlJc w:val="left"/>
      <w:pPr>
        <w:ind w:left="6075" w:hanging="552"/>
      </w:pPr>
      <w:rPr>
        <w:rFonts w:hint="default"/>
        <w:lang w:val="en-GB" w:eastAsia="en-US" w:bidi="ar-SA"/>
      </w:rPr>
    </w:lvl>
    <w:lvl w:ilvl="7" w:tplc="3FB214D8">
      <w:numFmt w:val="bullet"/>
      <w:lvlText w:val="•"/>
      <w:lvlJc w:val="left"/>
      <w:pPr>
        <w:ind w:left="6968" w:hanging="552"/>
      </w:pPr>
      <w:rPr>
        <w:rFonts w:hint="default"/>
        <w:lang w:val="en-GB" w:eastAsia="en-US" w:bidi="ar-SA"/>
      </w:rPr>
    </w:lvl>
    <w:lvl w:ilvl="8" w:tplc="1744E2A0">
      <w:numFmt w:val="bullet"/>
      <w:lvlText w:val="•"/>
      <w:lvlJc w:val="left"/>
      <w:pPr>
        <w:ind w:left="7861" w:hanging="552"/>
      </w:pPr>
      <w:rPr>
        <w:rFonts w:hint="default"/>
        <w:lang w:val="en-GB" w:eastAsia="en-US" w:bidi="ar-SA"/>
      </w:rPr>
    </w:lvl>
  </w:abstractNum>
  <w:abstractNum w:abstractNumId="93">
    <w:nsid w:val="3EE64B3F"/>
    <w:multiLevelType w:val="hybridMultilevel"/>
    <w:tmpl w:val="F832506C"/>
    <w:lvl w:ilvl="0" w:tplc="D45EBCAA">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5562F3BA">
      <w:numFmt w:val="bullet"/>
      <w:lvlText w:val="•"/>
      <w:lvlJc w:val="left"/>
      <w:pPr>
        <w:ind w:left="810" w:hanging="360"/>
      </w:pPr>
      <w:rPr>
        <w:rFonts w:hint="default"/>
        <w:lang w:val="en-GB" w:eastAsia="en-US" w:bidi="ar-SA"/>
      </w:rPr>
    </w:lvl>
    <w:lvl w:ilvl="2" w:tplc="B666EE58">
      <w:numFmt w:val="bullet"/>
      <w:lvlText w:val="•"/>
      <w:lvlJc w:val="left"/>
      <w:pPr>
        <w:ind w:left="1160" w:hanging="360"/>
      </w:pPr>
      <w:rPr>
        <w:rFonts w:hint="default"/>
        <w:lang w:val="en-GB" w:eastAsia="en-US" w:bidi="ar-SA"/>
      </w:rPr>
    </w:lvl>
    <w:lvl w:ilvl="3" w:tplc="3A788C42">
      <w:numFmt w:val="bullet"/>
      <w:lvlText w:val="•"/>
      <w:lvlJc w:val="left"/>
      <w:pPr>
        <w:ind w:left="1510" w:hanging="360"/>
      </w:pPr>
      <w:rPr>
        <w:rFonts w:hint="default"/>
        <w:lang w:val="en-GB" w:eastAsia="en-US" w:bidi="ar-SA"/>
      </w:rPr>
    </w:lvl>
    <w:lvl w:ilvl="4" w:tplc="61D6B644">
      <w:numFmt w:val="bullet"/>
      <w:lvlText w:val="•"/>
      <w:lvlJc w:val="left"/>
      <w:pPr>
        <w:ind w:left="1860" w:hanging="360"/>
      </w:pPr>
      <w:rPr>
        <w:rFonts w:hint="default"/>
        <w:lang w:val="en-GB" w:eastAsia="en-US" w:bidi="ar-SA"/>
      </w:rPr>
    </w:lvl>
    <w:lvl w:ilvl="5" w:tplc="CF6AC198">
      <w:numFmt w:val="bullet"/>
      <w:lvlText w:val="•"/>
      <w:lvlJc w:val="left"/>
      <w:pPr>
        <w:ind w:left="2210" w:hanging="360"/>
      </w:pPr>
      <w:rPr>
        <w:rFonts w:hint="default"/>
        <w:lang w:val="en-GB" w:eastAsia="en-US" w:bidi="ar-SA"/>
      </w:rPr>
    </w:lvl>
    <w:lvl w:ilvl="6" w:tplc="93687882">
      <w:numFmt w:val="bullet"/>
      <w:lvlText w:val="•"/>
      <w:lvlJc w:val="left"/>
      <w:pPr>
        <w:ind w:left="2560" w:hanging="360"/>
      </w:pPr>
      <w:rPr>
        <w:rFonts w:hint="default"/>
        <w:lang w:val="en-GB" w:eastAsia="en-US" w:bidi="ar-SA"/>
      </w:rPr>
    </w:lvl>
    <w:lvl w:ilvl="7" w:tplc="BA1C343C">
      <w:numFmt w:val="bullet"/>
      <w:lvlText w:val="•"/>
      <w:lvlJc w:val="left"/>
      <w:pPr>
        <w:ind w:left="2910" w:hanging="360"/>
      </w:pPr>
      <w:rPr>
        <w:rFonts w:hint="default"/>
        <w:lang w:val="en-GB" w:eastAsia="en-US" w:bidi="ar-SA"/>
      </w:rPr>
    </w:lvl>
    <w:lvl w:ilvl="8" w:tplc="2870B366">
      <w:numFmt w:val="bullet"/>
      <w:lvlText w:val="•"/>
      <w:lvlJc w:val="left"/>
      <w:pPr>
        <w:ind w:left="3260" w:hanging="360"/>
      </w:pPr>
      <w:rPr>
        <w:rFonts w:hint="default"/>
        <w:lang w:val="en-GB" w:eastAsia="en-US" w:bidi="ar-SA"/>
      </w:rPr>
    </w:lvl>
  </w:abstractNum>
  <w:abstractNum w:abstractNumId="94">
    <w:nsid w:val="3EEE699E"/>
    <w:multiLevelType w:val="hybridMultilevel"/>
    <w:tmpl w:val="4C86FEA0"/>
    <w:lvl w:ilvl="0" w:tplc="DBE8165E">
      <w:start w:val="11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6FA2F34A">
      <w:numFmt w:val="bullet"/>
      <w:lvlText w:val="•"/>
      <w:lvlJc w:val="left"/>
      <w:pPr>
        <w:ind w:left="1720" w:hanging="675"/>
      </w:pPr>
      <w:rPr>
        <w:rFonts w:hint="default"/>
        <w:lang w:val="en-GB" w:eastAsia="en-US" w:bidi="ar-SA"/>
      </w:rPr>
    </w:lvl>
    <w:lvl w:ilvl="2" w:tplc="01B606B0">
      <w:numFmt w:val="bullet"/>
      <w:lvlText w:val="•"/>
      <w:lvlJc w:val="left"/>
      <w:pPr>
        <w:ind w:left="2601" w:hanging="675"/>
      </w:pPr>
      <w:rPr>
        <w:rFonts w:hint="default"/>
        <w:lang w:val="en-GB" w:eastAsia="en-US" w:bidi="ar-SA"/>
      </w:rPr>
    </w:lvl>
    <w:lvl w:ilvl="3" w:tplc="D624D8BE">
      <w:numFmt w:val="bullet"/>
      <w:lvlText w:val="•"/>
      <w:lvlJc w:val="left"/>
      <w:pPr>
        <w:ind w:left="3481" w:hanging="675"/>
      </w:pPr>
      <w:rPr>
        <w:rFonts w:hint="default"/>
        <w:lang w:val="en-GB" w:eastAsia="en-US" w:bidi="ar-SA"/>
      </w:rPr>
    </w:lvl>
    <w:lvl w:ilvl="4" w:tplc="764A976E">
      <w:numFmt w:val="bullet"/>
      <w:lvlText w:val="•"/>
      <w:lvlJc w:val="left"/>
      <w:pPr>
        <w:ind w:left="4362" w:hanging="675"/>
      </w:pPr>
      <w:rPr>
        <w:rFonts w:hint="default"/>
        <w:lang w:val="en-GB" w:eastAsia="en-US" w:bidi="ar-SA"/>
      </w:rPr>
    </w:lvl>
    <w:lvl w:ilvl="5" w:tplc="D31A2228">
      <w:numFmt w:val="bullet"/>
      <w:lvlText w:val="•"/>
      <w:lvlJc w:val="left"/>
      <w:pPr>
        <w:ind w:left="5243" w:hanging="675"/>
      </w:pPr>
      <w:rPr>
        <w:rFonts w:hint="default"/>
        <w:lang w:val="en-GB" w:eastAsia="en-US" w:bidi="ar-SA"/>
      </w:rPr>
    </w:lvl>
    <w:lvl w:ilvl="6" w:tplc="A4CEECB2">
      <w:numFmt w:val="bullet"/>
      <w:lvlText w:val="•"/>
      <w:lvlJc w:val="left"/>
      <w:pPr>
        <w:ind w:left="6123" w:hanging="675"/>
      </w:pPr>
      <w:rPr>
        <w:rFonts w:hint="default"/>
        <w:lang w:val="en-GB" w:eastAsia="en-US" w:bidi="ar-SA"/>
      </w:rPr>
    </w:lvl>
    <w:lvl w:ilvl="7" w:tplc="2BD4F0F8">
      <w:numFmt w:val="bullet"/>
      <w:lvlText w:val="•"/>
      <w:lvlJc w:val="left"/>
      <w:pPr>
        <w:ind w:left="7004" w:hanging="675"/>
      </w:pPr>
      <w:rPr>
        <w:rFonts w:hint="default"/>
        <w:lang w:val="en-GB" w:eastAsia="en-US" w:bidi="ar-SA"/>
      </w:rPr>
    </w:lvl>
    <w:lvl w:ilvl="8" w:tplc="DA0A3930">
      <w:numFmt w:val="bullet"/>
      <w:lvlText w:val="•"/>
      <w:lvlJc w:val="left"/>
      <w:pPr>
        <w:ind w:left="7885" w:hanging="675"/>
      </w:pPr>
      <w:rPr>
        <w:rFonts w:hint="default"/>
        <w:lang w:val="en-GB" w:eastAsia="en-US" w:bidi="ar-SA"/>
      </w:rPr>
    </w:lvl>
  </w:abstractNum>
  <w:abstractNum w:abstractNumId="95">
    <w:nsid w:val="3F1D74A4"/>
    <w:multiLevelType w:val="hybridMultilevel"/>
    <w:tmpl w:val="F4446338"/>
    <w:lvl w:ilvl="0" w:tplc="D53881A8">
      <w:start w:val="46"/>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0222890">
      <w:numFmt w:val="bullet"/>
      <w:lvlText w:val="•"/>
      <w:lvlJc w:val="left"/>
      <w:pPr>
        <w:ind w:left="1612" w:hanging="552"/>
      </w:pPr>
      <w:rPr>
        <w:rFonts w:hint="default"/>
        <w:lang w:val="en-GB" w:eastAsia="en-US" w:bidi="ar-SA"/>
      </w:rPr>
    </w:lvl>
    <w:lvl w:ilvl="2" w:tplc="64384B10">
      <w:numFmt w:val="bullet"/>
      <w:lvlText w:val="•"/>
      <w:lvlJc w:val="left"/>
      <w:pPr>
        <w:ind w:left="2505" w:hanging="552"/>
      </w:pPr>
      <w:rPr>
        <w:rFonts w:hint="default"/>
        <w:lang w:val="en-GB" w:eastAsia="en-US" w:bidi="ar-SA"/>
      </w:rPr>
    </w:lvl>
    <w:lvl w:ilvl="3" w:tplc="1360D000">
      <w:numFmt w:val="bullet"/>
      <w:lvlText w:val="•"/>
      <w:lvlJc w:val="left"/>
      <w:pPr>
        <w:ind w:left="3397" w:hanging="552"/>
      </w:pPr>
      <w:rPr>
        <w:rFonts w:hint="default"/>
        <w:lang w:val="en-GB" w:eastAsia="en-US" w:bidi="ar-SA"/>
      </w:rPr>
    </w:lvl>
    <w:lvl w:ilvl="4" w:tplc="3C96B27A">
      <w:numFmt w:val="bullet"/>
      <w:lvlText w:val="•"/>
      <w:lvlJc w:val="left"/>
      <w:pPr>
        <w:ind w:left="4290" w:hanging="552"/>
      </w:pPr>
      <w:rPr>
        <w:rFonts w:hint="default"/>
        <w:lang w:val="en-GB" w:eastAsia="en-US" w:bidi="ar-SA"/>
      </w:rPr>
    </w:lvl>
    <w:lvl w:ilvl="5" w:tplc="84EA9880">
      <w:numFmt w:val="bullet"/>
      <w:lvlText w:val="•"/>
      <w:lvlJc w:val="left"/>
      <w:pPr>
        <w:ind w:left="5183" w:hanging="552"/>
      </w:pPr>
      <w:rPr>
        <w:rFonts w:hint="default"/>
        <w:lang w:val="en-GB" w:eastAsia="en-US" w:bidi="ar-SA"/>
      </w:rPr>
    </w:lvl>
    <w:lvl w:ilvl="6" w:tplc="0C1A857A">
      <w:numFmt w:val="bullet"/>
      <w:lvlText w:val="•"/>
      <w:lvlJc w:val="left"/>
      <w:pPr>
        <w:ind w:left="6075" w:hanging="552"/>
      </w:pPr>
      <w:rPr>
        <w:rFonts w:hint="default"/>
        <w:lang w:val="en-GB" w:eastAsia="en-US" w:bidi="ar-SA"/>
      </w:rPr>
    </w:lvl>
    <w:lvl w:ilvl="7" w:tplc="00DA01FE">
      <w:numFmt w:val="bullet"/>
      <w:lvlText w:val="•"/>
      <w:lvlJc w:val="left"/>
      <w:pPr>
        <w:ind w:left="6968" w:hanging="552"/>
      </w:pPr>
      <w:rPr>
        <w:rFonts w:hint="default"/>
        <w:lang w:val="en-GB" w:eastAsia="en-US" w:bidi="ar-SA"/>
      </w:rPr>
    </w:lvl>
    <w:lvl w:ilvl="8" w:tplc="F0769866">
      <w:numFmt w:val="bullet"/>
      <w:lvlText w:val="•"/>
      <w:lvlJc w:val="left"/>
      <w:pPr>
        <w:ind w:left="7861" w:hanging="552"/>
      </w:pPr>
      <w:rPr>
        <w:rFonts w:hint="default"/>
        <w:lang w:val="en-GB" w:eastAsia="en-US" w:bidi="ar-SA"/>
      </w:rPr>
    </w:lvl>
  </w:abstractNum>
  <w:abstractNum w:abstractNumId="96">
    <w:nsid w:val="3F5B3ECF"/>
    <w:multiLevelType w:val="hybridMultilevel"/>
    <w:tmpl w:val="8966A416"/>
    <w:lvl w:ilvl="0" w:tplc="4B845CDC">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CD246F28">
      <w:numFmt w:val="bullet"/>
      <w:lvlText w:val="•"/>
      <w:lvlJc w:val="left"/>
      <w:pPr>
        <w:ind w:left="1445" w:hanging="361"/>
      </w:pPr>
      <w:rPr>
        <w:rFonts w:hint="default"/>
        <w:lang w:val="en-GB" w:eastAsia="en-US" w:bidi="ar-SA"/>
      </w:rPr>
    </w:lvl>
    <w:lvl w:ilvl="2" w:tplc="E7D2F804">
      <w:numFmt w:val="bullet"/>
      <w:lvlText w:val="•"/>
      <w:lvlJc w:val="left"/>
      <w:pPr>
        <w:ind w:left="2071" w:hanging="361"/>
      </w:pPr>
      <w:rPr>
        <w:rFonts w:hint="default"/>
        <w:lang w:val="en-GB" w:eastAsia="en-US" w:bidi="ar-SA"/>
      </w:rPr>
    </w:lvl>
    <w:lvl w:ilvl="3" w:tplc="6680D2A8">
      <w:numFmt w:val="bullet"/>
      <w:lvlText w:val="•"/>
      <w:lvlJc w:val="left"/>
      <w:pPr>
        <w:ind w:left="2697" w:hanging="361"/>
      </w:pPr>
      <w:rPr>
        <w:rFonts w:hint="default"/>
        <w:lang w:val="en-GB" w:eastAsia="en-US" w:bidi="ar-SA"/>
      </w:rPr>
    </w:lvl>
    <w:lvl w:ilvl="4" w:tplc="FA2E6134">
      <w:numFmt w:val="bullet"/>
      <w:lvlText w:val="•"/>
      <w:lvlJc w:val="left"/>
      <w:pPr>
        <w:ind w:left="3323" w:hanging="361"/>
      </w:pPr>
      <w:rPr>
        <w:rFonts w:hint="default"/>
        <w:lang w:val="en-GB" w:eastAsia="en-US" w:bidi="ar-SA"/>
      </w:rPr>
    </w:lvl>
    <w:lvl w:ilvl="5" w:tplc="6C4E7DF6">
      <w:numFmt w:val="bullet"/>
      <w:lvlText w:val="•"/>
      <w:lvlJc w:val="left"/>
      <w:pPr>
        <w:ind w:left="3949" w:hanging="361"/>
      </w:pPr>
      <w:rPr>
        <w:rFonts w:hint="default"/>
        <w:lang w:val="en-GB" w:eastAsia="en-US" w:bidi="ar-SA"/>
      </w:rPr>
    </w:lvl>
    <w:lvl w:ilvl="6" w:tplc="BDF4F46C">
      <w:numFmt w:val="bullet"/>
      <w:lvlText w:val="•"/>
      <w:lvlJc w:val="left"/>
      <w:pPr>
        <w:ind w:left="4575" w:hanging="361"/>
      </w:pPr>
      <w:rPr>
        <w:rFonts w:hint="default"/>
        <w:lang w:val="en-GB" w:eastAsia="en-US" w:bidi="ar-SA"/>
      </w:rPr>
    </w:lvl>
    <w:lvl w:ilvl="7" w:tplc="5C9ADF2E">
      <w:numFmt w:val="bullet"/>
      <w:lvlText w:val="•"/>
      <w:lvlJc w:val="left"/>
      <w:pPr>
        <w:ind w:left="5201" w:hanging="361"/>
      </w:pPr>
      <w:rPr>
        <w:rFonts w:hint="default"/>
        <w:lang w:val="en-GB" w:eastAsia="en-US" w:bidi="ar-SA"/>
      </w:rPr>
    </w:lvl>
    <w:lvl w:ilvl="8" w:tplc="932A16F8">
      <w:numFmt w:val="bullet"/>
      <w:lvlText w:val="•"/>
      <w:lvlJc w:val="left"/>
      <w:pPr>
        <w:ind w:left="5827" w:hanging="361"/>
      </w:pPr>
      <w:rPr>
        <w:rFonts w:hint="default"/>
        <w:lang w:val="en-GB" w:eastAsia="en-US" w:bidi="ar-SA"/>
      </w:rPr>
    </w:lvl>
  </w:abstractNum>
  <w:abstractNum w:abstractNumId="97">
    <w:nsid w:val="3FB71ACC"/>
    <w:multiLevelType w:val="hybridMultilevel"/>
    <w:tmpl w:val="52FE49E2"/>
    <w:lvl w:ilvl="0" w:tplc="E2E2AD12">
      <w:start w:val="86"/>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233AC2FC">
      <w:numFmt w:val="bullet"/>
      <w:lvlText w:val="•"/>
      <w:lvlJc w:val="left"/>
      <w:pPr>
        <w:ind w:left="1612" w:hanging="552"/>
      </w:pPr>
      <w:rPr>
        <w:rFonts w:hint="default"/>
        <w:lang w:val="en-GB" w:eastAsia="en-US" w:bidi="ar-SA"/>
      </w:rPr>
    </w:lvl>
    <w:lvl w:ilvl="2" w:tplc="DD4C2D38">
      <w:numFmt w:val="bullet"/>
      <w:lvlText w:val="•"/>
      <w:lvlJc w:val="left"/>
      <w:pPr>
        <w:ind w:left="2505" w:hanging="552"/>
      </w:pPr>
      <w:rPr>
        <w:rFonts w:hint="default"/>
        <w:lang w:val="en-GB" w:eastAsia="en-US" w:bidi="ar-SA"/>
      </w:rPr>
    </w:lvl>
    <w:lvl w:ilvl="3" w:tplc="442803DC">
      <w:numFmt w:val="bullet"/>
      <w:lvlText w:val="•"/>
      <w:lvlJc w:val="left"/>
      <w:pPr>
        <w:ind w:left="3397" w:hanging="552"/>
      </w:pPr>
      <w:rPr>
        <w:rFonts w:hint="default"/>
        <w:lang w:val="en-GB" w:eastAsia="en-US" w:bidi="ar-SA"/>
      </w:rPr>
    </w:lvl>
    <w:lvl w:ilvl="4" w:tplc="57A4C2AC">
      <w:numFmt w:val="bullet"/>
      <w:lvlText w:val="•"/>
      <w:lvlJc w:val="left"/>
      <w:pPr>
        <w:ind w:left="4290" w:hanging="552"/>
      </w:pPr>
      <w:rPr>
        <w:rFonts w:hint="default"/>
        <w:lang w:val="en-GB" w:eastAsia="en-US" w:bidi="ar-SA"/>
      </w:rPr>
    </w:lvl>
    <w:lvl w:ilvl="5" w:tplc="F91E856A">
      <w:numFmt w:val="bullet"/>
      <w:lvlText w:val="•"/>
      <w:lvlJc w:val="left"/>
      <w:pPr>
        <w:ind w:left="5183" w:hanging="552"/>
      </w:pPr>
      <w:rPr>
        <w:rFonts w:hint="default"/>
        <w:lang w:val="en-GB" w:eastAsia="en-US" w:bidi="ar-SA"/>
      </w:rPr>
    </w:lvl>
    <w:lvl w:ilvl="6" w:tplc="C9A09B68">
      <w:numFmt w:val="bullet"/>
      <w:lvlText w:val="•"/>
      <w:lvlJc w:val="left"/>
      <w:pPr>
        <w:ind w:left="6075" w:hanging="552"/>
      </w:pPr>
      <w:rPr>
        <w:rFonts w:hint="default"/>
        <w:lang w:val="en-GB" w:eastAsia="en-US" w:bidi="ar-SA"/>
      </w:rPr>
    </w:lvl>
    <w:lvl w:ilvl="7" w:tplc="6DDE79A6">
      <w:numFmt w:val="bullet"/>
      <w:lvlText w:val="•"/>
      <w:lvlJc w:val="left"/>
      <w:pPr>
        <w:ind w:left="6968" w:hanging="552"/>
      </w:pPr>
      <w:rPr>
        <w:rFonts w:hint="default"/>
        <w:lang w:val="en-GB" w:eastAsia="en-US" w:bidi="ar-SA"/>
      </w:rPr>
    </w:lvl>
    <w:lvl w:ilvl="8" w:tplc="48A6745A">
      <w:numFmt w:val="bullet"/>
      <w:lvlText w:val="•"/>
      <w:lvlJc w:val="left"/>
      <w:pPr>
        <w:ind w:left="7861" w:hanging="552"/>
      </w:pPr>
      <w:rPr>
        <w:rFonts w:hint="default"/>
        <w:lang w:val="en-GB" w:eastAsia="en-US" w:bidi="ar-SA"/>
      </w:rPr>
    </w:lvl>
  </w:abstractNum>
  <w:abstractNum w:abstractNumId="98">
    <w:nsid w:val="404424A3"/>
    <w:multiLevelType w:val="hybridMultilevel"/>
    <w:tmpl w:val="8BEA27AE"/>
    <w:lvl w:ilvl="0" w:tplc="CA38772C">
      <w:start w:val="1"/>
      <w:numFmt w:val="decimal"/>
      <w:lvlText w:val="%1"/>
      <w:lvlJc w:val="left"/>
      <w:pPr>
        <w:ind w:left="271" w:hanging="152"/>
        <w:jc w:val="left"/>
      </w:pPr>
      <w:rPr>
        <w:rFonts w:ascii="Arial" w:eastAsia="Arial" w:hAnsi="Arial" w:cs="Arial" w:hint="default"/>
        <w:b w:val="0"/>
        <w:bCs w:val="0"/>
        <w:i/>
        <w:iCs/>
        <w:w w:val="100"/>
        <w:sz w:val="18"/>
        <w:szCs w:val="18"/>
        <w:lang w:val="en-GB" w:eastAsia="en-US" w:bidi="ar-SA"/>
      </w:rPr>
    </w:lvl>
    <w:lvl w:ilvl="1" w:tplc="47088ED4">
      <w:numFmt w:val="bullet"/>
      <w:lvlText w:val="•"/>
      <w:lvlJc w:val="left"/>
      <w:pPr>
        <w:ind w:left="1693" w:hanging="152"/>
      </w:pPr>
      <w:rPr>
        <w:rFonts w:hint="default"/>
        <w:lang w:val="en-GB" w:eastAsia="en-US" w:bidi="ar-SA"/>
      </w:rPr>
    </w:lvl>
    <w:lvl w:ilvl="2" w:tplc="D660DC04">
      <w:numFmt w:val="bullet"/>
      <w:lvlText w:val="•"/>
      <w:lvlJc w:val="left"/>
      <w:pPr>
        <w:ind w:left="3107" w:hanging="152"/>
      </w:pPr>
      <w:rPr>
        <w:rFonts w:hint="default"/>
        <w:lang w:val="en-GB" w:eastAsia="en-US" w:bidi="ar-SA"/>
      </w:rPr>
    </w:lvl>
    <w:lvl w:ilvl="3" w:tplc="156E8C02">
      <w:numFmt w:val="bullet"/>
      <w:lvlText w:val="•"/>
      <w:lvlJc w:val="left"/>
      <w:pPr>
        <w:ind w:left="4521" w:hanging="152"/>
      </w:pPr>
      <w:rPr>
        <w:rFonts w:hint="default"/>
        <w:lang w:val="en-GB" w:eastAsia="en-US" w:bidi="ar-SA"/>
      </w:rPr>
    </w:lvl>
    <w:lvl w:ilvl="4" w:tplc="D082C98A">
      <w:numFmt w:val="bullet"/>
      <w:lvlText w:val="•"/>
      <w:lvlJc w:val="left"/>
      <w:pPr>
        <w:ind w:left="5935" w:hanging="152"/>
      </w:pPr>
      <w:rPr>
        <w:rFonts w:hint="default"/>
        <w:lang w:val="en-GB" w:eastAsia="en-US" w:bidi="ar-SA"/>
      </w:rPr>
    </w:lvl>
    <w:lvl w:ilvl="5" w:tplc="6CDCC40C">
      <w:numFmt w:val="bullet"/>
      <w:lvlText w:val="•"/>
      <w:lvlJc w:val="left"/>
      <w:pPr>
        <w:ind w:left="7349" w:hanging="152"/>
      </w:pPr>
      <w:rPr>
        <w:rFonts w:hint="default"/>
        <w:lang w:val="en-GB" w:eastAsia="en-US" w:bidi="ar-SA"/>
      </w:rPr>
    </w:lvl>
    <w:lvl w:ilvl="6" w:tplc="7B029F48">
      <w:numFmt w:val="bullet"/>
      <w:lvlText w:val="•"/>
      <w:lvlJc w:val="left"/>
      <w:pPr>
        <w:ind w:left="8763" w:hanging="152"/>
      </w:pPr>
      <w:rPr>
        <w:rFonts w:hint="default"/>
        <w:lang w:val="en-GB" w:eastAsia="en-US" w:bidi="ar-SA"/>
      </w:rPr>
    </w:lvl>
    <w:lvl w:ilvl="7" w:tplc="07BE6A4A">
      <w:numFmt w:val="bullet"/>
      <w:lvlText w:val="•"/>
      <w:lvlJc w:val="left"/>
      <w:pPr>
        <w:ind w:left="10176" w:hanging="152"/>
      </w:pPr>
      <w:rPr>
        <w:rFonts w:hint="default"/>
        <w:lang w:val="en-GB" w:eastAsia="en-US" w:bidi="ar-SA"/>
      </w:rPr>
    </w:lvl>
    <w:lvl w:ilvl="8" w:tplc="0E9CF360">
      <w:numFmt w:val="bullet"/>
      <w:lvlText w:val="•"/>
      <w:lvlJc w:val="left"/>
      <w:pPr>
        <w:ind w:left="11590" w:hanging="152"/>
      </w:pPr>
      <w:rPr>
        <w:rFonts w:hint="default"/>
        <w:lang w:val="en-GB" w:eastAsia="en-US" w:bidi="ar-SA"/>
      </w:rPr>
    </w:lvl>
  </w:abstractNum>
  <w:abstractNum w:abstractNumId="99">
    <w:nsid w:val="423D54F8"/>
    <w:multiLevelType w:val="hybridMultilevel"/>
    <w:tmpl w:val="11400A64"/>
    <w:lvl w:ilvl="0" w:tplc="02A0FBE2">
      <w:start w:val="10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C2302530">
      <w:numFmt w:val="bullet"/>
      <w:lvlText w:val="•"/>
      <w:lvlJc w:val="left"/>
      <w:pPr>
        <w:ind w:left="1720" w:hanging="675"/>
      </w:pPr>
      <w:rPr>
        <w:rFonts w:hint="default"/>
        <w:lang w:val="en-GB" w:eastAsia="en-US" w:bidi="ar-SA"/>
      </w:rPr>
    </w:lvl>
    <w:lvl w:ilvl="2" w:tplc="16901AD0">
      <w:numFmt w:val="bullet"/>
      <w:lvlText w:val="•"/>
      <w:lvlJc w:val="left"/>
      <w:pPr>
        <w:ind w:left="2601" w:hanging="675"/>
      </w:pPr>
      <w:rPr>
        <w:rFonts w:hint="default"/>
        <w:lang w:val="en-GB" w:eastAsia="en-US" w:bidi="ar-SA"/>
      </w:rPr>
    </w:lvl>
    <w:lvl w:ilvl="3" w:tplc="1D1C3566">
      <w:numFmt w:val="bullet"/>
      <w:lvlText w:val="•"/>
      <w:lvlJc w:val="left"/>
      <w:pPr>
        <w:ind w:left="3481" w:hanging="675"/>
      </w:pPr>
      <w:rPr>
        <w:rFonts w:hint="default"/>
        <w:lang w:val="en-GB" w:eastAsia="en-US" w:bidi="ar-SA"/>
      </w:rPr>
    </w:lvl>
    <w:lvl w:ilvl="4" w:tplc="EFF8AE8E">
      <w:numFmt w:val="bullet"/>
      <w:lvlText w:val="•"/>
      <w:lvlJc w:val="left"/>
      <w:pPr>
        <w:ind w:left="4362" w:hanging="675"/>
      </w:pPr>
      <w:rPr>
        <w:rFonts w:hint="default"/>
        <w:lang w:val="en-GB" w:eastAsia="en-US" w:bidi="ar-SA"/>
      </w:rPr>
    </w:lvl>
    <w:lvl w:ilvl="5" w:tplc="09B8448C">
      <w:numFmt w:val="bullet"/>
      <w:lvlText w:val="•"/>
      <w:lvlJc w:val="left"/>
      <w:pPr>
        <w:ind w:left="5243" w:hanging="675"/>
      </w:pPr>
      <w:rPr>
        <w:rFonts w:hint="default"/>
        <w:lang w:val="en-GB" w:eastAsia="en-US" w:bidi="ar-SA"/>
      </w:rPr>
    </w:lvl>
    <w:lvl w:ilvl="6" w:tplc="1C822A94">
      <w:numFmt w:val="bullet"/>
      <w:lvlText w:val="•"/>
      <w:lvlJc w:val="left"/>
      <w:pPr>
        <w:ind w:left="6123" w:hanging="675"/>
      </w:pPr>
      <w:rPr>
        <w:rFonts w:hint="default"/>
        <w:lang w:val="en-GB" w:eastAsia="en-US" w:bidi="ar-SA"/>
      </w:rPr>
    </w:lvl>
    <w:lvl w:ilvl="7" w:tplc="E31C2992">
      <w:numFmt w:val="bullet"/>
      <w:lvlText w:val="•"/>
      <w:lvlJc w:val="left"/>
      <w:pPr>
        <w:ind w:left="7004" w:hanging="675"/>
      </w:pPr>
      <w:rPr>
        <w:rFonts w:hint="default"/>
        <w:lang w:val="en-GB" w:eastAsia="en-US" w:bidi="ar-SA"/>
      </w:rPr>
    </w:lvl>
    <w:lvl w:ilvl="8" w:tplc="181431FC">
      <w:numFmt w:val="bullet"/>
      <w:lvlText w:val="•"/>
      <w:lvlJc w:val="left"/>
      <w:pPr>
        <w:ind w:left="7885" w:hanging="675"/>
      </w:pPr>
      <w:rPr>
        <w:rFonts w:hint="default"/>
        <w:lang w:val="en-GB" w:eastAsia="en-US" w:bidi="ar-SA"/>
      </w:rPr>
    </w:lvl>
  </w:abstractNum>
  <w:abstractNum w:abstractNumId="100">
    <w:nsid w:val="42BC666D"/>
    <w:multiLevelType w:val="hybridMultilevel"/>
    <w:tmpl w:val="83C47470"/>
    <w:lvl w:ilvl="0" w:tplc="85462D64">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BEF43FAE">
      <w:numFmt w:val="bullet"/>
      <w:lvlText w:val="•"/>
      <w:lvlJc w:val="left"/>
      <w:pPr>
        <w:ind w:left="1085" w:hanging="360"/>
      </w:pPr>
      <w:rPr>
        <w:rFonts w:hint="default"/>
        <w:lang w:val="en-GB" w:eastAsia="en-US" w:bidi="ar-SA"/>
      </w:rPr>
    </w:lvl>
    <w:lvl w:ilvl="2" w:tplc="63042974">
      <w:numFmt w:val="bullet"/>
      <w:lvlText w:val="•"/>
      <w:lvlJc w:val="left"/>
      <w:pPr>
        <w:ind w:left="1711" w:hanging="360"/>
      </w:pPr>
      <w:rPr>
        <w:rFonts w:hint="default"/>
        <w:lang w:val="en-GB" w:eastAsia="en-US" w:bidi="ar-SA"/>
      </w:rPr>
    </w:lvl>
    <w:lvl w:ilvl="3" w:tplc="979E1652">
      <w:numFmt w:val="bullet"/>
      <w:lvlText w:val="•"/>
      <w:lvlJc w:val="left"/>
      <w:pPr>
        <w:ind w:left="2336" w:hanging="360"/>
      </w:pPr>
      <w:rPr>
        <w:rFonts w:hint="default"/>
        <w:lang w:val="en-GB" w:eastAsia="en-US" w:bidi="ar-SA"/>
      </w:rPr>
    </w:lvl>
    <w:lvl w:ilvl="4" w:tplc="BB6A7FB4">
      <w:numFmt w:val="bullet"/>
      <w:lvlText w:val="•"/>
      <w:lvlJc w:val="left"/>
      <w:pPr>
        <w:ind w:left="2962" w:hanging="360"/>
      </w:pPr>
      <w:rPr>
        <w:rFonts w:hint="default"/>
        <w:lang w:val="en-GB" w:eastAsia="en-US" w:bidi="ar-SA"/>
      </w:rPr>
    </w:lvl>
    <w:lvl w:ilvl="5" w:tplc="7E76DAD0">
      <w:numFmt w:val="bullet"/>
      <w:lvlText w:val="•"/>
      <w:lvlJc w:val="left"/>
      <w:pPr>
        <w:ind w:left="3588" w:hanging="360"/>
      </w:pPr>
      <w:rPr>
        <w:rFonts w:hint="default"/>
        <w:lang w:val="en-GB" w:eastAsia="en-US" w:bidi="ar-SA"/>
      </w:rPr>
    </w:lvl>
    <w:lvl w:ilvl="6" w:tplc="F45032B6">
      <w:numFmt w:val="bullet"/>
      <w:lvlText w:val="•"/>
      <w:lvlJc w:val="left"/>
      <w:pPr>
        <w:ind w:left="4213" w:hanging="360"/>
      </w:pPr>
      <w:rPr>
        <w:rFonts w:hint="default"/>
        <w:lang w:val="en-GB" w:eastAsia="en-US" w:bidi="ar-SA"/>
      </w:rPr>
    </w:lvl>
    <w:lvl w:ilvl="7" w:tplc="D756BE0C">
      <w:numFmt w:val="bullet"/>
      <w:lvlText w:val="•"/>
      <w:lvlJc w:val="left"/>
      <w:pPr>
        <w:ind w:left="4839" w:hanging="360"/>
      </w:pPr>
      <w:rPr>
        <w:rFonts w:hint="default"/>
        <w:lang w:val="en-GB" w:eastAsia="en-US" w:bidi="ar-SA"/>
      </w:rPr>
    </w:lvl>
    <w:lvl w:ilvl="8" w:tplc="632E4F82">
      <w:numFmt w:val="bullet"/>
      <w:lvlText w:val="•"/>
      <w:lvlJc w:val="left"/>
      <w:pPr>
        <w:ind w:left="5464" w:hanging="360"/>
      </w:pPr>
      <w:rPr>
        <w:rFonts w:hint="default"/>
        <w:lang w:val="en-GB" w:eastAsia="en-US" w:bidi="ar-SA"/>
      </w:rPr>
    </w:lvl>
  </w:abstractNum>
  <w:abstractNum w:abstractNumId="101">
    <w:nsid w:val="43B77B13"/>
    <w:multiLevelType w:val="hybridMultilevel"/>
    <w:tmpl w:val="AFB67976"/>
    <w:lvl w:ilvl="0" w:tplc="0F347C0C">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3E6034C0">
      <w:numFmt w:val="bullet"/>
      <w:lvlText w:val="•"/>
      <w:lvlJc w:val="left"/>
      <w:pPr>
        <w:ind w:left="1445" w:hanging="361"/>
      </w:pPr>
      <w:rPr>
        <w:rFonts w:hint="default"/>
        <w:lang w:val="en-GB" w:eastAsia="en-US" w:bidi="ar-SA"/>
      </w:rPr>
    </w:lvl>
    <w:lvl w:ilvl="2" w:tplc="03D09B90">
      <w:numFmt w:val="bullet"/>
      <w:lvlText w:val="•"/>
      <w:lvlJc w:val="left"/>
      <w:pPr>
        <w:ind w:left="2071" w:hanging="361"/>
      </w:pPr>
      <w:rPr>
        <w:rFonts w:hint="default"/>
        <w:lang w:val="en-GB" w:eastAsia="en-US" w:bidi="ar-SA"/>
      </w:rPr>
    </w:lvl>
    <w:lvl w:ilvl="3" w:tplc="4ED4A894">
      <w:numFmt w:val="bullet"/>
      <w:lvlText w:val="•"/>
      <w:lvlJc w:val="left"/>
      <w:pPr>
        <w:ind w:left="2697" w:hanging="361"/>
      </w:pPr>
      <w:rPr>
        <w:rFonts w:hint="default"/>
        <w:lang w:val="en-GB" w:eastAsia="en-US" w:bidi="ar-SA"/>
      </w:rPr>
    </w:lvl>
    <w:lvl w:ilvl="4" w:tplc="DD6AE168">
      <w:numFmt w:val="bullet"/>
      <w:lvlText w:val="•"/>
      <w:lvlJc w:val="left"/>
      <w:pPr>
        <w:ind w:left="3323" w:hanging="361"/>
      </w:pPr>
      <w:rPr>
        <w:rFonts w:hint="default"/>
        <w:lang w:val="en-GB" w:eastAsia="en-US" w:bidi="ar-SA"/>
      </w:rPr>
    </w:lvl>
    <w:lvl w:ilvl="5" w:tplc="F2229B52">
      <w:numFmt w:val="bullet"/>
      <w:lvlText w:val="•"/>
      <w:lvlJc w:val="left"/>
      <w:pPr>
        <w:ind w:left="3949" w:hanging="361"/>
      </w:pPr>
      <w:rPr>
        <w:rFonts w:hint="default"/>
        <w:lang w:val="en-GB" w:eastAsia="en-US" w:bidi="ar-SA"/>
      </w:rPr>
    </w:lvl>
    <w:lvl w:ilvl="6" w:tplc="0ABE67D4">
      <w:numFmt w:val="bullet"/>
      <w:lvlText w:val="•"/>
      <w:lvlJc w:val="left"/>
      <w:pPr>
        <w:ind w:left="4575" w:hanging="361"/>
      </w:pPr>
      <w:rPr>
        <w:rFonts w:hint="default"/>
        <w:lang w:val="en-GB" w:eastAsia="en-US" w:bidi="ar-SA"/>
      </w:rPr>
    </w:lvl>
    <w:lvl w:ilvl="7" w:tplc="C628890A">
      <w:numFmt w:val="bullet"/>
      <w:lvlText w:val="•"/>
      <w:lvlJc w:val="left"/>
      <w:pPr>
        <w:ind w:left="5201" w:hanging="361"/>
      </w:pPr>
      <w:rPr>
        <w:rFonts w:hint="default"/>
        <w:lang w:val="en-GB" w:eastAsia="en-US" w:bidi="ar-SA"/>
      </w:rPr>
    </w:lvl>
    <w:lvl w:ilvl="8" w:tplc="E608552C">
      <w:numFmt w:val="bullet"/>
      <w:lvlText w:val="•"/>
      <w:lvlJc w:val="left"/>
      <w:pPr>
        <w:ind w:left="5827" w:hanging="361"/>
      </w:pPr>
      <w:rPr>
        <w:rFonts w:hint="default"/>
        <w:lang w:val="en-GB" w:eastAsia="en-US" w:bidi="ar-SA"/>
      </w:rPr>
    </w:lvl>
  </w:abstractNum>
  <w:abstractNum w:abstractNumId="102">
    <w:nsid w:val="44175E08"/>
    <w:multiLevelType w:val="hybridMultilevel"/>
    <w:tmpl w:val="3348BCDA"/>
    <w:lvl w:ilvl="0" w:tplc="B20AA69A">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021643AE">
      <w:numFmt w:val="bullet"/>
      <w:lvlText w:val="•"/>
      <w:lvlJc w:val="left"/>
      <w:pPr>
        <w:ind w:left="1431" w:hanging="360"/>
      </w:pPr>
      <w:rPr>
        <w:rFonts w:hint="default"/>
        <w:lang w:val="en-GB" w:eastAsia="en-US" w:bidi="ar-SA"/>
      </w:rPr>
    </w:lvl>
    <w:lvl w:ilvl="2" w:tplc="ED9E4D9E">
      <w:numFmt w:val="bullet"/>
      <w:lvlText w:val="•"/>
      <w:lvlJc w:val="left"/>
      <w:pPr>
        <w:ind w:left="2043" w:hanging="360"/>
      </w:pPr>
      <w:rPr>
        <w:rFonts w:hint="default"/>
        <w:lang w:val="en-GB" w:eastAsia="en-US" w:bidi="ar-SA"/>
      </w:rPr>
    </w:lvl>
    <w:lvl w:ilvl="3" w:tplc="F8100DC0">
      <w:numFmt w:val="bullet"/>
      <w:lvlText w:val="•"/>
      <w:lvlJc w:val="left"/>
      <w:pPr>
        <w:ind w:left="2654" w:hanging="360"/>
      </w:pPr>
      <w:rPr>
        <w:rFonts w:hint="default"/>
        <w:lang w:val="en-GB" w:eastAsia="en-US" w:bidi="ar-SA"/>
      </w:rPr>
    </w:lvl>
    <w:lvl w:ilvl="4" w:tplc="F0B852D0">
      <w:numFmt w:val="bullet"/>
      <w:lvlText w:val="•"/>
      <w:lvlJc w:val="left"/>
      <w:pPr>
        <w:ind w:left="3266" w:hanging="360"/>
      </w:pPr>
      <w:rPr>
        <w:rFonts w:hint="default"/>
        <w:lang w:val="en-GB" w:eastAsia="en-US" w:bidi="ar-SA"/>
      </w:rPr>
    </w:lvl>
    <w:lvl w:ilvl="5" w:tplc="8E8E57F0">
      <w:numFmt w:val="bullet"/>
      <w:lvlText w:val="•"/>
      <w:lvlJc w:val="left"/>
      <w:pPr>
        <w:ind w:left="3878" w:hanging="360"/>
      </w:pPr>
      <w:rPr>
        <w:rFonts w:hint="default"/>
        <w:lang w:val="en-GB" w:eastAsia="en-US" w:bidi="ar-SA"/>
      </w:rPr>
    </w:lvl>
    <w:lvl w:ilvl="6" w:tplc="0F8A97AA">
      <w:numFmt w:val="bullet"/>
      <w:lvlText w:val="•"/>
      <w:lvlJc w:val="left"/>
      <w:pPr>
        <w:ind w:left="4489" w:hanging="360"/>
      </w:pPr>
      <w:rPr>
        <w:rFonts w:hint="default"/>
        <w:lang w:val="en-GB" w:eastAsia="en-US" w:bidi="ar-SA"/>
      </w:rPr>
    </w:lvl>
    <w:lvl w:ilvl="7" w:tplc="F15AD176">
      <w:numFmt w:val="bullet"/>
      <w:lvlText w:val="•"/>
      <w:lvlJc w:val="left"/>
      <w:pPr>
        <w:ind w:left="5101" w:hanging="360"/>
      </w:pPr>
      <w:rPr>
        <w:rFonts w:hint="default"/>
        <w:lang w:val="en-GB" w:eastAsia="en-US" w:bidi="ar-SA"/>
      </w:rPr>
    </w:lvl>
    <w:lvl w:ilvl="8" w:tplc="1EF4C596">
      <w:numFmt w:val="bullet"/>
      <w:lvlText w:val="•"/>
      <w:lvlJc w:val="left"/>
      <w:pPr>
        <w:ind w:left="5712" w:hanging="360"/>
      </w:pPr>
      <w:rPr>
        <w:rFonts w:hint="default"/>
        <w:lang w:val="en-GB" w:eastAsia="en-US" w:bidi="ar-SA"/>
      </w:rPr>
    </w:lvl>
  </w:abstractNum>
  <w:abstractNum w:abstractNumId="103">
    <w:nsid w:val="44937570"/>
    <w:multiLevelType w:val="hybridMultilevel"/>
    <w:tmpl w:val="1730FD96"/>
    <w:lvl w:ilvl="0" w:tplc="2E049500">
      <w:start w:val="3"/>
      <w:numFmt w:val="decimal"/>
      <w:lvlText w:val="%1"/>
      <w:lvlJc w:val="left"/>
      <w:pPr>
        <w:ind w:left="120" w:hanging="152"/>
        <w:jc w:val="left"/>
      </w:pPr>
      <w:rPr>
        <w:rFonts w:ascii="Arial" w:eastAsia="Arial" w:hAnsi="Arial" w:cs="Arial" w:hint="default"/>
        <w:b w:val="0"/>
        <w:bCs w:val="0"/>
        <w:i/>
        <w:iCs/>
        <w:w w:val="100"/>
        <w:sz w:val="18"/>
        <w:szCs w:val="18"/>
        <w:lang w:val="en-GB" w:eastAsia="en-US" w:bidi="ar-SA"/>
      </w:rPr>
    </w:lvl>
    <w:lvl w:ilvl="1" w:tplc="C4F21582">
      <w:numFmt w:val="bullet"/>
      <w:lvlText w:val="•"/>
      <w:lvlJc w:val="left"/>
      <w:pPr>
        <w:ind w:left="1549" w:hanging="152"/>
      </w:pPr>
      <w:rPr>
        <w:rFonts w:hint="default"/>
        <w:lang w:val="en-GB" w:eastAsia="en-US" w:bidi="ar-SA"/>
      </w:rPr>
    </w:lvl>
    <w:lvl w:ilvl="2" w:tplc="989050E2">
      <w:numFmt w:val="bullet"/>
      <w:lvlText w:val="•"/>
      <w:lvlJc w:val="left"/>
      <w:pPr>
        <w:ind w:left="2979" w:hanging="152"/>
      </w:pPr>
      <w:rPr>
        <w:rFonts w:hint="default"/>
        <w:lang w:val="en-GB" w:eastAsia="en-US" w:bidi="ar-SA"/>
      </w:rPr>
    </w:lvl>
    <w:lvl w:ilvl="3" w:tplc="72D0145A">
      <w:numFmt w:val="bullet"/>
      <w:lvlText w:val="•"/>
      <w:lvlJc w:val="left"/>
      <w:pPr>
        <w:ind w:left="4409" w:hanging="152"/>
      </w:pPr>
      <w:rPr>
        <w:rFonts w:hint="default"/>
        <w:lang w:val="en-GB" w:eastAsia="en-US" w:bidi="ar-SA"/>
      </w:rPr>
    </w:lvl>
    <w:lvl w:ilvl="4" w:tplc="27BA6ED4">
      <w:numFmt w:val="bullet"/>
      <w:lvlText w:val="•"/>
      <w:lvlJc w:val="left"/>
      <w:pPr>
        <w:ind w:left="5839" w:hanging="152"/>
      </w:pPr>
      <w:rPr>
        <w:rFonts w:hint="default"/>
        <w:lang w:val="en-GB" w:eastAsia="en-US" w:bidi="ar-SA"/>
      </w:rPr>
    </w:lvl>
    <w:lvl w:ilvl="5" w:tplc="40F6AAA4">
      <w:numFmt w:val="bullet"/>
      <w:lvlText w:val="•"/>
      <w:lvlJc w:val="left"/>
      <w:pPr>
        <w:ind w:left="7269" w:hanging="152"/>
      </w:pPr>
      <w:rPr>
        <w:rFonts w:hint="default"/>
        <w:lang w:val="en-GB" w:eastAsia="en-US" w:bidi="ar-SA"/>
      </w:rPr>
    </w:lvl>
    <w:lvl w:ilvl="6" w:tplc="E06C2920">
      <w:numFmt w:val="bullet"/>
      <w:lvlText w:val="•"/>
      <w:lvlJc w:val="left"/>
      <w:pPr>
        <w:ind w:left="8699" w:hanging="152"/>
      </w:pPr>
      <w:rPr>
        <w:rFonts w:hint="default"/>
        <w:lang w:val="en-GB" w:eastAsia="en-US" w:bidi="ar-SA"/>
      </w:rPr>
    </w:lvl>
    <w:lvl w:ilvl="7" w:tplc="03402446">
      <w:numFmt w:val="bullet"/>
      <w:lvlText w:val="•"/>
      <w:lvlJc w:val="left"/>
      <w:pPr>
        <w:ind w:left="10128" w:hanging="152"/>
      </w:pPr>
      <w:rPr>
        <w:rFonts w:hint="default"/>
        <w:lang w:val="en-GB" w:eastAsia="en-US" w:bidi="ar-SA"/>
      </w:rPr>
    </w:lvl>
    <w:lvl w:ilvl="8" w:tplc="194E392A">
      <w:numFmt w:val="bullet"/>
      <w:lvlText w:val="•"/>
      <w:lvlJc w:val="left"/>
      <w:pPr>
        <w:ind w:left="11558" w:hanging="152"/>
      </w:pPr>
      <w:rPr>
        <w:rFonts w:hint="default"/>
        <w:lang w:val="en-GB" w:eastAsia="en-US" w:bidi="ar-SA"/>
      </w:rPr>
    </w:lvl>
  </w:abstractNum>
  <w:abstractNum w:abstractNumId="104">
    <w:nsid w:val="44A94DE8"/>
    <w:multiLevelType w:val="hybridMultilevel"/>
    <w:tmpl w:val="2570B7AC"/>
    <w:lvl w:ilvl="0" w:tplc="C7A8FEF6">
      <w:start w:val="1"/>
      <w:numFmt w:val="decimal"/>
      <w:lvlText w:val="%1."/>
      <w:lvlJc w:val="left"/>
      <w:pPr>
        <w:ind w:left="106" w:hanging="221"/>
        <w:jc w:val="left"/>
      </w:pPr>
      <w:rPr>
        <w:rFonts w:ascii="Arial" w:eastAsia="Arial" w:hAnsi="Arial" w:cs="Arial" w:hint="default"/>
        <w:b w:val="0"/>
        <w:bCs w:val="0"/>
        <w:i w:val="0"/>
        <w:iCs w:val="0"/>
        <w:spacing w:val="-1"/>
        <w:w w:val="99"/>
        <w:sz w:val="20"/>
        <w:szCs w:val="20"/>
        <w:lang w:val="en-GB" w:eastAsia="en-US" w:bidi="ar-SA"/>
      </w:rPr>
    </w:lvl>
    <w:lvl w:ilvl="1" w:tplc="BE9E3B32">
      <w:numFmt w:val="bullet"/>
      <w:lvlText w:val="•"/>
      <w:lvlJc w:val="left"/>
      <w:pPr>
        <w:ind w:left="409" w:hanging="221"/>
      </w:pPr>
      <w:rPr>
        <w:rFonts w:hint="default"/>
        <w:lang w:val="en-GB" w:eastAsia="en-US" w:bidi="ar-SA"/>
      </w:rPr>
    </w:lvl>
    <w:lvl w:ilvl="2" w:tplc="3B5A6214">
      <w:numFmt w:val="bullet"/>
      <w:lvlText w:val="•"/>
      <w:lvlJc w:val="left"/>
      <w:pPr>
        <w:ind w:left="718" w:hanging="221"/>
      </w:pPr>
      <w:rPr>
        <w:rFonts w:hint="default"/>
        <w:lang w:val="en-GB" w:eastAsia="en-US" w:bidi="ar-SA"/>
      </w:rPr>
    </w:lvl>
    <w:lvl w:ilvl="3" w:tplc="1FC89D0E">
      <w:numFmt w:val="bullet"/>
      <w:lvlText w:val="•"/>
      <w:lvlJc w:val="left"/>
      <w:pPr>
        <w:ind w:left="1027" w:hanging="221"/>
      </w:pPr>
      <w:rPr>
        <w:rFonts w:hint="default"/>
        <w:lang w:val="en-GB" w:eastAsia="en-US" w:bidi="ar-SA"/>
      </w:rPr>
    </w:lvl>
    <w:lvl w:ilvl="4" w:tplc="98F09A3C">
      <w:numFmt w:val="bullet"/>
      <w:lvlText w:val="•"/>
      <w:lvlJc w:val="left"/>
      <w:pPr>
        <w:ind w:left="1337" w:hanging="221"/>
      </w:pPr>
      <w:rPr>
        <w:rFonts w:hint="default"/>
        <w:lang w:val="en-GB" w:eastAsia="en-US" w:bidi="ar-SA"/>
      </w:rPr>
    </w:lvl>
    <w:lvl w:ilvl="5" w:tplc="726E47DC">
      <w:numFmt w:val="bullet"/>
      <w:lvlText w:val="•"/>
      <w:lvlJc w:val="left"/>
      <w:pPr>
        <w:ind w:left="1646" w:hanging="221"/>
      </w:pPr>
      <w:rPr>
        <w:rFonts w:hint="default"/>
        <w:lang w:val="en-GB" w:eastAsia="en-US" w:bidi="ar-SA"/>
      </w:rPr>
    </w:lvl>
    <w:lvl w:ilvl="6" w:tplc="516E7AAE">
      <w:numFmt w:val="bullet"/>
      <w:lvlText w:val="•"/>
      <w:lvlJc w:val="left"/>
      <w:pPr>
        <w:ind w:left="1955" w:hanging="221"/>
      </w:pPr>
      <w:rPr>
        <w:rFonts w:hint="default"/>
        <w:lang w:val="en-GB" w:eastAsia="en-US" w:bidi="ar-SA"/>
      </w:rPr>
    </w:lvl>
    <w:lvl w:ilvl="7" w:tplc="001A5CA2">
      <w:numFmt w:val="bullet"/>
      <w:lvlText w:val="•"/>
      <w:lvlJc w:val="left"/>
      <w:pPr>
        <w:ind w:left="2265" w:hanging="221"/>
      </w:pPr>
      <w:rPr>
        <w:rFonts w:hint="default"/>
        <w:lang w:val="en-GB" w:eastAsia="en-US" w:bidi="ar-SA"/>
      </w:rPr>
    </w:lvl>
    <w:lvl w:ilvl="8" w:tplc="3274F75A">
      <w:numFmt w:val="bullet"/>
      <w:lvlText w:val="•"/>
      <w:lvlJc w:val="left"/>
      <w:pPr>
        <w:ind w:left="2574" w:hanging="221"/>
      </w:pPr>
      <w:rPr>
        <w:rFonts w:hint="default"/>
        <w:lang w:val="en-GB" w:eastAsia="en-US" w:bidi="ar-SA"/>
      </w:rPr>
    </w:lvl>
  </w:abstractNum>
  <w:abstractNum w:abstractNumId="105">
    <w:nsid w:val="454C45AB"/>
    <w:multiLevelType w:val="hybridMultilevel"/>
    <w:tmpl w:val="F5D45DD2"/>
    <w:lvl w:ilvl="0" w:tplc="A9A24682">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43C2F676">
      <w:numFmt w:val="bullet"/>
      <w:lvlText w:val="•"/>
      <w:lvlJc w:val="left"/>
      <w:pPr>
        <w:ind w:left="1486" w:hanging="430"/>
      </w:pPr>
      <w:rPr>
        <w:rFonts w:hint="default"/>
        <w:lang w:val="en-GB" w:eastAsia="en-US" w:bidi="ar-SA"/>
      </w:rPr>
    </w:lvl>
    <w:lvl w:ilvl="2" w:tplc="96C0DE48">
      <w:numFmt w:val="bullet"/>
      <w:lvlText w:val="•"/>
      <w:lvlJc w:val="left"/>
      <w:pPr>
        <w:ind w:left="2393" w:hanging="430"/>
      </w:pPr>
      <w:rPr>
        <w:rFonts w:hint="default"/>
        <w:lang w:val="en-GB" w:eastAsia="en-US" w:bidi="ar-SA"/>
      </w:rPr>
    </w:lvl>
    <w:lvl w:ilvl="3" w:tplc="08760546">
      <w:numFmt w:val="bullet"/>
      <w:lvlText w:val="•"/>
      <w:lvlJc w:val="left"/>
      <w:pPr>
        <w:ind w:left="3299" w:hanging="430"/>
      </w:pPr>
      <w:rPr>
        <w:rFonts w:hint="default"/>
        <w:lang w:val="en-GB" w:eastAsia="en-US" w:bidi="ar-SA"/>
      </w:rPr>
    </w:lvl>
    <w:lvl w:ilvl="4" w:tplc="94B0CD30">
      <w:numFmt w:val="bullet"/>
      <w:lvlText w:val="•"/>
      <w:lvlJc w:val="left"/>
      <w:pPr>
        <w:ind w:left="4206" w:hanging="430"/>
      </w:pPr>
      <w:rPr>
        <w:rFonts w:hint="default"/>
        <w:lang w:val="en-GB" w:eastAsia="en-US" w:bidi="ar-SA"/>
      </w:rPr>
    </w:lvl>
    <w:lvl w:ilvl="5" w:tplc="69CC0D70">
      <w:numFmt w:val="bullet"/>
      <w:lvlText w:val="•"/>
      <w:lvlJc w:val="left"/>
      <w:pPr>
        <w:ind w:left="5113" w:hanging="430"/>
      </w:pPr>
      <w:rPr>
        <w:rFonts w:hint="default"/>
        <w:lang w:val="en-GB" w:eastAsia="en-US" w:bidi="ar-SA"/>
      </w:rPr>
    </w:lvl>
    <w:lvl w:ilvl="6" w:tplc="D4A435DE">
      <w:numFmt w:val="bullet"/>
      <w:lvlText w:val="•"/>
      <w:lvlJc w:val="left"/>
      <w:pPr>
        <w:ind w:left="6019" w:hanging="430"/>
      </w:pPr>
      <w:rPr>
        <w:rFonts w:hint="default"/>
        <w:lang w:val="en-GB" w:eastAsia="en-US" w:bidi="ar-SA"/>
      </w:rPr>
    </w:lvl>
    <w:lvl w:ilvl="7" w:tplc="DBD86806">
      <w:numFmt w:val="bullet"/>
      <w:lvlText w:val="•"/>
      <w:lvlJc w:val="left"/>
      <w:pPr>
        <w:ind w:left="6926" w:hanging="430"/>
      </w:pPr>
      <w:rPr>
        <w:rFonts w:hint="default"/>
        <w:lang w:val="en-GB" w:eastAsia="en-US" w:bidi="ar-SA"/>
      </w:rPr>
    </w:lvl>
    <w:lvl w:ilvl="8" w:tplc="18C49154">
      <w:numFmt w:val="bullet"/>
      <w:lvlText w:val="•"/>
      <w:lvlJc w:val="left"/>
      <w:pPr>
        <w:ind w:left="7833" w:hanging="430"/>
      </w:pPr>
      <w:rPr>
        <w:rFonts w:hint="default"/>
        <w:lang w:val="en-GB" w:eastAsia="en-US" w:bidi="ar-SA"/>
      </w:rPr>
    </w:lvl>
  </w:abstractNum>
  <w:abstractNum w:abstractNumId="106">
    <w:nsid w:val="45CE22D7"/>
    <w:multiLevelType w:val="hybridMultilevel"/>
    <w:tmpl w:val="A1C48B4A"/>
    <w:lvl w:ilvl="0" w:tplc="3A4E1E3C">
      <w:start w:val="70"/>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2BC0D226">
      <w:numFmt w:val="bullet"/>
      <w:lvlText w:val="•"/>
      <w:lvlJc w:val="left"/>
      <w:pPr>
        <w:ind w:left="1612" w:hanging="552"/>
      </w:pPr>
      <w:rPr>
        <w:rFonts w:hint="default"/>
        <w:lang w:val="en-GB" w:eastAsia="en-US" w:bidi="ar-SA"/>
      </w:rPr>
    </w:lvl>
    <w:lvl w:ilvl="2" w:tplc="A2A4F898">
      <w:numFmt w:val="bullet"/>
      <w:lvlText w:val="•"/>
      <w:lvlJc w:val="left"/>
      <w:pPr>
        <w:ind w:left="2505" w:hanging="552"/>
      </w:pPr>
      <w:rPr>
        <w:rFonts w:hint="default"/>
        <w:lang w:val="en-GB" w:eastAsia="en-US" w:bidi="ar-SA"/>
      </w:rPr>
    </w:lvl>
    <w:lvl w:ilvl="3" w:tplc="7C229A44">
      <w:numFmt w:val="bullet"/>
      <w:lvlText w:val="•"/>
      <w:lvlJc w:val="left"/>
      <w:pPr>
        <w:ind w:left="3397" w:hanging="552"/>
      </w:pPr>
      <w:rPr>
        <w:rFonts w:hint="default"/>
        <w:lang w:val="en-GB" w:eastAsia="en-US" w:bidi="ar-SA"/>
      </w:rPr>
    </w:lvl>
    <w:lvl w:ilvl="4" w:tplc="D1F4FD36">
      <w:numFmt w:val="bullet"/>
      <w:lvlText w:val="•"/>
      <w:lvlJc w:val="left"/>
      <w:pPr>
        <w:ind w:left="4290" w:hanging="552"/>
      </w:pPr>
      <w:rPr>
        <w:rFonts w:hint="default"/>
        <w:lang w:val="en-GB" w:eastAsia="en-US" w:bidi="ar-SA"/>
      </w:rPr>
    </w:lvl>
    <w:lvl w:ilvl="5" w:tplc="AF98FA78">
      <w:numFmt w:val="bullet"/>
      <w:lvlText w:val="•"/>
      <w:lvlJc w:val="left"/>
      <w:pPr>
        <w:ind w:left="5183" w:hanging="552"/>
      </w:pPr>
      <w:rPr>
        <w:rFonts w:hint="default"/>
        <w:lang w:val="en-GB" w:eastAsia="en-US" w:bidi="ar-SA"/>
      </w:rPr>
    </w:lvl>
    <w:lvl w:ilvl="6" w:tplc="5070719A">
      <w:numFmt w:val="bullet"/>
      <w:lvlText w:val="•"/>
      <w:lvlJc w:val="left"/>
      <w:pPr>
        <w:ind w:left="6075" w:hanging="552"/>
      </w:pPr>
      <w:rPr>
        <w:rFonts w:hint="default"/>
        <w:lang w:val="en-GB" w:eastAsia="en-US" w:bidi="ar-SA"/>
      </w:rPr>
    </w:lvl>
    <w:lvl w:ilvl="7" w:tplc="A8A2EF7C">
      <w:numFmt w:val="bullet"/>
      <w:lvlText w:val="•"/>
      <w:lvlJc w:val="left"/>
      <w:pPr>
        <w:ind w:left="6968" w:hanging="552"/>
      </w:pPr>
      <w:rPr>
        <w:rFonts w:hint="default"/>
        <w:lang w:val="en-GB" w:eastAsia="en-US" w:bidi="ar-SA"/>
      </w:rPr>
    </w:lvl>
    <w:lvl w:ilvl="8" w:tplc="FFBEC4D4">
      <w:numFmt w:val="bullet"/>
      <w:lvlText w:val="•"/>
      <w:lvlJc w:val="left"/>
      <w:pPr>
        <w:ind w:left="7861" w:hanging="552"/>
      </w:pPr>
      <w:rPr>
        <w:rFonts w:hint="default"/>
        <w:lang w:val="en-GB" w:eastAsia="en-US" w:bidi="ar-SA"/>
      </w:rPr>
    </w:lvl>
  </w:abstractNum>
  <w:abstractNum w:abstractNumId="107">
    <w:nsid w:val="45D7170A"/>
    <w:multiLevelType w:val="hybridMultilevel"/>
    <w:tmpl w:val="3B36D99C"/>
    <w:lvl w:ilvl="0" w:tplc="F5242F3E">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B0B6E4E2">
      <w:numFmt w:val="bullet"/>
      <w:lvlText w:val="•"/>
      <w:lvlJc w:val="left"/>
      <w:pPr>
        <w:ind w:left="1445" w:hanging="361"/>
      </w:pPr>
      <w:rPr>
        <w:rFonts w:hint="default"/>
        <w:lang w:val="en-GB" w:eastAsia="en-US" w:bidi="ar-SA"/>
      </w:rPr>
    </w:lvl>
    <w:lvl w:ilvl="2" w:tplc="4978CDDE">
      <w:numFmt w:val="bullet"/>
      <w:lvlText w:val="•"/>
      <w:lvlJc w:val="left"/>
      <w:pPr>
        <w:ind w:left="2071" w:hanging="361"/>
      </w:pPr>
      <w:rPr>
        <w:rFonts w:hint="default"/>
        <w:lang w:val="en-GB" w:eastAsia="en-US" w:bidi="ar-SA"/>
      </w:rPr>
    </w:lvl>
    <w:lvl w:ilvl="3" w:tplc="62FE44BC">
      <w:numFmt w:val="bullet"/>
      <w:lvlText w:val="•"/>
      <w:lvlJc w:val="left"/>
      <w:pPr>
        <w:ind w:left="2697" w:hanging="361"/>
      </w:pPr>
      <w:rPr>
        <w:rFonts w:hint="default"/>
        <w:lang w:val="en-GB" w:eastAsia="en-US" w:bidi="ar-SA"/>
      </w:rPr>
    </w:lvl>
    <w:lvl w:ilvl="4" w:tplc="65A2766A">
      <w:numFmt w:val="bullet"/>
      <w:lvlText w:val="•"/>
      <w:lvlJc w:val="left"/>
      <w:pPr>
        <w:ind w:left="3323" w:hanging="361"/>
      </w:pPr>
      <w:rPr>
        <w:rFonts w:hint="default"/>
        <w:lang w:val="en-GB" w:eastAsia="en-US" w:bidi="ar-SA"/>
      </w:rPr>
    </w:lvl>
    <w:lvl w:ilvl="5" w:tplc="3500A556">
      <w:numFmt w:val="bullet"/>
      <w:lvlText w:val="•"/>
      <w:lvlJc w:val="left"/>
      <w:pPr>
        <w:ind w:left="3949" w:hanging="361"/>
      </w:pPr>
      <w:rPr>
        <w:rFonts w:hint="default"/>
        <w:lang w:val="en-GB" w:eastAsia="en-US" w:bidi="ar-SA"/>
      </w:rPr>
    </w:lvl>
    <w:lvl w:ilvl="6" w:tplc="75AEF146">
      <w:numFmt w:val="bullet"/>
      <w:lvlText w:val="•"/>
      <w:lvlJc w:val="left"/>
      <w:pPr>
        <w:ind w:left="4575" w:hanging="361"/>
      </w:pPr>
      <w:rPr>
        <w:rFonts w:hint="default"/>
        <w:lang w:val="en-GB" w:eastAsia="en-US" w:bidi="ar-SA"/>
      </w:rPr>
    </w:lvl>
    <w:lvl w:ilvl="7" w:tplc="C0007906">
      <w:numFmt w:val="bullet"/>
      <w:lvlText w:val="•"/>
      <w:lvlJc w:val="left"/>
      <w:pPr>
        <w:ind w:left="5201" w:hanging="361"/>
      </w:pPr>
      <w:rPr>
        <w:rFonts w:hint="default"/>
        <w:lang w:val="en-GB" w:eastAsia="en-US" w:bidi="ar-SA"/>
      </w:rPr>
    </w:lvl>
    <w:lvl w:ilvl="8" w:tplc="80CC8B50">
      <w:numFmt w:val="bullet"/>
      <w:lvlText w:val="•"/>
      <w:lvlJc w:val="left"/>
      <w:pPr>
        <w:ind w:left="5827" w:hanging="361"/>
      </w:pPr>
      <w:rPr>
        <w:rFonts w:hint="default"/>
        <w:lang w:val="en-GB" w:eastAsia="en-US" w:bidi="ar-SA"/>
      </w:rPr>
    </w:lvl>
  </w:abstractNum>
  <w:abstractNum w:abstractNumId="108">
    <w:nsid w:val="45F15F6D"/>
    <w:multiLevelType w:val="hybridMultilevel"/>
    <w:tmpl w:val="4CE0A224"/>
    <w:lvl w:ilvl="0" w:tplc="ED02EEF6">
      <w:start w:val="128"/>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1D42F748">
      <w:numFmt w:val="bullet"/>
      <w:lvlText w:val="•"/>
      <w:lvlJc w:val="left"/>
      <w:pPr>
        <w:ind w:left="1720" w:hanging="675"/>
      </w:pPr>
      <w:rPr>
        <w:rFonts w:hint="default"/>
        <w:lang w:val="en-GB" w:eastAsia="en-US" w:bidi="ar-SA"/>
      </w:rPr>
    </w:lvl>
    <w:lvl w:ilvl="2" w:tplc="0D001530">
      <w:numFmt w:val="bullet"/>
      <w:lvlText w:val="•"/>
      <w:lvlJc w:val="left"/>
      <w:pPr>
        <w:ind w:left="2601" w:hanging="675"/>
      </w:pPr>
      <w:rPr>
        <w:rFonts w:hint="default"/>
        <w:lang w:val="en-GB" w:eastAsia="en-US" w:bidi="ar-SA"/>
      </w:rPr>
    </w:lvl>
    <w:lvl w:ilvl="3" w:tplc="4558C526">
      <w:numFmt w:val="bullet"/>
      <w:lvlText w:val="•"/>
      <w:lvlJc w:val="left"/>
      <w:pPr>
        <w:ind w:left="3481" w:hanging="675"/>
      </w:pPr>
      <w:rPr>
        <w:rFonts w:hint="default"/>
        <w:lang w:val="en-GB" w:eastAsia="en-US" w:bidi="ar-SA"/>
      </w:rPr>
    </w:lvl>
    <w:lvl w:ilvl="4" w:tplc="CA36F790">
      <w:numFmt w:val="bullet"/>
      <w:lvlText w:val="•"/>
      <w:lvlJc w:val="left"/>
      <w:pPr>
        <w:ind w:left="4362" w:hanging="675"/>
      </w:pPr>
      <w:rPr>
        <w:rFonts w:hint="default"/>
        <w:lang w:val="en-GB" w:eastAsia="en-US" w:bidi="ar-SA"/>
      </w:rPr>
    </w:lvl>
    <w:lvl w:ilvl="5" w:tplc="1A1E4E7C">
      <w:numFmt w:val="bullet"/>
      <w:lvlText w:val="•"/>
      <w:lvlJc w:val="left"/>
      <w:pPr>
        <w:ind w:left="5243" w:hanging="675"/>
      </w:pPr>
      <w:rPr>
        <w:rFonts w:hint="default"/>
        <w:lang w:val="en-GB" w:eastAsia="en-US" w:bidi="ar-SA"/>
      </w:rPr>
    </w:lvl>
    <w:lvl w:ilvl="6" w:tplc="817289A6">
      <w:numFmt w:val="bullet"/>
      <w:lvlText w:val="•"/>
      <w:lvlJc w:val="left"/>
      <w:pPr>
        <w:ind w:left="6123" w:hanging="675"/>
      </w:pPr>
      <w:rPr>
        <w:rFonts w:hint="default"/>
        <w:lang w:val="en-GB" w:eastAsia="en-US" w:bidi="ar-SA"/>
      </w:rPr>
    </w:lvl>
    <w:lvl w:ilvl="7" w:tplc="49744A50">
      <w:numFmt w:val="bullet"/>
      <w:lvlText w:val="•"/>
      <w:lvlJc w:val="left"/>
      <w:pPr>
        <w:ind w:left="7004" w:hanging="675"/>
      </w:pPr>
      <w:rPr>
        <w:rFonts w:hint="default"/>
        <w:lang w:val="en-GB" w:eastAsia="en-US" w:bidi="ar-SA"/>
      </w:rPr>
    </w:lvl>
    <w:lvl w:ilvl="8" w:tplc="437EAC86">
      <w:numFmt w:val="bullet"/>
      <w:lvlText w:val="•"/>
      <w:lvlJc w:val="left"/>
      <w:pPr>
        <w:ind w:left="7885" w:hanging="675"/>
      </w:pPr>
      <w:rPr>
        <w:rFonts w:hint="default"/>
        <w:lang w:val="en-GB" w:eastAsia="en-US" w:bidi="ar-SA"/>
      </w:rPr>
    </w:lvl>
  </w:abstractNum>
  <w:abstractNum w:abstractNumId="109">
    <w:nsid w:val="486D394D"/>
    <w:multiLevelType w:val="hybridMultilevel"/>
    <w:tmpl w:val="FC56F358"/>
    <w:lvl w:ilvl="0" w:tplc="F7C00150">
      <w:start w:val="6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C1F09976">
      <w:numFmt w:val="bullet"/>
      <w:lvlText w:val="•"/>
      <w:lvlJc w:val="left"/>
      <w:pPr>
        <w:ind w:left="1612" w:hanging="552"/>
      </w:pPr>
      <w:rPr>
        <w:rFonts w:hint="default"/>
        <w:lang w:val="en-GB" w:eastAsia="en-US" w:bidi="ar-SA"/>
      </w:rPr>
    </w:lvl>
    <w:lvl w:ilvl="2" w:tplc="C7E29C10">
      <w:numFmt w:val="bullet"/>
      <w:lvlText w:val="•"/>
      <w:lvlJc w:val="left"/>
      <w:pPr>
        <w:ind w:left="2505" w:hanging="552"/>
      </w:pPr>
      <w:rPr>
        <w:rFonts w:hint="default"/>
        <w:lang w:val="en-GB" w:eastAsia="en-US" w:bidi="ar-SA"/>
      </w:rPr>
    </w:lvl>
    <w:lvl w:ilvl="3" w:tplc="95F8AF7C">
      <w:numFmt w:val="bullet"/>
      <w:lvlText w:val="•"/>
      <w:lvlJc w:val="left"/>
      <w:pPr>
        <w:ind w:left="3397" w:hanging="552"/>
      </w:pPr>
      <w:rPr>
        <w:rFonts w:hint="default"/>
        <w:lang w:val="en-GB" w:eastAsia="en-US" w:bidi="ar-SA"/>
      </w:rPr>
    </w:lvl>
    <w:lvl w:ilvl="4" w:tplc="ACF4A7D6">
      <w:numFmt w:val="bullet"/>
      <w:lvlText w:val="•"/>
      <w:lvlJc w:val="left"/>
      <w:pPr>
        <w:ind w:left="4290" w:hanging="552"/>
      </w:pPr>
      <w:rPr>
        <w:rFonts w:hint="default"/>
        <w:lang w:val="en-GB" w:eastAsia="en-US" w:bidi="ar-SA"/>
      </w:rPr>
    </w:lvl>
    <w:lvl w:ilvl="5" w:tplc="33F80EF8">
      <w:numFmt w:val="bullet"/>
      <w:lvlText w:val="•"/>
      <w:lvlJc w:val="left"/>
      <w:pPr>
        <w:ind w:left="5183" w:hanging="552"/>
      </w:pPr>
      <w:rPr>
        <w:rFonts w:hint="default"/>
        <w:lang w:val="en-GB" w:eastAsia="en-US" w:bidi="ar-SA"/>
      </w:rPr>
    </w:lvl>
    <w:lvl w:ilvl="6" w:tplc="853E09CC">
      <w:numFmt w:val="bullet"/>
      <w:lvlText w:val="•"/>
      <w:lvlJc w:val="left"/>
      <w:pPr>
        <w:ind w:left="6075" w:hanging="552"/>
      </w:pPr>
      <w:rPr>
        <w:rFonts w:hint="default"/>
        <w:lang w:val="en-GB" w:eastAsia="en-US" w:bidi="ar-SA"/>
      </w:rPr>
    </w:lvl>
    <w:lvl w:ilvl="7" w:tplc="1D1C1F36">
      <w:numFmt w:val="bullet"/>
      <w:lvlText w:val="•"/>
      <w:lvlJc w:val="left"/>
      <w:pPr>
        <w:ind w:left="6968" w:hanging="552"/>
      </w:pPr>
      <w:rPr>
        <w:rFonts w:hint="default"/>
        <w:lang w:val="en-GB" w:eastAsia="en-US" w:bidi="ar-SA"/>
      </w:rPr>
    </w:lvl>
    <w:lvl w:ilvl="8" w:tplc="E1921C60">
      <w:numFmt w:val="bullet"/>
      <w:lvlText w:val="•"/>
      <w:lvlJc w:val="left"/>
      <w:pPr>
        <w:ind w:left="7861" w:hanging="552"/>
      </w:pPr>
      <w:rPr>
        <w:rFonts w:hint="default"/>
        <w:lang w:val="en-GB" w:eastAsia="en-US" w:bidi="ar-SA"/>
      </w:rPr>
    </w:lvl>
  </w:abstractNum>
  <w:abstractNum w:abstractNumId="110">
    <w:nsid w:val="48D27674"/>
    <w:multiLevelType w:val="hybridMultilevel"/>
    <w:tmpl w:val="061239C8"/>
    <w:lvl w:ilvl="0" w:tplc="2A5EA13C">
      <w:start w:val="43"/>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05AAB3AA">
      <w:numFmt w:val="bullet"/>
      <w:lvlText w:val="•"/>
      <w:lvlJc w:val="left"/>
      <w:pPr>
        <w:ind w:left="1612" w:hanging="552"/>
      </w:pPr>
      <w:rPr>
        <w:rFonts w:hint="default"/>
        <w:lang w:val="en-GB" w:eastAsia="en-US" w:bidi="ar-SA"/>
      </w:rPr>
    </w:lvl>
    <w:lvl w:ilvl="2" w:tplc="37088710">
      <w:numFmt w:val="bullet"/>
      <w:lvlText w:val="•"/>
      <w:lvlJc w:val="left"/>
      <w:pPr>
        <w:ind w:left="2505" w:hanging="552"/>
      </w:pPr>
      <w:rPr>
        <w:rFonts w:hint="default"/>
        <w:lang w:val="en-GB" w:eastAsia="en-US" w:bidi="ar-SA"/>
      </w:rPr>
    </w:lvl>
    <w:lvl w:ilvl="3" w:tplc="05A842C0">
      <w:numFmt w:val="bullet"/>
      <w:lvlText w:val="•"/>
      <w:lvlJc w:val="left"/>
      <w:pPr>
        <w:ind w:left="3397" w:hanging="552"/>
      </w:pPr>
      <w:rPr>
        <w:rFonts w:hint="default"/>
        <w:lang w:val="en-GB" w:eastAsia="en-US" w:bidi="ar-SA"/>
      </w:rPr>
    </w:lvl>
    <w:lvl w:ilvl="4" w:tplc="43A0AF94">
      <w:numFmt w:val="bullet"/>
      <w:lvlText w:val="•"/>
      <w:lvlJc w:val="left"/>
      <w:pPr>
        <w:ind w:left="4290" w:hanging="552"/>
      </w:pPr>
      <w:rPr>
        <w:rFonts w:hint="default"/>
        <w:lang w:val="en-GB" w:eastAsia="en-US" w:bidi="ar-SA"/>
      </w:rPr>
    </w:lvl>
    <w:lvl w:ilvl="5" w:tplc="4E0E05E6">
      <w:numFmt w:val="bullet"/>
      <w:lvlText w:val="•"/>
      <w:lvlJc w:val="left"/>
      <w:pPr>
        <w:ind w:left="5183" w:hanging="552"/>
      </w:pPr>
      <w:rPr>
        <w:rFonts w:hint="default"/>
        <w:lang w:val="en-GB" w:eastAsia="en-US" w:bidi="ar-SA"/>
      </w:rPr>
    </w:lvl>
    <w:lvl w:ilvl="6" w:tplc="BE4AAFD4">
      <w:numFmt w:val="bullet"/>
      <w:lvlText w:val="•"/>
      <w:lvlJc w:val="left"/>
      <w:pPr>
        <w:ind w:left="6075" w:hanging="552"/>
      </w:pPr>
      <w:rPr>
        <w:rFonts w:hint="default"/>
        <w:lang w:val="en-GB" w:eastAsia="en-US" w:bidi="ar-SA"/>
      </w:rPr>
    </w:lvl>
    <w:lvl w:ilvl="7" w:tplc="0472CDE6">
      <w:numFmt w:val="bullet"/>
      <w:lvlText w:val="•"/>
      <w:lvlJc w:val="left"/>
      <w:pPr>
        <w:ind w:left="6968" w:hanging="552"/>
      </w:pPr>
      <w:rPr>
        <w:rFonts w:hint="default"/>
        <w:lang w:val="en-GB" w:eastAsia="en-US" w:bidi="ar-SA"/>
      </w:rPr>
    </w:lvl>
    <w:lvl w:ilvl="8" w:tplc="728AA27E">
      <w:numFmt w:val="bullet"/>
      <w:lvlText w:val="•"/>
      <w:lvlJc w:val="left"/>
      <w:pPr>
        <w:ind w:left="7861" w:hanging="552"/>
      </w:pPr>
      <w:rPr>
        <w:rFonts w:hint="default"/>
        <w:lang w:val="en-GB" w:eastAsia="en-US" w:bidi="ar-SA"/>
      </w:rPr>
    </w:lvl>
  </w:abstractNum>
  <w:abstractNum w:abstractNumId="111">
    <w:nsid w:val="4B195081"/>
    <w:multiLevelType w:val="hybridMultilevel"/>
    <w:tmpl w:val="507043CA"/>
    <w:lvl w:ilvl="0" w:tplc="0096B450">
      <w:start w:val="55"/>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F1BEA5B6">
      <w:numFmt w:val="bullet"/>
      <w:lvlText w:val="•"/>
      <w:lvlJc w:val="left"/>
      <w:pPr>
        <w:ind w:left="1612" w:hanging="552"/>
      </w:pPr>
      <w:rPr>
        <w:rFonts w:hint="default"/>
        <w:lang w:val="en-GB" w:eastAsia="en-US" w:bidi="ar-SA"/>
      </w:rPr>
    </w:lvl>
    <w:lvl w:ilvl="2" w:tplc="E8465342">
      <w:numFmt w:val="bullet"/>
      <w:lvlText w:val="•"/>
      <w:lvlJc w:val="left"/>
      <w:pPr>
        <w:ind w:left="2505" w:hanging="552"/>
      </w:pPr>
      <w:rPr>
        <w:rFonts w:hint="default"/>
        <w:lang w:val="en-GB" w:eastAsia="en-US" w:bidi="ar-SA"/>
      </w:rPr>
    </w:lvl>
    <w:lvl w:ilvl="3" w:tplc="6672B54A">
      <w:numFmt w:val="bullet"/>
      <w:lvlText w:val="•"/>
      <w:lvlJc w:val="left"/>
      <w:pPr>
        <w:ind w:left="3397" w:hanging="552"/>
      </w:pPr>
      <w:rPr>
        <w:rFonts w:hint="default"/>
        <w:lang w:val="en-GB" w:eastAsia="en-US" w:bidi="ar-SA"/>
      </w:rPr>
    </w:lvl>
    <w:lvl w:ilvl="4" w:tplc="89B42940">
      <w:numFmt w:val="bullet"/>
      <w:lvlText w:val="•"/>
      <w:lvlJc w:val="left"/>
      <w:pPr>
        <w:ind w:left="4290" w:hanging="552"/>
      </w:pPr>
      <w:rPr>
        <w:rFonts w:hint="default"/>
        <w:lang w:val="en-GB" w:eastAsia="en-US" w:bidi="ar-SA"/>
      </w:rPr>
    </w:lvl>
    <w:lvl w:ilvl="5" w:tplc="F0CEB322">
      <w:numFmt w:val="bullet"/>
      <w:lvlText w:val="•"/>
      <w:lvlJc w:val="left"/>
      <w:pPr>
        <w:ind w:left="5183" w:hanging="552"/>
      </w:pPr>
      <w:rPr>
        <w:rFonts w:hint="default"/>
        <w:lang w:val="en-GB" w:eastAsia="en-US" w:bidi="ar-SA"/>
      </w:rPr>
    </w:lvl>
    <w:lvl w:ilvl="6" w:tplc="CA9EB3E0">
      <w:numFmt w:val="bullet"/>
      <w:lvlText w:val="•"/>
      <w:lvlJc w:val="left"/>
      <w:pPr>
        <w:ind w:left="6075" w:hanging="552"/>
      </w:pPr>
      <w:rPr>
        <w:rFonts w:hint="default"/>
        <w:lang w:val="en-GB" w:eastAsia="en-US" w:bidi="ar-SA"/>
      </w:rPr>
    </w:lvl>
    <w:lvl w:ilvl="7" w:tplc="11D8DD3A">
      <w:numFmt w:val="bullet"/>
      <w:lvlText w:val="•"/>
      <w:lvlJc w:val="left"/>
      <w:pPr>
        <w:ind w:left="6968" w:hanging="552"/>
      </w:pPr>
      <w:rPr>
        <w:rFonts w:hint="default"/>
        <w:lang w:val="en-GB" w:eastAsia="en-US" w:bidi="ar-SA"/>
      </w:rPr>
    </w:lvl>
    <w:lvl w:ilvl="8" w:tplc="7B969A80">
      <w:numFmt w:val="bullet"/>
      <w:lvlText w:val="•"/>
      <w:lvlJc w:val="left"/>
      <w:pPr>
        <w:ind w:left="7861" w:hanging="552"/>
      </w:pPr>
      <w:rPr>
        <w:rFonts w:hint="default"/>
        <w:lang w:val="en-GB" w:eastAsia="en-US" w:bidi="ar-SA"/>
      </w:rPr>
    </w:lvl>
  </w:abstractNum>
  <w:abstractNum w:abstractNumId="112">
    <w:nsid w:val="4B7D38C5"/>
    <w:multiLevelType w:val="hybridMultilevel"/>
    <w:tmpl w:val="54ACAEF0"/>
    <w:lvl w:ilvl="0" w:tplc="C164BC08">
      <w:start w:val="1"/>
      <w:numFmt w:val="decimal"/>
      <w:lvlText w:val="%1."/>
      <w:lvlJc w:val="left"/>
      <w:pPr>
        <w:ind w:left="325" w:hanging="221"/>
        <w:jc w:val="left"/>
      </w:pPr>
      <w:rPr>
        <w:rFonts w:ascii="Arial" w:eastAsia="Arial" w:hAnsi="Arial" w:cs="Arial" w:hint="default"/>
        <w:b w:val="0"/>
        <w:bCs w:val="0"/>
        <w:i w:val="0"/>
        <w:iCs w:val="0"/>
        <w:spacing w:val="-1"/>
        <w:w w:val="99"/>
        <w:sz w:val="20"/>
        <w:szCs w:val="20"/>
        <w:lang w:val="en-GB" w:eastAsia="en-US" w:bidi="ar-SA"/>
      </w:rPr>
    </w:lvl>
    <w:lvl w:ilvl="1" w:tplc="22CC753A">
      <w:numFmt w:val="bullet"/>
      <w:lvlText w:val="•"/>
      <w:lvlJc w:val="left"/>
      <w:pPr>
        <w:ind w:left="607" w:hanging="221"/>
      </w:pPr>
      <w:rPr>
        <w:rFonts w:hint="default"/>
        <w:lang w:val="en-GB" w:eastAsia="en-US" w:bidi="ar-SA"/>
      </w:rPr>
    </w:lvl>
    <w:lvl w:ilvl="2" w:tplc="B1ACAC04">
      <w:numFmt w:val="bullet"/>
      <w:lvlText w:val="•"/>
      <w:lvlJc w:val="left"/>
      <w:pPr>
        <w:ind w:left="894" w:hanging="221"/>
      </w:pPr>
      <w:rPr>
        <w:rFonts w:hint="default"/>
        <w:lang w:val="en-GB" w:eastAsia="en-US" w:bidi="ar-SA"/>
      </w:rPr>
    </w:lvl>
    <w:lvl w:ilvl="3" w:tplc="C70828A0">
      <w:numFmt w:val="bullet"/>
      <w:lvlText w:val="•"/>
      <w:lvlJc w:val="left"/>
      <w:pPr>
        <w:ind w:left="1181" w:hanging="221"/>
      </w:pPr>
      <w:rPr>
        <w:rFonts w:hint="default"/>
        <w:lang w:val="en-GB" w:eastAsia="en-US" w:bidi="ar-SA"/>
      </w:rPr>
    </w:lvl>
    <w:lvl w:ilvl="4" w:tplc="F2683250">
      <w:numFmt w:val="bullet"/>
      <w:lvlText w:val="•"/>
      <w:lvlJc w:val="left"/>
      <w:pPr>
        <w:ind w:left="1469" w:hanging="221"/>
      </w:pPr>
      <w:rPr>
        <w:rFonts w:hint="default"/>
        <w:lang w:val="en-GB" w:eastAsia="en-US" w:bidi="ar-SA"/>
      </w:rPr>
    </w:lvl>
    <w:lvl w:ilvl="5" w:tplc="6CA0D2DC">
      <w:numFmt w:val="bullet"/>
      <w:lvlText w:val="•"/>
      <w:lvlJc w:val="left"/>
      <w:pPr>
        <w:ind w:left="1756" w:hanging="221"/>
      </w:pPr>
      <w:rPr>
        <w:rFonts w:hint="default"/>
        <w:lang w:val="en-GB" w:eastAsia="en-US" w:bidi="ar-SA"/>
      </w:rPr>
    </w:lvl>
    <w:lvl w:ilvl="6" w:tplc="C948790C">
      <w:numFmt w:val="bullet"/>
      <w:lvlText w:val="•"/>
      <w:lvlJc w:val="left"/>
      <w:pPr>
        <w:ind w:left="2043" w:hanging="221"/>
      </w:pPr>
      <w:rPr>
        <w:rFonts w:hint="default"/>
        <w:lang w:val="en-GB" w:eastAsia="en-US" w:bidi="ar-SA"/>
      </w:rPr>
    </w:lvl>
    <w:lvl w:ilvl="7" w:tplc="520CF0C6">
      <w:numFmt w:val="bullet"/>
      <w:lvlText w:val="•"/>
      <w:lvlJc w:val="left"/>
      <w:pPr>
        <w:ind w:left="2331" w:hanging="221"/>
      </w:pPr>
      <w:rPr>
        <w:rFonts w:hint="default"/>
        <w:lang w:val="en-GB" w:eastAsia="en-US" w:bidi="ar-SA"/>
      </w:rPr>
    </w:lvl>
    <w:lvl w:ilvl="8" w:tplc="A244B902">
      <w:numFmt w:val="bullet"/>
      <w:lvlText w:val="•"/>
      <w:lvlJc w:val="left"/>
      <w:pPr>
        <w:ind w:left="2618" w:hanging="221"/>
      </w:pPr>
      <w:rPr>
        <w:rFonts w:hint="default"/>
        <w:lang w:val="en-GB" w:eastAsia="en-US" w:bidi="ar-SA"/>
      </w:rPr>
    </w:lvl>
  </w:abstractNum>
  <w:abstractNum w:abstractNumId="113">
    <w:nsid w:val="4BFF34CF"/>
    <w:multiLevelType w:val="hybridMultilevel"/>
    <w:tmpl w:val="5052AA3E"/>
    <w:lvl w:ilvl="0" w:tplc="77F20234">
      <w:numFmt w:val="bullet"/>
      <w:lvlText w:val="o"/>
      <w:lvlJc w:val="left"/>
      <w:pPr>
        <w:ind w:left="1548" w:hanging="360"/>
      </w:pPr>
      <w:rPr>
        <w:rFonts w:ascii="Courier New" w:eastAsia="Courier New" w:hAnsi="Courier New" w:cs="Courier New" w:hint="default"/>
        <w:b w:val="0"/>
        <w:bCs w:val="0"/>
        <w:i w:val="0"/>
        <w:iCs w:val="0"/>
        <w:w w:val="100"/>
        <w:sz w:val="22"/>
        <w:szCs w:val="22"/>
        <w:lang w:val="en-GB" w:eastAsia="en-US" w:bidi="ar-SA"/>
      </w:rPr>
    </w:lvl>
    <w:lvl w:ilvl="1" w:tplc="DE283006">
      <w:numFmt w:val="bullet"/>
      <w:lvlText w:val="•"/>
      <w:lvlJc w:val="left"/>
      <w:pPr>
        <w:ind w:left="2093" w:hanging="360"/>
      </w:pPr>
      <w:rPr>
        <w:rFonts w:hint="default"/>
        <w:lang w:val="en-GB" w:eastAsia="en-US" w:bidi="ar-SA"/>
      </w:rPr>
    </w:lvl>
    <w:lvl w:ilvl="2" w:tplc="9E76974E">
      <w:numFmt w:val="bullet"/>
      <w:lvlText w:val="•"/>
      <w:lvlJc w:val="left"/>
      <w:pPr>
        <w:ind w:left="2647" w:hanging="360"/>
      </w:pPr>
      <w:rPr>
        <w:rFonts w:hint="default"/>
        <w:lang w:val="en-GB" w:eastAsia="en-US" w:bidi="ar-SA"/>
      </w:rPr>
    </w:lvl>
    <w:lvl w:ilvl="3" w:tplc="21AC4FB8">
      <w:numFmt w:val="bullet"/>
      <w:lvlText w:val="•"/>
      <w:lvlJc w:val="left"/>
      <w:pPr>
        <w:ind w:left="3201" w:hanging="360"/>
      </w:pPr>
      <w:rPr>
        <w:rFonts w:hint="default"/>
        <w:lang w:val="en-GB" w:eastAsia="en-US" w:bidi="ar-SA"/>
      </w:rPr>
    </w:lvl>
    <w:lvl w:ilvl="4" w:tplc="97F055C0">
      <w:numFmt w:val="bullet"/>
      <w:lvlText w:val="•"/>
      <w:lvlJc w:val="left"/>
      <w:pPr>
        <w:ind w:left="3755" w:hanging="360"/>
      </w:pPr>
      <w:rPr>
        <w:rFonts w:hint="default"/>
        <w:lang w:val="en-GB" w:eastAsia="en-US" w:bidi="ar-SA"/>
      </w:rPr>
    </w:lvl>
    <w:lvl w:ilvl="5" w:tplc="204A24C6">
      <w:numFmt w:val="bullet"/>
      <w:lvlText w:val="•"/>
      <w:lvlJc w:val="left"/>
      <w:pPr>
        <w:ind w:left="4309" w:hanging="360"/>
      </w:pPr>
      <w:rPr>
        <w:rFonts w:hint="default"/>
        <w:lang w:val="en-GB" w:eastAsia="en-US" w:bidi="ar-SA"/>
      </w:rPr>
    </w:lvl>
    <w:lvl w:ilvl="6" w:tplc="217875E4">
      <w:numFmt w:val="bullet"/>
      <w:lvlText w:val="•"/>
      <w:lvlJc w:val="left"/>
      <w:pPr>
        <w:ind w:left="4863" w:hanging="360"/>
      </w:pPr>
      <w:rPr>
        <w:rFonts w:hint="default"/>
        <w:lang w:val="en-GB" w:eastAsia="en-US" w:bidi="ar-SA"/>
      </w:rPr>
    </w:lvl>
    <w:lvl w:ilvl="7" w:tplc="4014B874">
      <w:numFmt w:val="bullet"/>
      <w:lvlText w:val="•"/>
      <w:lvlJc w:val="left"/>
      <w:pPr>
        <w:ind w:left="5417" w:hanging="360"/>
      </w:pPr>
      <w:rPr>
        <w:rFonts w:hint="default"/>
        <w:lang w:val="en-GB" w:eastAsia="en-US" w:bidi="ar-SA"/>
      </w:rPr>
    </w:lvl>
    <w:lvl w:ilvl="8" w:tplc="ED98A01C">
      <w:numFmt w:val="bullet"/>
      <w:lvlText w:val="•"/>
      <w:lvlJc w:val="left"/>
      <w:pPr>
        <w:ind w:left="5971" w:hanging="360"/>
      </w:pPr>
      <w:rPr>
        <w:rFonts w:hint="default"/>
        <w:lang w:val="en-GB" w:eastAsia="en-US" w:bidi="ar-SA"/>
      </w:rPr>
    </w:lvl>
  </w:abstractNum>
  <w:abstractNum w:abstractNumId="114">
    <w:nsid w:val="4C287271"/>
    <w:multiLevelType w:val="hybridMultilevel"/>
    <w:tmpl w:val="2D8CE3C8"/>
    <w:lvl w:ilvl="0" w:tplc="EB6C132A">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8FD09C3A">
      <w:numFmt w:val="bullet"/>
      <w:lvlText w:val="•"/>
      <w:lvlJc w:val="left"/>
      <w:pPr>
        <w:ind w:left="810" w:hanging="360"/>
      </w:pPr>
      <w:rPr>
        <w:rFonts w:hint="default"/>
        <w:lang w:val="en-GB" w:eastAsia="en-US" w:bidi="ar-SA"/>
      </w:rPr>
    </w:lvl>
    <w:lvl w:ilvl="2" w:tplc="CAEAEB98">
      <w:numFmt w:val="bullet"/>
      <w:lvlText w:val="•"/>
      <w:lvlJc w:val="left"/>
      <w:pPr>
        <w:ind w:left="1160" w:hanging="360"/>
      </w:pPr>
      <w:rPr>
        <w:rFonts w:hint="default"/>
        <w:lang w:val="en-GB" w:eastAsia="en-US" w:bidi="ar-SA"/>
      </w:rPr>
    </w:lvl>
    <w:lvl w:ilvl="3" w:tplc="ED5A3F42">
      <w:numFmt w:val="bullet"/>
      <w:lvlText w:val="•"/>
      <w:lvlJc w:val="left"/>
      <w:pPr>
        <w:ind w:left="1510" w:hanging="360"/>
      </w:pPr>
      <w:rPr>
        <w:rFonts w:hint="default"/>
        <w:lang w:val="en-GB" w:eastAsia="en-US" w:bidi="ar-SA"/>
      </w:rPr>
    </w:lvl>
    <w:lvl w:ilvl="4" w:tplc="546E8F4E">
      <w:numFmt w:val="bullet"/>
      <w:lvlText w:val="•"/>
      <w:lvlJc w:val="left"/>
      <w:pPr>
        <w:ind w:left="1860" w:hanging="360"/>
      </w:pPr>
      <w:rPr>
        <w:rFonts w:hint="default"/>
        <w:lang w:val="en-GB" w:eastAsia="en-US" w:bidi="ar-SA"/>
      </w:rPr>
    </w:lvl>
    <w:lvl w:ilvl="5" w:tplc="131A20F0">
      <w:numFmt w:val="bullet"/>
      <w:lvlText w:val="•"/>
      <w:lvlJc w:val="left"/>
      <w:pPr>
        <w:ind w:left="2210" w:hanging="360"/>
      </w:pPr>
      <w:rPr>
        <w:rFonts w:hint="default"/>
        <w:lang w:val="en-GB" w:eastAsia="en-US" w:bidi="ar-SA"/>
      </w:rPr>
    </w:lvl>
    <w:lvl w:ilvl="6" w:tplc="FBE88E70">
      <w:numFmt w:val="bullet"/>
      <w:lvlText w:val="•"/>
      <w:lvlJc w:val="left"/>
      <w:pPr>
        <w:ind w:left="2560" w:hanging="360"/>
      </w:pPr>
      <w:rPr>
        <w:rFonts w:hint="default"/>
        <w:lang w:val="en-GB" w:eastAsia="en-US" w:bidi="ar-SA"/>
      </w:rPr>
    </w:lvl>
    <w:lvl w:ilvl="7" w:tplc="FA785FE0">
      <w:numFmt w:val="bullet"/>
      <w:lvlText w:val="•"/>
      <w:lvlJc w:val="left"/>
      <w:pPr>
        <w:ind w:left="2910" w:hanging="360"/>
      </w:pPr>
      <w:rPr>
        <w:rFonts w:hint="default"/>
        <w:lang w:val="en-GB" w:eastAsia="en-US" w:bidi="ar-SA"/>
      </w:rPr>
    </w:lvl>
    <w:lvl w:ilvl="8" w:tplc="A74E0E98">
      <w:numFmt w:val="bullet"/>
      <w:lvlText w:val="•"/>
      <w:lvlJc w:val="left"/>
      <w:pPr>
        <w:ind w:left="3260" w:hanging="360"/>
      </w:pPr>
      <w:rPr>
        <w:rFonts w:hint="default"/>
        <w:lang w:val="en-GB" w:eastAsia="en-US" w:bidi="ar-SA"/>
      </w:rPr>
    </w:lvl>
  </w:abstractNum>
  <w:abstractNum w:abstractNumId="115">
    <w:nsid w:val="4C8F604A"/>
    <w:multiLevelType w:val="hybridMultilevel"/>
    <w:tmpl w:val="A00A1228"/>
    <w:lvl w:ilvl="0" w:tplc="E7986C28">
      <w:start w:val="117"/>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D0CEEA48">
      <w:numFmt w:val="bullet"/>
      <w:lvlText w:val="•"/>
      <w:lvlJc w:val="left"/>
      <w:pPr>
        <w:ind w:left="1720" w:hanging="675"/>
      </w:pPr>
      <w:rPr>
        <w:rFonts w:hint="default"/>
        <w:lang w:val="en-GB" w:eastAsia="en-US" w:bidi="ar-SA"/>
      </w:rPr>
    </w:lvl>
    <w:lvl w:ilvl="2" w:tplc="79344C80">
      <w:numFmt w:val="bullet"/>
      <w:lvlText w:val="•"/>
      <w:lvlJc w:val="left"/>
      <w:pPr>
        <w:ind w:left="2601" w:hanging="675"/>
      </w:pPr>
      <w:rPr>
        <w:rFonts w:hint="default"/>
        <w:lang w:val="en-GB" w:eastAsia="en-US" w:bidi="ar-SA"/>
      </w:rPr>
    </w:lvl>
    <w:lvl w:ilvl="3" w:tplc="31944906">
      <w:numFmt w:val="bullet"/>
      <w:lvlText w:val="•"/>
      <w:lvlJc w:val="left"/>
      <w:pPr>
        <w:ind w:left="3481" w:hanging="675"/>
      </w:pPr>
      <w:rPr>
        <w:rFonts w:hint="default"/>
        <w:lang w:val="en-GB" w:eastAsia="en-US" w:bidi="ar-SA"/>
      </w:rPr>
    </w:lvl>
    <w:lvl w:ilvl="4" w:tplc="FBC8C170">
      <w:numFmt w:val="bullet"/>
      <w:lvlText w:val="•"/>
      <w:lvlJc w:val="left"/>
      <w:pPr>
        <w:ind w:left="4362" w:hanging="675"/>
      </w:pPr>
      <w:rPr>
        <w:rFonts w:hint="default"/>
        <w:lang w:val="en-GB" w:eastAsia="en-US" w:bidi="ar-SA"/>
      </w:rPr>
    </w:lvl>
    <w:lvl w:ilvl="5" w:tplc="93E66FB6">
      <w:numFmt w:val="bullet"/>
      <w:lvlText w:val="•"/>
      <w:lvlJc w:val="left"/>
      <w:pPr>
        <w:ind w:left="5243" w:hanging="675"/>
      </w:pPr>
      <w:rPr>
        <w:rFonts w:hint="default"/>
        <w:lang w:val="en-GB" w:eastAsia="en-US" w:bidi="ar-SA"/>
      </w:rPr>
    </w:lvl>
    <w:lvl w:ilvl="6" w:tplc="11626142">
      <w:numFmt w:val="bullet"/>
      <w:lvlText w:val="•"/>
      <w:lvlJc w:val="left"/>
      <w:pPr>
        <w:ind w:left="6123" w:hanging="675"/>
      </w:pPr>
      <w:rPr>
        <w:rFonts w:hint="default"/>
        <w:lang w:val="en-GB" w:eastAsia="en-US" w:bidi="ar-SA"/>
      </w:rPr>
    </w:lvl>
    <w:lvl w:ilvl="7" w:tplc="9B744C42">
      <w:numFmt w:val="bullet"/>
      <w:lvlText w:val="•"/>
      <w:lvlJc w:val="left"/>
      <w:pPr>
        <w:ind w:left="7004" w:hanging="675"/>
      </w:pPr>
      <w:rPr>
        <w:rFonts w:hint="default"/>
        <w:lang w:val="en-GB" w:eastAsia="en-US" w:bidi="ar-SA"/>
      </w:rPr>
    </w:lvl>
    <w:lvl w:ilvl="8" w:tplc="EA321204">
      <w:numFmt w:val="bullet"/>
      <w:lvlText w:val="•"/>
      <w:lvlJc w:val="left"/>
      <w:pPr>
        <w:ind w:left="7885" w:hanging="675"/>
      </w:pPr>
      <w:rPr>
        <w:rFonts w:hint="default"/>
        <w:lang w:val="en-GB" w:eastAsia="en-US" w:bidi="ar-SA"/>
      </w:rPr>
    </w:lvl>
  </w:abstractNum>
  <w:abstractNum w:abstractNumId="116">
    <w:nsid w:val="4CA34A94"/>
    <w:multiLevelType w:val="hybridMultilevel"/>
    <w:tmpl w:val="C0F4FAB2"/>
    <w:lvl w:ilvl="0" w:tplc="0200056C">
      <w:start w:val="4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B90C9F4">
      <w:numFmt w:val="bullet"/>
      <w:lvlText w:val="•"/>
      <w:lvlJc w:val="left"/>
      <w:pPr>
        <w:ind w:left="1612" w:hanging="552"/>
      </w:pPr>
      <w:rPr>
        <w:rFonts w:hint="default"/>
        <w:lang w:val="en-GB" w:eastAsia="en-US" w:bidi="ar-SA"/>
      </w:rPr>
    </w:lvl>
    <w:lvl w:ilvl="2" w:tplc="4614BB62">
      <w:numFmt w:val="bullet"/>
      <w:lvlText w:val="•"/>
      <w:lvlJc w:val="left"/>
      <w:pPr>
        <w:ind w:left="2505" w:hanging="552"/>
      </w:pPr>
      <w:rPr>
        <w:rFonts w:hint="default"/>
        <w:lang w:val="en-GB" w:eastAsia="en-US" w:bidi="ar-SA"/>
      </w:rPr>
    </w:lvl>
    <w:lvl w:ilvl="3" w:tplc="31AC1174">
      <w:numFmt w:val="bullet"/>
      <w:lvlText w:val="•"/>
      <w:lvlJc w:val="left"/>
      <w:pPr>
        <w:ind w:left="3397" w:hanging="552"/>
      </w:pPr>
      <w:rPr>
        <w:rFonts w:hint="default"/>
        <w:lang w:val="en-GB" w:eastAsia="en-US" w:bidi="ar-SA"/>
      </w:rPr>
    </w:lvl>
    <w:lvl w:ilvl="4" w:tplc="0A6E7A74">
      <w:numFmt w:val="bullet"/>
      <w:lvlText w:val="•"/>
      <w:lvlJc w:val="left"/>
      <w:pPr>
        <w:ind w:left="4290" w:hanging="552"/>
      </w:pPr>
      <w:rPr>
        <w:rFonts w:hint="default"/>
        <w:lang w:val="en-GB" w:eastAsia="en-US" w:bidi="ar-SA"/>
      </w:rPr>
    </w:lvl>
    <w:lvl w:ilvl="5" w:tplc="50A2AB24">
      <w:numFmt w:val="bullet"/>
      <w:lvlText w:val="•"/>
      <w:lvlJc w:val="left"/>
      <w:pPr>
        <w:ind w:left="5183" w:hanging="552"/>
      </w:pPr>
      <w:rPr>
        <w:rFonts w:hint="default"/>
        <w:lang w:val="en-GB" w:eastAsia="en-US" w:bidi="ar-SA"/>
      </w:rPr>
    </w:lvl>
    <w:lvl w:ilvl="6" w:tplc="F6B6441A">
      <w:numFmt w:val="bullet"/>
      <w:lvlText w:val="•"/>
      <w:lvlJc w:val="left"/>
      <w:pPr>
        <w:ind w:left="6075" w:hanging="552"/>
      </w:pPr>
      <w:rPr>
        <w:rFonts w:hint="default"/>
        <w:lang w:val="en-GB" w:eastAsia="en-US" w:bidi="ar-SA"/>
      </w:rPr>
    </w:lvl>
    <w:lvl w:ilvl="7" w:tplc="06BA4A02">
      <w:numFmt w:val="bullet"/>
      <w:lvlText w:val="•"/>
      <w:lvlJc w:val="left"/>
      <w:pPr>
        <w:ind w:left="6968" w:hanging="552"/>
      </w:pPr>
      <w:rPr>
        <w:rFonts w:hint="default"/>
        <w:lang w:val="en-GB" w:eastAsia="en-US" w:bidi="ar-SA"/>
      </w:rPr>
    </w:lvl>
    <w:lvl w:ilvl="8" w:tplc="9F8AFE4A">
      <w:numFmt w:val="bullet"/>
      <w:lvlText w:val="•"/>
      <w:lvlJc w:val="left"/>
      <w:pPr>
        <w:ind w:left="7861" w:hanging="552"/>
      </w:pPr>
      <w:rPr>
        <w:rFonts w:hint="default"/>
        <w:lang w:val="en-GB" w:eastAsia="en-US" w:bidi="ar-SA"/>
      </w:rPr>
    </w:lvl>
  </w:abstractNum>
  <w:abstractNum w:abstractNumId="117">
    <w:nsid w:val="4E8F7F4B"/>
    <w:multiLevelType w:val="hybridMultilevel"/>
    <w:tmpl w:val="52E0DCEE"/>
    <w:lvl w:ilvl="0" w:tplc="32E26FF0">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BA829904">
      <w:numFmt w:val="bullet"/>
      <w:lvlText w:val="•"/>
      <w:lvlJc w:val="left"/>
      <w:pPr>
        <w:ind w:left="810" w:hanging="360"/>
      </w:pPr>
      <w:rPr>
        <w:rFonts w:hint="default"/>
        <w:lang w:val="en-GB" w:eastAsia="en-US" w:bidi="ar-SA"/>
      </w:rPr>
    </w:lvl>
    <w:lvl w:ilvl="2" w:tplc="99BAF38C">
      <w:numFmt w:val="bullet"/>
      <w:lvlText w:val="•"/>
      <w:lvlJc w:val="left"/>
      <w:pPr>
        <w:ind w:left="1160" w:hanging="360"/>
      </w:pPr>
      <w:rPr>
        <w:rFonts w:hint="default"/>
        <w:lang w:val="en-GB" w:eastAsia="en-US" w:bidi="ar-SA"/>
      </w:rPr>
    </w:lvl>
    <w:lvl w:ilvl="3" w:tplc="FC3C3708">
      <w:numFmt w:val="bullet"/>
      <w:lvlText w:val="•"/>
      <w:lvlJc w:val="left"/>
      <w:pPr>
        <w:ind w:left="1510" w:hanging="360"/>
      </w:pPr>
      <w:rPr>
        <w:rFonts w:hint="default"/>
        <w:lang w:val="en-GB" w:eastAsia="en-US" w:bidi="ar-SA"/>
      </w:rPr>
    </w:lvl>
    <w:lvl w:ilvl="4" w:tplc="9C249F3A">
      <w:numFmt w:val="bullet"/>
      <w:lvlText w:val="•"/>
      <w:lvlJc w:val="left"/>
      <w:pPr>
        <w:ind w:left="1860" w:hanging="360"/>
      </w:pPr>
      <w:rPr>
        <w:rFonts w:hint="default"/>
        <w:lang w:val="en-GB" w:eastAsia="en-US" w:bidi="ar-SA"/>
      </w:rPr>
    </w:lvl>
    <w:lvl w:ilvl="5" w:tplc="122EEC38">
      <w:numFmt w:val="bullet"/>
      <w:lvlText w:val="•"/>
      <w:lvlJc w:val="left"/>
      <w:pPr>
        <w:ind w:left="2210" w:hanging="360"/>
      </w:pPr>
      <w:rPr>
        <w:rFonts w:hint="default"/>
        <w:lang w:val="en-GB" w:eastAsia="en-US" w:bidi="ar-SA"/>
      </w:rPr>
    </w:lvl>
    <w:lvl w:ilvl="6" w:tplc="CFB62EC6">
      <w:numFmt w:val="bullet"/>
      <w:lvlText w:val="•"/>
      <w:lvlJc w:val="left"/>
      <w:pPr>
        <w:ind w:left="2560" w:hanging="360"/>
      </w:pPr>
      <w:rPr>
        <w:rFonts w:hint="default"/>
        <w:lang w:val="en-GB" w:eastAsia="en-US" w:bidi="ar-SA"/>
      </w:rPr>
    </w:lvl>
    <w:lvl w:ilvl="7" w:tplc="B2727766">
      <w:numFmt w:val="bullet"/>
      <w:lvlText w:val="•"/>
      <w:lvlJc w:val="left"/>
      <w:pPr>
        <w:ind w:left="2910" w:hanging="360"/>
      </w:pPr>
      <w:rPr>
        <w:rFonts w:hint="default"/>
        <w:lang w:val="en-GB" w:eastAsia="en-US" w:bidi="ar-SA"/>
      </w:rPr>
    </w:lvl>
    <w:lvl w:ilvl="8" w:tplc="F1D6432C">
      <w:numFmt w:val="bullet"/>
      <w:lvlText w:val="•"/>
      <w:lvlJc w:val="left"/>
      <w:pPr>
        <w:ind w:left="3260" w:hanging="360"/>
      </w:pPr>
      <w:rPr>
        <w:rFonts w:hint="default"/>
        <w:lang w:val="en-GB" w:eastAsia="en-US" w:bidi="ar-SA"/>
      </w:rPr>
    </w:lvl>
  </w:abstractNum>
  <w:abstractNum w:abstractNumId="118">
    <w:nsid w:val="4EB66EF1"/>
    <w:multiLevelType w:val="hybridMultilevel"/>
    <w:tmpl w:val="DB5ABF86"/>
    <w:lvl w:ilvl="0" w:tplc="F1EEFE5A">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5894A5AA">
      <w:numFmt w:val="bullet"/>
      <w:lvlText w:val="•"/>
      <w:lvlJc w:val="left"/>
      <w:pPr>
        <w:ind w:left="1445" w:hanging="361"/>
      </w:pPr>
      <w:rPr>
        <w:rFonts w:hint="default"/>
        <w:lang w:val="en-GB" w:eastAsia="en-US" w:bidi="ar-SA"/>
      </w:rPr>
    </w:lvl>
    <w:lvl w:ilvl="2" w:tplc="DA6C0F7C">
      <w:numFmt w:val="bullet"/>
      <w:lvlText w:val="•"/>
      <w:lvlJc w:val="left"/>
      <w:pPr>
        <w:ind w:left="2071" w:hanging="361"/>
      </w:pPr>
      <w:rPr>
        <w:rFonts w:hint="default"/>
        <w:lang w:val="en-GB" w:eastAsia="en-US" w:bidi="ar-SA"/>
      </w:rPr>
    </w:lvl>
    <w:lvl w:ilvl="3" w:tplc="5CF45FDC">
      <w:numFmt w:val="bullet"/>
      <w:lvlText w:val="•"/>
      <w:lvlJc w:val="left"/>
      <w:pPr>
        <w:ind w:left="2697" w:hanging="361"/>
      </w:pPr>
      <w:rPr>
        <w:rFonts w:hint="default"/>
        <w:lang w:val="en-GB" w:eastAsia="en-US" w:bidi="ar-SA"/>
      </w:rPr>
    </w:lvl>
    <w:lvl w:ilvl="4" w:tplc="10CA81FE">
      <w:numFmt w:val="bullet"/>
      <w:lvlText w:val="•"/>
      <w:lvlJc w:val="left"/>
      <w:pPr>
        <w:ind w:left="3323" w:hanging="361"/>
      </w:pPr>
      <w:rPr>
        <w:rFonts w:hint="default"/>
        <w:lang w:val="en-GB" w:eastAsia="en-US" w:bidi="ar-SA"/>
      </w:rPr>
    </w:lvl>
    <w:lvl w:ilvl="5" w:tplc="7A86EA1C">
      <w:numFmt w:val="bullet"/>
      <w:lvlText w:val="•"/>
      <w:lvlJc w:val="left"/>
      <w:pPr>
        <w:ind w:left="3949" w:hanging="361"/>
      </w:pPr>
      <w:rPr>
        <w:rFonts w:hint="default"/>
        <w:lang w:val="en-GB" w:eastAsia="en-US" w:bidi="ar-SA"/>
      </w:rPr>
    </w:lvl>
    <w:lvl w:ilvl="6" w:tplc="C226B702">
      <w:numFmt w:val="bullet"/>
      <w:lvlText w:val="•"/>
      <w:lvlJc w:val="left"/>
      <w:pPr>
        <w:ind w:left="4575" w:hanging="361"/>
      </w:pPr>
      <w:rPr>
        <w:rFonts w:hint="default"/>
        <w:lang w:val="en-GB" w:eastAsia="en-US" w:bidi="ar-SA"/>
      </w:rPr>
    </w:lvl>
    <w:lvl w:ilvl="7" w:tplc="5A24AE8C">
      <w:numFmt w:val="bullet"/>
      <w:lvlText w:val="•"/>
      <w:lvlJc w:val="left"/>
      <w:pPr>
        <w:ind w:left="5201" w:hanging="361"/>
      </w:pPr>
      <w:rPr>
        <w:rFonts w:hint="default"/>
        <w:lang w:val="en-GB" w:eastAsia="en-US" w:bidi="ar-SA"/>
      </w:rPr>
    </w:lvl>
    <w:lvl w:ilvl="8" w:tplc="9BA6B9A2">
      <w:numFmt w:val="bullet"/>
      <w:lvlText w:val="•"/>
      <w:lvlJc w:val="left"/>
      <w:pPr>
        <w:ind w:left="5827" w:hanging="361"/>
      </w:pPr>
      <w:rPr>
        <w:rFonts w:hint="default"/>
        <w:lang w:val="en-GB" w:eastAsia="en-US" w:bidi="ar-SA"/>
      </w:rPr>
    </w:lvl>
  </w:abstractNum>
  <w:abstractNum w:abstractNumId="119">
    <w:nsid w:val="50BA3A59"/>
    <w:multiLevelType w:val="hybridMultilevel"/>
    <w:tmpl w:val="483CA330"/>
    <w:lvl w:ilvl="0" w:tplc="DB6670D8">
      <w:start w:val="70"/>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A58EC790">
      <w:numFmt w:val="bullet"/>
      <w:lvlText w:val="•"/>
      <w:lvlJc w:val="left"/>
      <w:pPr>
        <w:ind w:left="1612" w:hanging="552"/>
      </w:pPr>
      <w:rPr>
        <w:rFonts w:hint="default"/>
        <w:lang w:val="en-GB" w:eastAsia="en-US" w:bidi="ar-SA"/>
      </w:rPr>
    </w:lvl>
    <w:lvl w:ilvl="2" w:tplc="6A62D362">
      <w:numFmt w:val="bullet"/>
      <w:lvlText w:val="•"/>
      <w:lvlJc w:val="left"/>
      <w:pPr>
        <w:ind w:left="2505" w:hanging="552"/>
      </w:pPr>
      <w:rPr>
        <w:rFonts w:hint="default"/>
        <w:lang w:val="en-GB" w:eastAsia="en-US" w:bidi="ar-SA"/>
      </w:rPr>
    </w:lvl>
    <w:lvl w:ilvl="3" w:tplc="DA98BCA4">
      <w:numFmt w:val="bullet"/>
      <w:lvlText w:val="•"/>
      <w:lvlJc w:val="left"/>
      <w:pPr>
        <w:ind w:left="3397" w:hanging="552"/>
      </w:pPr>
      <w:rPr>
        <w:rFonts w:hint="default"/>
        <w:lang w:val="en-GB" w:eastAsia="en-US" w:bidi="ar-SA"/>
      </w:rPr>
    </w:lvl>
    <w:lvl w:ilvl="4" w:tplc="5004245A">
      <w:numFmt w:val="bullet"/>
      <w:lvlText w:val="•"/>
      <w:lvlJc w:val="left"/>
      <w:pPr>
        <w:ind w:left="4290" w:hanging="552"/>
      </w:pPr>
      <w:rPr>
        <w:rFonts w:hint="default"/>
        <w:lang w:val="en-GB" w:eastAsia="en-US" w:bidi="ar-SA"/>
      </w:rPr>
    </w:lvl>
    <w:lvl w:ilvl="5" w:tplc="17FA1EB2">
      <w:numFmt w:val="bullet"/>
      <w:lvlText w:val="•"/>
      <w:lvlJc w:val="left"/>
      <w:pPr>
        <w:ind w:left="5183" w:hanging="552"/>
      </w:pPr>
      <w:rPr>
        <w:rFonts w:hint="default"/>
        <w:lang w:val="en-GB" w:eastAsia="en-US" w:bidi="ar-SA"/>
      </w:rPr>
    </w:lvl>
    <w:lvl w:ilvl="6" w:tplc="18061B84">
      <w:numFmt w:val="bullet"/>
      <w:lvlText w:val="•"/>
      <w:lvlJc w:val="left"/>
      <w:pPr>
        <w:ind w:left="6075" w:hanging="552"/>
      </w:pPr>
      <w:rPr>
        <w:rFonts w:hint="default"/>
        <w:lang w:val="en-GB" w:eastAsia="en-US" w:bidi="ar-SA"/>
      </w:rPr>
    </w:lvl>
    <w:lvl w:ilvl="7" w:tplc="E322416A">
      <w:numFmt w:val="bullet"/>
      <w:lvlText w:val="•"/>
      <w:lvlJc w:val="left"/>
      <w:pPr>
        <w:ind w:left="6968" w:hanging="552"/>
      </w:pPr>
      <w:rPr>
        <w:rFonts w:hint="default"/>
        <w:lang w:val="en-GB" w:eastAsia="en-US" w:bidi="ar-SA"/>
      </w:rPr>
    </w:lvl>
    <w:lvl w:ilvl="8" w:tplc="D52C9B42">
      <w:numFmt w:val="bullet"/>
      <w:lvlText w:val="•"/>
      <w:lvlJc w:val="left"/>
      <w:pPr>
        <w:ind w:left="7861" w:hanging="552"/>
      </w:pPr>
      <w:rPr>
        <w:rFonts w:hint="default"/>
        <w:lang w:val="en-GB" w:eastAsia="en-US" w:bidi="ar-SA"/>
      </w:rPr>
    </w:lvl>
  </w:abstractNum>
  <w:abstractNum w:abstractNumId="120">
    <w:nsid w:val="535367BF"/>
    <w:multiLevelType w:val="hybridMultilevel"/>
    <w:tmpl w:val="BD98F546"/>
    <w:lvl w:ilvl="0" w:tplc="105280EE">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CD34F472">
      <w:numFmt w:val="bullet"/>
      <w:lvlText w:val="•"/>
      <w:lvlJc w:val="left"/>
      <w:pPr>
        <w:ind w:left="579" w:hanging="286"/>
      </w:pPr>
      <w:rPr>
        <w:rFonts w:hint="default"/>
        <w:lang w:val="en-GB" w:eastAsia="en-US" w:bidi="ar-SA"/>
      </w:rPr>
    </w:lvl>
    <w:lvl w:ilvl="2" w:tplc="52A84A70">
      <w:numFmt w:val="bullet"/>
      <w:lvlText w:val="•"/>
      <w:lvlJc w:val="left"/>
      <w:pPr>
        <w:ind w:left="719" w:hanging="286"/>
      </w:pPr>
      <w:rPr>
        <w:rFonts w:hint="default"/>
        <w:lang w:val="en-GB" w:eastAsia="en-US" w:bidi="ar-SA"/>
      </w:rPr>
    </w:lvl>
    <w:lvl w:ilvl="3" w:tplc="29841E00">
      <w:numFmt w:val="bullet"/>
      <w:lvlText w:val="•"/>
      <w:lvlJc w:val="left"/>
      <w:pPr>
        <w:ind w:left="859" w:hanging="286"/>
      </w:pPr>
      <w:rPr>
        <w:rFonts w:hint="default"/>
        <w:lang w:val="en-GB" w:eastAsia="en-US" w:bidi="ar-SA"/>
      </w:rPr>
    </w:lvl>
    <w:lvl w:ilvl="4" w:tplc="4BC65356">
      <w:numFmt w:val="bullet"/>
      <w:lvlText w:val="•"/>
      <w:lvlJc w:val="left"/>
      <w:pPr>
        <w:ind w:left="999" w:hanging="286"/>
      </w:pPr>
      <w:rPr>
        <w:rFonts w:hint="default"/>
        <w:lang w:val="en-GB" w:eastAsia="en-US" w:bidi="ar-SA"/>
      </w:rPr>
    </w:lvl>
    <w:lvl w:ilvl="5" w:tplc="803AB342">
      <w:numFmt w:val="bullet"/>
      <w:lvlText w:val="•"/>
      <w:lvlJc w:val="left"/>
      <w:pPr>
        <w:ind w:left="1139" w:hanging="286"/>
      </w:pPr>
      <w:rPr>
        <w:rFonts w:hint="default"/>
        <w:lang w:val="en-GB" w:eastAsia="en-US" w:bidi="ar-SA"/>
      </w:rPr>
    </w:lvl>
    <w:lvl w:ilvl="6" w:tplc="98F2E78E">
      <w:numFmt w:val="bullet"/>
      <w:lvlText w:val="•"/>
      <w:lvlJc w:val="left"/>
      <w:pPr>
        <w:ind w:left="1278" w:hanging="286"/>
      </w:pPr>
      <w:rPr>
        <w:rFonts w:hint="default"/>
        <w:lang w:val="en-GB" w:eastAsia="en-US" w:bidi="ar-SA"/>
      </w:rPr>
    </w:lvl>
    <w:lvl w:ilvl="7" w:tplc="CF4637CA">
      <w:numFmt w:val="bullet"/>
      <w:lvlText w:val="•"/>
      <w:lvlJc w:val="left"/>
      <w:pPr>
        <w:ind w:left="1418" w:hanging="286"/>
      </w:pPr>
      <w:rPr>
        <w:rFonts w:hint="default"/>
        <w:lang w:val="en-GB" w:eastAsia="en-US" w:bidi="ar-SA"/>
      </w:rPr>
    </w:lvl>
    <w:lvl w:ilvl="8" w:tplc="928EF364">
      <w:numFmt w:val="bullet"/>
      <w:lvlText w:val="•"/>
      <w:lvlJc w:val="left"/>
      <w:pPr>
        <w:ind w:left="1558" w:hanging="286"/>
      </w:pPr>
      <w:rPr>
        <w:rFonts w:hint="default"/>
        <w:lang w:val="en-GB" w:eastAsia="en-US" w:bidi="ar-SA"/>
      </w:rPr>
    </w:lvl>
  </w:abstractNum>
  <w:abstractNum w:abstractNumId="121">
    <w:nsid w:val="53971F05"/>
    <w:multiLevelType w:val="hybridMultilevel"/>
    <w:tmpl w:val="6F325CAA"/>
    <w:lvl w:ilvl="0" w:tplc="76CE631A">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6B02AF28">
      <w:numFmt w:val="bullet"/>
      <w:lvlText w:val="•"/>
      <w:lvlJc w:val="left"/>
      <w:pPr>
        <w:ind w:left="1445" w:hanging="361"/>
      </w:pPr>
      <w:rPr>
        <w:rFonts w:hint="default"/>
        <w:lang w:val="en-GB" w:eastAsia="en-US" w:bidi="ar-SA"/>
      </w:rPr>
    </w:lvl>
    <w:lvl w:ilvl="2" w:tplc="3ECC63BC">
      <w:numFmt w:val="bullet"/>
      <w:lvlText w:val="•"/>
      <w:lvlJc w:val="left"/>
      <w:pPr>
        <w:ind w:left="2071" w:hanging="361"/>
      </w:pPr>
      <w:rPr>
        <w:rFonts w:hint="default"/>
        <w:lang w:val="en-GB" w:eastAsia="en-US" w:bidi="ar-SA"/>
      </w:rPr>
    </w:lvl>
    <w:lvl w:ilvl="3" w:tplc="77DCA732">
      <w:numFmt w:val="bullet"/>
      <w:lvlText w:val="•"/>
      <w:lvlJc w:val="left"/>
      <w:pPr>
        <w:ind w:left="2697" w:hanging="361"/>
      </w:pPr>
      <w:rPr>
        <w:rFonts w:hint="default"/>
        <w:lang w:val="en-GB" w:eastAsia="en-US" w:bidi="ar-SA"/>
      </w:rPr>
    </w:lvl>
    <w:lvl w:ilvl="4" w:tplc="BA0E2260">
      <w:numFmt w:val="bullet"/>
      <w:lvlText w:val="•"/>
      <w:lvlJc w:val="left"/>
      <w:pPr>
        <w:ind w:left="3323" w:hanging="361"/>
      </w:pPr>
      <w:rPr>
        <w:rFonts w:hint="default"/>
        <w:lang w:val="en-GB" w:eastAsia="en-US" w:bidi="ar-SA"/>
      </w:rPr>
    </w:lvl>
    <w:lvl w:ilvl="5" w:tplc="2AF6AD92">
      <w:numFmt w:val="bullet"/>
      <w:lvlText w:val="•"/>
      <w:lvlJc w:val="left"/>
      <w:pPr>
        <w:ind w:left="3949" w:hanging="361"/>
      </w:pPr>
      <w:rPr>
        <w:rFonts w:hint="default"/>
        <w:lang w:val="en-GB" w:eastAsia="en-US" w:bidi="ar-SA"/>
      </w:rPr>
    </w:lvl>
    <w:lvl w:ilvl="6" w:tplc="51D6E416">
      <w:numFmt w:val="bullet"/>
      <w:lvlText w:val="•"/>
      <w:lvlJc w:val="left"/>
      <w:pPr>
        <w:ind w:left="4575" w:hanging="361"/>
      </w:pPr>
      <w:rPr>
        <w:rFonts w:hint="default"/>
        <w:lang w:val="en-GB" w:eastAsia="en-US" w:bidi="ar-SA"/>
      </w:rPr>
    </w:lvl>
    <w:lvl w:ilvl="7" w:tplc="E44A8646">
      <w:numFmt w:val="bullet"/>
      <w:lvlText w:val="•"/>
      <w:lvlJc w:val="left"/>
      <w:pPr>
        <w:ind w:left="5201" w:hanging="361"/>
      </w:pPr>
      <w:rPr>
        <w:rFonts w:hint="default"/>
        <w:lang w:val="en-GB" w:eastAsia="en-US" w:bidi="ar-SA"/>
      </w:rPr>
    </w:lvl>
    <w:lvl w:ilvl="8" w:tplc="B76092C2">
      <w:numFmt w:val="bullet"/>
      <w:lvlText w:val="•"/>
      <w:lvlJc w:val="left"/>
      <w:pPr>
        <w:ind w:left="5827" w:hanging="361"/>
      </w:pPr>
      <w:rPr>
        <w:rFonts w:hint="default"/>
        <w:lang w:val="en-GB" w:eastAsia="en-US" w:bidi="ar-SA"/>
      </w:rPr>
    </w:lvl>
  </w:abstractNum>
  <w:abstractNum w:abstractNumId="122">
    <w:nsid w:val="545F0D9C"/>
    <w:multiLevelType w:val="hybridMultilevel"/>
    <w:tmpl w:val="7AAA3D32"/>
    <w:lvl w:ilvl="0" w:tplc="1B5AD0F0">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41722674">
      <w:numFmt w:val="bullet"/>
      <w:lvlText w:val="•"/>
      <w:lvlJc w:val="left"/>
      <w:pPr>
        <w:ind w:left="798" w:hanging="360"/>
      </w:pPr>
      <w:rPr>
        <w:rFonts w:hint="default"/>
        <w:lang w:val="en-GB" w:eastAsia="en-US" w:bidi="ar-SA"/>
      </w:rPr>
    </w:lvl>
    <w:lvl w:ilvl="2" w:tplc="8584BFB4">
      <w:numFmt w:val="bullet"/>
      <w:lvlText w:val="•"/>
      <w:lvlJc w:val="left"/>
      <w:pPr>
        <w:ind w:left="1137" w:hanging="360"/>
      </w:pPr>
      <w:rPr>
        <w:rFonts w:hint="default"/>
        <w:lang w:val="en-GB" w:eastAsia="en-US" w:bidi="ar-SA"/>
      </w:rPr>
    </w:lvl>
    <w:lvl w:ilvl="3" w:tplc="CF70875A">
      <w:numFmt w:val="bullet"/>
      <w:lvlText w:val="•"/>
      <w:lvlJc w:val="left"/>
      <w:pPr>
        <w:ind w:left="1476" w:hanging="360"/>
      </w:pPr>
      <w:rPr>
        <w:rFonts w:hint="default"/>
        <w:lang w:val="en-GB" w:eastAsia="en-US" w:bidi="ar-SA"/>
      </w:rPr>
    </w:lvl>
    <w:lvl w:ilvl="4" w:tplc="FCF8796C">
      <w:numFmt w:val="bullet"/>
      <w:lvlText w:val="•"/>
      <w:lvlJc w:val="left"/>
      <w:pPr>
        <w:ind w:left="1815" w:hanging="360"/>
      </w:pPr>
      <w:rPr>
        <w:rFonts w:hint="default"/>
        <w:lang w:val="en-GB" w:eastAsia="en-US" w:bidi="ar-SA"/>
      </w:rPr>
    </w:lvl>
    <w:lvl w:ilvl="5" w:tplc="C6B6AC06">
      <w:numFmt w:val="bullet"/>
      <w:lvlText w:val="•"/>
      <w:lvlJc w:val="left"/>
      <w:pPr>
        <w:ind w:left="2154" w:hanging="360"/>
      </w:pPr>
      <w:rPr>
        <w:rFonts w:hint="default"/>
        <w:lang w:val="en-GB" w:eastAsia="en-US" w:bidi="ar-SA"/>
      </w:rPr>
    </w:lvl>
    <w:lvl w:ilvl="6" w:tplc="EE9EB866">
      <w:numFmt w:val="bullet"/>
      <w:lvlText w:val="•"/>
      <w:lvlJc w:val="left"/>
      <w:pPr>
        <w:ind w:left="2492" w:hanging="360"/>
      </w:pPr>
      <w:rPr>
        <w:rFonts w:hint="default"/>
        <w:lang w:val="en-GB" w:eastAsia="en-US" w:bidi="ar-SA"/>
      </w:rPr>
    </w:lvl>
    <w:lvl w:ilvl="7" w:tplc="B756ED42">
      <w:numFmt w:val="bullet"/>
      <w:lvlText w:val="•"/>
      <w:lvlJc w:val="left"/>
      <w:pPr>
        <w:ind w:left="2831" w:hanging="360"/>
      </w:pPr>
      <w:rPr>
        <w:rFonts w:hint="default"/>
        <w:lang w:val="en-GB" w:eastAsia="en-US" w:bidi="ar-SA"/>
      </w:rPr>
    </w:lvl>
    <w:lvl w:ilvl="8" w:tplc="9D46F99C">
      <w:numFmt w:val="bullet"/>
      <w:lvlText w:val="•"/>
      <w:lvlJc w:val="left"/>
      <w:pPr>
        <w:ind w:left="3170" w:hanging="360"/>
      </w:pPr>
      <w:rPr>
        <w:rFonts w:hint="default"/>
        <w:lang w:val="en-GB" w:eastAsia="en-US" w:bidi="ar-SA"/>
      </w:rPr>
    </w:lvl>
  </w:abstractNum>
  <w:abstractNum w:abstractNumId="123">
    <w:nsid w:val="5465642C"/>
    <w:multiLevelType w:val="hybridMultilevel"/>
    <w:tmpl w:val="55089454"/>
    <w:lvl w:ilvl="0" w:tplc="C84488F8">
      <w:start w:val="7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2FC4BCF4">
      <w:numFmt w:val="bullet"/>
      <w:lvlText w:val="•"/>
      <w:lvlJc w:val="left"/>
      <w:pPr>
        <w:ind w:left="1612" w:hanging="552"/>
      </w:pPr>
      <w:rPr>
        <w:rFonts w:hint="default"/>
        <w:lang w:val="en-GB" w:eastAsia="en-US" w:bidi="ar-SA"/>
      </w:rPr>
    </w:lvl>
    <w:lvl w:ilvl="2" w:tplc="694E56FE">
      <w:numFmt w:val="bullet"/>
      <w:lvlText w:val="•"/>
      <w:lvlJc w:val="left"/>
      <w:pPr>
        <w:ind w:left="2505" w:hanging="552"/>
      </w:pPr>
      <w:rPr>
        <w:rFonts w:hint="default"/>
        <w:lang w:val="en-GB" w:eastAsia="en-US" w:bidi="ar-SA"/>
      </w:rPr>
    </w:lvl>
    <w:lvl w:ilvl="3" w:tplc="DB724818">
      <w:numFmt w:val="bullet"/>
      <w:lvlText w:val="•"/>
      <w:lvlJc w:val="left"/>
      <w:pPr>
        <w:ind w:left="3397" w:hanging="552"/>
      </w:pPr>
      <w:rPr>
        <w:rFonts w:hint="default"/>
        <w:lang w:val="en-GB" w:eastAsia="en-US" w:bidi="ar-SA"/>
      </w:rPr>
    </w:lvl>
    <w:lvl w:ilvl="4" w:tplc="3E2A4682">
      <w:numFmt w:val="bullet"/>
      <w:lvlText w:val="•"/>
      <w:lvlJc w:val="left"/>
      <w:pPr>
        <w:ind w:left="4290" w:hanging="552"/>
      </w:pPr>
      <w:rPr>
        <w:rFonts w:hint="default"/>
        <w:lang w:val="en-GB" w:eastAsia="en-US" w:bidi="ar-SA"/>
      </w:rPr>
    </w:lvl>
    <w:lvl w:ilvl="5" w:tplc="649AE7A2">
      <w:numFmt w:val="bullet"/>
      <w:lvlText w:val="•"/>
      <w:lvlJc w:val="left"/>
      <w:pPr>
        <w:ind w:left="5183" w:hanging="552"/>
      </w:pPr>
      <w:rPr>
        <w:rFonts w:hint="default"/>
        <w:lang w:val="en-GB" w:eastAsia="en-US" w:bidi="ar-SA"/>
      </w:rPr>
    </w:lvl>
    <w:lvl w:ilvl="6" w:tplc="F2925EB4">
      <w:numFmt w:val="bullet"/>
      <w:lvlText w:val="•"/>
      <w:lvlJc w:val="left"/>
      <w:pPr>
        <w:ind w:left="6075" w:hanging="552"/>
      </w:pPr>
      <w:rPr>
        <w:rFonts w:hint="default"/>
        <w:lang w:val="en-GB" w:eastAsia="en-US" w:bidi="ar-SA"/>
      </w:rPr>
    </w:lvl>
    <w:lvl w:ilvl="7" w:tplc="AF82BCA2">
      <w:numFmt w:val="bullet"/>
      <w:lvlText w:val="•"/>
      <w:lvlJc w:val="left"/>
      <w:pPr>
        <w:ind w:left="6968" w:hanging="552"/>
      </w:pPr>
      <w:rPr>
        <w:rFonts w:hint="default"/>
        <w:lang w:val="en-GB" w:eastAsia="en-US" w:bidi="ar-SA"/>
      </w:rPr>
    </w:lvl>
    <w:lvl w:ilvl="8" w:tplc="14C8BA1C">
      <w:numFmt w:val="bullet"/>
      <w:lvlText w:val="•"/>
      <w:lvlJc w:val="left"/>
      <w:pPr>
        <w:ind w:left="7861" w:hanging="552"/>
      </w:pPr>
      <w:rPr>
        <w:rFonts w:hint="default"/>
        <w:lang w:val="en-GB" w:eastAsia="en-US" w:bidi="ar-SA"/>
      </w:rPr>
    </w:lvl>
  </w:abstractNum>
  <w:abstractNum w:abstractNumId="124">
    <w:nsid w:val="56000244"/>
    <w:multiLevelType w:val="hybridMultilevel"/>
    <w:tmpl w:val="40EABBA4"/>
    <w:lvl w:ilvl="0" w:tplc="243EC998">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5BE61A98">
      <w:numFmt w:val="bullet"/>
      <w:lvlText w:val="•"/>
      <w:lvlJc w:val="left"/>
      <w:pPr>
        <w:ind w:left="1445" w:hanging="361"/>
      </w:pPr>
      <w:rPr>
        <w:rFonts w:hint="default"/>
        <w:lang w:val="en-GB" w:eastAsia="en-US" w:bidi="ar-SA"/>
      </w:rPr>
    </w:lvl>
    <w:lvl w:ilvl="2" w:tplc="818697D4">
      <w:numFmt w:val="bullet"/>
      <w:lvlText w:val="•"/>
      <w:lvlJc w:val="left"/>
      <w:pPr>
        <w:ind w:left="2071" w:hanging="361"/>
      </w:pPr>
      <w:rPr>
        <w:rFonts w:hint="default"/>
        <w:lang w:val="en-GB" w:eastAsia="en-US" w:bidi="ar-SA"/>
      </w:rPr>
    </w:lvl>
    <w:lvl w:ilvl="3" w:tplc="37CAA1E4">
      <w:numFmt w:val="bullet"/>
      <w:lvlText w:val="•"/>
      <w:lvlJc w:val="left"/>
      <w:pPr>
        <w:ind w:left="2697" w:hanging="361"/>
      </w:pPr>
      <w:rPr>
        <w:rFonts w:hint="default"/>
        <w:lang w:val="en-GB" w:eastAsia="en-US" w:bidi="ar-SA"/>
      </w:rPr>
    </w:lvl>
    <w:lvl w:ilvl="4" w:tplc="16ECD12E">
      <w:numFmt w:val="bullet"/>
      <w:lvlText w:val="•"/>
      <w:lvlJc w:val="left"/>
      <w:pPr>
        <w:ind w:left="3323" w:hanging="361"/>
      </w:pPr>
      <w:rPr>
        <w:rFonts w:hint="default"/>
        <w:lang w:val="en-GB" w:eastAsia="en-US" w:bidi="ar-SA"/>
      </w:rPr>
    </w:lvl>
    <w:lvl w:ilvl="5" w:tplc="6BB20494">
      <w:numFmt w:val="bullet"/>
      <w:lvlText w:val="•"/>
      <w:lvlJc w:val="left"/>
      <w:pPr>
        <w:ind w:left="3949" w:hanging="361"/>
      </w:pPr>
      <w:rPr>
        <w:rFonts w:hint="default"/>
        <w:lang w:val="en-GB" w:eastAsia="en-US" w:bidi="ar-SA"/>
      </w:rPr>
    </w:lvl>
    <w:lvl w:ilvl="6" w:tplc="EBCA2D2A">
      <w:numFmt w:val="bullet"/>
      <w:lvlText w:val="•"/>
      <w:lvlJc w:val="left"/>
      <w:pPr>
        <w:ind w:left="4575" w:hanging="361"/>
      </w:pPr>
      <w:rPr>
        <w:rFonts w:hint="default"/>
        <w:lang w:val="en-GB" w:eastAsia="en-US" w:bidi="ar-SA"/>
      </w:rPr>
    </w:lvl>
    <w:lvl w:ilvl="7" w:tplc="EAD6BCD4">
      <w:numFmt w:val="bullet"/>
      <w:lvlText w:val="•"/>
      <w:lvlJc w:val="left"/>
      <w:pPr>
        <w:ind w:left="5201" w:hanging="361"/>
      </w:pPr>
      <w:rPr>
        <w:rFonts w:hint="default"/>
        <w:lang w:val="en-GB" w:eastAsia="en-US" w:bidi="ar-SA"/>
      </w:rPr>
    </w:lvl>
    <w:lvl w:ilvl="8" w:tplc="8C5080E8">
      <w:numFmt w:val="bullet"/>
      <w:lvlText w:val="•"/>
      <w:lvlJc w:val="left"/>
      <w:pPr>
        <w:ind w:left="5827" w:hanging="361"/>
      </w:pPr>
      <w:rPr>
        <w:rFonts w:hint="default"/>
        <w:lang w:val="en-GB" w:eastAsia="en-US" w:bidi="ar-SA"/>
      </w:rPr>
    </w:lvl>
  </w:abstractNum>
  <w:abstractNum w:abstractNumId="125">
    <w:nsid w:val="5901376E"/>
    <w:multiLevelType w:val="hybridMultilevel"/>
    <w:tmpl w:val="6B147FEA"/>
    <w:lvl w:ilvl="0" w:tplc="D4D21E9E">
      <w:start w:val="8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FDE84108">
      <w:numFmt w:val="bullet"/>
      <w:lvlText w:val="•"/>
      <w:lvlJc w:val="left"/>
      <w:pPr>
        <w:ind w:left="1612" w:hanging="552"/>
      </w:pPr>
      <w:rPr>
        <w:rFonts w:hint="default"/>
        <w:lang w:val="en-GB" w:eastAsia="en-US" w:bidi="ar-SA"/>
      </w:rPr>
    </w:lvl>
    <w:lvl w:ilvl="2" w:tplc="5E94CC34">
      <w:numFmt w:val="bullet"/>
      <w:lvlText w:val="•"/>
      <w:lvlJc w:val="left"/>
      <w:pPr>
        <w:ind w:left="2505" w:hanging="552"/>
      </w:pPr>
      <w:rPr>
        <w:rFonts w:hint="default"/>
        <w:lang w:val="en-GB" w:eastAsia="en-US" w:bidi="ar-SA"/>
      </w:rPr>
    </w:lvl>
    <w:lvl w:ilvl="3" w:tplc="A42230D2">
      <w:numFmt w:val="bullet"/>
      <w:lvlText w:val="•"/>
      <w:lvlJc w:val="left"/>
      <w:pPr>
        <w:ind w:left="3397" w:hanging="552"/>
      </w:pPr>
      <w:rPr>
        <w:rFonts w:hint="default"/>
        <w:lang w:val="en-GB" w:eastAsia="en-US" w:bidi="ar-SA"/>
      </w:rPr>
    </w:lvl>
    <w:lvl w:ilvl="4" w:tplc="4B1CE28E">
      <w:numFmt w:val="bullet"/>
      <w:lvlText w:val="•"/>
      <w:lvlJc w:val="left"/>
      <w:pPr>
        <w:ind w:left="4290" w:hanging="552"/>
      </w:pPr>
      <w:rPr>
        <w:rFonts w:hint="default"/>
        <w:lang w:val="en-GB" w:eastAsia="en-US" w:bidi="ar-SA"/>
      </w:rPr>
    </w:lvl>
    <w:lvl w:ilvl="5" w:tplc="058C34E6">
      <w:numFmt w:val="bullet"/>
      <w:lvlText w:val="•"/>
      <w:lvlJc w:val="left"/>
      <w:pPr>
        <w:ind w:left="5183" w:hanging="552"/>
      </w:pPr>
      <w:rPr>
        <w:rFonts w:hint="default"/>
        <w:lang w:val="en-GB" w:eastAsia="en-US" w:bidi="ar-SA"/>
      </w:rPr>
    </w:lvl>
    <w:lvl w:ilvl="6" w:tplc="DFFC6514">
      <w:numFmt w:val="bullet"/>
      <w:lvlText w:val="•"/>
      <w:lvlJc w:val="left"/>
      <w:pPr>
        <w:ind w:left="6075" w:hanging="552"/>
      </w:pPr>
      <w:rPr>
        <w:rFonts w:hint="default"/>
        <w:lang w:val="en-GB" w:eastAsia="en-US" w:bidi="ar-SA"/>
      </w:rPr>
    </w:lvl>
    <w:lvl w:ilvl="7" w:tplc="3E8CE6E2">
      <w:numFmt w:val="bullet"/>
      <w:lvlText w:val="•"/>
      <w:lvlJc w:val="left"/>
      <w:pPr>
        <w:ind w:left="6968" w:hanging="552"/>
      </w:pPr>
      <w:rPr>
        <w:rFonts w:hint="default"/>
        <w:lang w:val="en-GB" w:eastAsia="en-US" w:bidi="ar-SA"/>
      </w:rPr>
    </w:lvl>
    <w:lvl w:ilvl="8" w:tplc="2696A54C">
      <w:numFmt w:val="bullet"/>
      <w:lvlText w:val="•"/>
      <w:lvlJc w:val="left"/>
      <w:pPr>
        <w:ind w:left="7861" w:hanging="552"/>
      </w:pPr>
      <w:rPr>
        <w:rFonts w:hint="default"/>
        <w:lang w:val="en-GB" w:eastAsia="en-US" w:bidi="ar-SA"/>
      </w:rPr>
    </w:lvl>
  </w:abstractNum>
  <w:abstractNum w:abstractNumId="126">
    <w:nsid w:val="59817F16"/>
    <w:multiLevelType w:val="hybridMultilevel"/>
    <w:tmpl w:val="67942BE0"/>
    <w:lvl w:ilvl="0" w:tplc="87C8A456">
      <w:start w:val="109"/>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1A74276A">
      <w:numFmt w:val="bullet"/>
      <w:lvlText w:val="•"/>
      <w:lvlJc w:val="left"/>
      <w:pPr>
        <w:ind w:left="1720" w:hanging="675"/>
      </w:pPr>
      <w:rPr>
        <w:rFonts w:hint="default"/>
        <w:lang w:val="en-GB" w:eastAsia="en-US" w:bidi="ar-SA"/>
      </w:rPr>
    </w:lvl>
    <w:lvl w:ilvl="2" w:tplc="702E03DE">
      <w:numFmt w:val="bullet"/>
      <w:lvlText w:val="•"/>
      <w:lvlJc w:val="left"/>
      <w:pPr>
        <w:ind w:left="2601" w:hanging="675"/>
      </w:pPr>
      <w:rPr>
        <w:rFonts w:hint="default"/>
        <w:lang w:val="en-GB" w:eastAsia="en-US" w:bidi="ar-SA"/>
      </w:rPr>
    </w:lvl>
    <w:lvl w:ilvl="3" w:tplc="9D567B34">
      <w:numFmt w:val="bullet"/>
      <w:lvlText w:val="•"/>
      <w:lvlJc w:val="left"/>
      <w:pPr>
        <w:ind w:left="3481" w:hanging="675"/>
      </w:pPr>
      <w:rPr>
        <w:rFonts w:hint="default"/>
        <w:lang w:val="en-GB" w:eastAsia="en-US" w:bidi="ar-SA"/>
      </w:rPr>
    </w:lvl>
    <w:lvl w:ilvl="4" w:tplc="16A04EB0">
      <w:numFmt w:val="bullet"/>
      <w:lvlText w:val="•"/>
      <w:lvlJc w:val="left"/>
      <w:pPr>
        <w:ind w:left="4362" w:hanging="675"/>
      </w:pPr>
      <w:rPr>
        <w:rFonts w:hint="default"/>
        <w:lang w:val="en-GB" w:eastAsia="en-US" w:bidi="ar-SA"/>
      </w:rPr>
    </w:lvl>
    <w:lvl w:ilvl="5" w:tplc="4A90C754">
      <w:numFmt w:val="bullet"/>
      <w:lvlText w:val="•"/>
      <w:lvlJc w:val="left"/>
      <w:pPr>
        <w:ind w:left="5243" w:hanging="675"/>
      </w:pPr>
      <w:rPr>
        <w:rFonts w:hint="default"/>
        <w:lang w:val="en-GB" w:eastAsia="en-US" w:bidi="ar-SA"/>
      </w:rPr>
    </w:lvl>
    <w:lvl w:ilvl="6" w:tplc="994436AE">
      <w:numFmt w:val="bullet"/>
      <w:lvlText w:val="•"/>
      <w:lvlJc w:val="left"/>
      <w:pPr>
        <w:ind w:left="6123" w:hanging="675"/>
      </w:pPr>
      <w:rPr>
        <w:rFonts w:hint="default"/>
        <w:lang w:val="en-GB" w:eastAsia="en-US" w:bidi="ar-SA"/>
      </w:rPr>
    </w:lvl>
    <w:lvl w:ilvl="7" w:tplc="18E2E110">
      <w:numFmt w:val="bullet"/>
      <w:lvlText w:val="•"/>
      <w:lvlJc w:val="left"/>
      <w:pPr>
        <w:ind w:left="7004" w:hanging="675"/>
      </w:pPr>
      <w:rPr>
        <w:rFonts w:hint="default"/>
        <w:lang w:val="en-GB" w:eastAsia="en-US" w:bidi="ar-SA"/>
      </w:rPr>
    </w:lvl>
    <w:lvl w:ilvl="8" w:tplc="DB943738">
      <w:numFmt w:val="bullet"/>
      <w:lvlText w:val="•"/>
      <w:lvlJc w:val="left"/>
      <w:pPr>
        <w:ind w:left="7885" w:hanging="675"/>
      </w:pPr>
      <w:rPr>
        <w:rFonts w:hint="default"/>
        <w:lang w:val="en-GB" w:eastAsia="en-US" w:bidi="ar-SA"/>
      </w:rPr>
    </w:lvl>
  </w:abstractNum>
  <w:abstractNum w:abstractNumId="127">
    <w:nsid w:val="5AC87616"/>
    <w:multiLevelType w:val="hybridMultilevel"/>
    <w:tmpl w:val="F46467C2"/>
    <w:lvl w:ilvl="0" w:tplc="FE6AE226">
      <w:start w:val="126"/>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7C3C9856">
      <w:numFmt w:val="bullet"/>
      <w:lvlText w:val="•"/>
      <w:lvlJc w:val="left"/>
      <w:pPr>
        <w:ind w:left="1720" w:hanging="675"/>
      </w:pPr>
      <w:rPr>
        <w:rFonts w:hint="default"/>
        <w:lang w:val="en-GB" w:eastAsia="en-US" w:bidi="ar-SA"/>
      </w:rPr>
    </w:lvl>
    <w:lvl w:ilvl="2" w:tplc="9D36AE1A">
      <w:numFmt w:val="bullet"/>
      <w:lvlText w:val="•"/>
      <w:lvlJc w:val="left"/>
      <w:pPr>
        <w:ind w:left="2601" w:hanging="675"/>
      </w:pPr>
      <w:rPr>
        <w:rFonts w:hint="default"/>
        <w:lang w:val="en-GB" w:eastAsia="en-US" w:bidi="ar-SA"/>
      </w:rPr>
    </w:lvl>
    <w:lvl w:ilvl="3" w:tplc="CEB48ECA">
      <w:numFmt w:val="bullet"/>
      <w:lvlText w:val="•"/>
      <w:lvlJc w:val="left"/>
      <w:pPr>
        <w:ind w:left="3481" w:hanging="675"/>
      </w:pPr>
      <w:rPr>
        <w:rFonts w:hint="default"/>
        <w:lang w:val="en-GB" w:eastAsia="en-US" w:bidi="ar-SA"/>
      </w:rPr>
    </w:lvl>
    <w:lvl w:ilvl="4" w:tplc="5AB0ADA2">
      <w:numFmt w:val="bullet"/>
      <w:lvlText w:val="•"/>
      <w:lvlJc w:val="left"/>
      <w:pPr>
        <w:ind w:left="4362" w:hanging="675"/>
      </w:pPr>
      <w:rPr>
        <w:rFonts w:hint="default"/>
        <w:lang w:val="en-GB" w:eastAsia="en-US" w:bidi="ar-SA"/>
      </w:rPr>
    </w:lvl>
    <w:lvl w:ilvl="5" w:tplc="BF885252">
      <w:numFmt w:val="bullet"/>
      <w:lvlText w:val="•"/>
      <w:lvlJc w:val="left"/>
      <w:pPr>
        <w:ind w:left="5243" w:hanging="675"/>
      </w:pPr>
      <w:rPr>
        <w:rFonts w:hint="default"/>
        <w:lang w:val="en-GB" w:eastAsia="en-US" w:bidi="ar-SA"/>
      </w:rPr>
    </w:lvl>
    <w:lvl w:ilvl="6" w:tplc="8FD455D8">
      <w:numFmt w:val="bullet"/>
      <w:lvlText w:val="•"/>
      <w:lvlJc w:val="left"/>
      <w:pPr>
        <w:ind w:left="6123" w:hanging="675"/>
      </w:pPr>
      <w:rPr>
        <w:rFonts w:hint="default"/>
        <w:lang w:val="en-GB" w:eastAsia="en-US" w:bidi="ar-SA"/>
      </w:rPr>
    </w:lvl>
    <w:lvl w:ilvl="7" w:tplc="D8DC1FF4">
      <w:numFmt w:val="bullet"/>
      <w:lvlText w:val="•"/>
      <w:lvlJc w:val="left"/>
      <w:pPr>
        <w:ind w:left="7004" w:hanging="675"/>
      </w:pPr>
      <w:rPr>
        <w:rFonts w:hint="default"/>
        <w:lang w:val="en-GB" w:eastAsia="en-US" w:bidi="ar-SA"/>
      </w:rPr>
    </w:lvl>
    <w:lvl w:ilvl="8" w:tplc="5BDC95C6">
      <w:numFmt w:val="bullet"/>
      <w:lvlText w:val="•"/>
      <w:lvlJc w:val="left"/>
      <w:pPr>
        <w:ind w:left="7885" w:hanging="675"/>
      </w:pPr>
      <w:rPr>
        <w:rFonts w:hint="default"/>
        <w:lang w:val="en-GB" w:eastAsia="en-US" w:bidi="ar-SA"/>
      </w:rPr>
    </w:lvl>
  </w:abstractNum>
  <w:abstractNum w:abstractNumId="128">
    <w:nsid w:val="5B0F05E1"/>
    <w:multiLevelType w:val="hybridMultilevel"/>
    <w:tmpl w:val="6122B62E"/>
    <w:lvl w:ilvl="0" w:tplc="7F766280">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56DE1264">
      <w:numFmt w:val="bullet"/>
      <w:lvlText w:val="•"/>
      <w:lvlJc w:val="left"/>
      <w:pPr>
        <w:ind w:left="1445" w:hanging="361"/>
      </w:pPr>
      <w:rPr>
        <w:rFonts w:hint="default"/>
        <w:lang w:val="en-GB" w:eastAsia="en-US" w:bidi="ar-SA"/>
      </w:rPr>
    </w:lvl>
    <w:lvl w:ilvl="2" w:tplc="F9E43882">
      <w:numFmt w:val="bullet"/>
      <w:lvlText w:val="•"/>
      <w:lvlJc w:val="left"/>
      <w:pPr>
        <w:ind w:left="2071" w:hanging="361"/>
      </w:pPr>
      <w:rPr>
        <w:rFonts w:hint="default"/>
        <w:lang w:val="en-GB" w:eastAsia="en-US" w:bidi="ar-SA"/>
      </w:rPr>
    </w:lvl>
    <w:lvl w:ilvl="3" w:tplc="1BC0EE7A">
      <w:numFmt w:val="bullet"/>
      <w:lvlText w:val="•"/>
      <w:lvlJc w:val="left"/>
      <w:pPr>
        <w:ind w:left="2697" w:hanging="361"/>
      </w:pPr>
      <w:rPr>
        <w:rFonts w:hint="default"/>
        <w:lang w:val="en-GB" w:eastAsia="en-US" w:bidi="ar-SA"/>
      </w:rPr>
    </w:lvl>
    <w:lvl w:ilvl="4" w:tplc="87487650">
      <w:numFmt w:val="bullet"/>
      <w:lvlText w:val="•"/>
      <w:lvlJc w:val="left"/>
      <w:pPr>
        <w:ind w:left="3323" w:hanging="361"/>
      </w:pPr>
      <w:rPr>
        <w:rFonts w:hint="default"/>
        <w:lang w:val="en-GB" w:eastAsia="en-US" w:bidi="ar-SA"/>
      </w:rPr>
    </w:lvl>
    <w:lvl w:ilvl="5" w:tplc="467A0740">
      <w:numFmt w:val="bullet"/>
      <w:lvlText w:val="•"/>
      <w:lvlJc w:val="left"/>
      <w:pPr>
        <w:ind w:left="3949" w:hanging="361"/>
      </w:pPr>
      <w:rPr>
        <w:rFonts w:hint="default"/>
        <w:lang w:val="en-GB" w:eastAsia="en-US" w:bidi="ar-SA"/>
      </w:rPr>
    </w:lvl>
    <w:lvl w:ilvl="6" w:tplc="8D7438D6">
      <w:numFmt w:val="bullet"/>
      <w:lvlText w:val="•"/>
      <w:lvlJc w:val="left"/>
      <w:pPr>
        <w:ind w:left="4575" w:hanging="361"/>
      </w:pPr>
      <w:rPr>
        <w:rFonts w:hint="default"/>
        <w:lang w:val="en-GB" w:eastAsia="en-US" w:bidi="ar-SA"/>
      </w:rPr>
    </w:lvl>
    <w:lvl w:ilvl="7" w:tplc="B82E488A">
      <w:numFmt w:val="bullet"/>
      <w:lvlText w:val="•"/>
      <w:lvlJc w:val="left"/>
      <w:pPr>
        <w:ind w:left="5201" w:hanging="361"/>
      </w:pPr>
      <w:rPr>
        <w:rFonts w:hint="default"/>
        <w:lang w:val="en-GB" w:eastAsia="en-US" w:bidi="ar-SA"/>
      </w:rPr>
    </w:lvl>
    <w:lvl w:ilvl="8" w:tplc="39085832">
      <w:numFmt w:val="bullet"/>
      <w:lvlText w:val="•"/>
      <w:lvlJc w:val="left"/>
      <w:pPr>
        <w:ind w:left="5827" w:hanging="361"/>
      </w:pPr>
      <w:rPr>
        <w:rFonts w:hint="default"/>
        <w:lang w:val="en-GB" w:eastAsia="en-US" w:bidi="ar-SA"/>
      </w:rPr>
    </w:lvl>
  </w:abstractNum>
  <w:abstractNum w:abstractNumId="129">
    <w:nsid w:val="5B49376C"/>
    <w:multiLevelType w:val="hybridMultilevel"/>
    <w:tmpl w:val="C50C0DE4"/>
    <w:lvl w:ilvl="0" w:tplc="5FA4AA6C">
      <w:start w:val="1"/>
      <w:numFmt w:val="decimal"/>
      <w:lvlText w:val="%1."/>
      <w:lvlJc w:val="left"/>
      <w:pPr>
        <w:ind w:left="329" w:hanging="221"/>
        <w:jc w:val="left"/>
      </w:pPr>
      <w:rPr>
        <w:rFonts w:ascii="Arial" w:eastAsia="Arial" w:hAnsi="Arial" w:cs="Arial" w:hint="default"/>
        <w:b w:val="0"/>
        <w:bCs w:val="0"/>
        <w:i w:val="0"/>
        <w:iCs w:val="0"/>
        <w:spacing w:val="-1"/>
        <w:w w:val="99"/>
        <w:sz w:val="20"/>
        <w:szCs w:val="20"/>
        <w:lang w:val="en-GB" w:eastAsia="en-US" w:bidi="ar-SA"/>
      </w:rPr>
    </w:lvl>
    <w:lvl w:ilvl="1" w:tplc="8CD092FC">
      <w:numFmt w:val="bullet"/>
      <w:lvlText w:val="•"/>
      <w:lvlJc w:val="left"/>
      <w:pPr>
        <w:ind w:left="607" w:hanging="221"/>
      </w:pPr>
      <w:rPr>
        <w:rFonts w:hint="default"/>
        <w:lang w:val="en-GB" w:eastAsia="en-US" w:bidi="ar-SA"/>
      </w:rPr>
    </w:lvl>
    <w:lvl w:ilvl="2" w:tplc="6C628E04">
      <w:numFmt w:val="bullet"/>
      <w:lvlText w:val="•"/>
      <w:lvlJc w:val="left"/>
      <w:pPr>
        <w:ind w:left="894" w:hanging="221"/>
      </w:pPr>
      <w:rPr>
        <w:rFonts w:hint="default"/>
        <w:lang w:val="en-GB" w:eastAsia="en-US" w:bidi="ar-SA"/>
      </w:rPr>
    </w:lvl>
    <w:lvl w:ilvl="3" w:tplc="A760B1EA">
      <w:numFmt w:val="bullet"/>
      <w:lvlText w:val="•"/>
      <w:lvlJc w:val="left"/>
      <w:pPr>
        <w:ind w:left="1181" w:hanging="221"/>
      </w:pPr>
      <w:rPr>
        <w:rFonts w:hint="default"/>
        <w:lang w:val="en-GB" w:eastAsia="en-US" w:bidi="ar-SA"/>
      </w:rPr>
    </w:lvl>
    <w:lvl w:ilvl="4" w:tplc="CDF6F470">
      <w:numFmt w:val="bullet"/>
      <w:lvlText w:val="•"/>
      <w:lvlJc w:val="left"/>
      <w:pPr>
        <w:ind w:left="1468" w:hanging="221"/>
      </w:pPr>
      <w:rPr>
        <w:rFonts w:hint="default"/>
        <w:lang w:val="en-GB" w:eastAsia="en-US" w:bidi="ar-SA"/>
      </w:rPr>
    </w:lvl>
    <w:lvl w:ilvl="5" w:tplc="FB4ACE8C">
      <w:numFmt w:val="bullet"/>
      <w:lvlText w:val="•"/>
      <w:lvlJc w:val="left"/>
      <w:pPr>
        <w:ind w:left="1756" w:hanging="221"/>
      </w:pPr>
      <w:rPr>
        <w:rFonts w:hint="default"/>
        <w:lang w:val="en-GB" w:eastAsia="en-US" w:bidi="ar-SA"/>
      </w:rPr>
    </w:lvl>
    <w:lvl w:ilvl="6" w:tplc="6B2A89D2">
      <w:numFmt w:val="bullet"/>
      <w:lvlText w:val="•"/>
      <w:lvlJc w:val="left"/>
      <w:pPr>
        <w:ind w:left="2043" w:hanging="221"/>
      </w:pPr>
      <w:rPr>
        <w:rFonts w:hint="default"/>
        <w:lang w:val="en-GB" w:eastAsia="en-US" w:bidi="ar-SA"/>
      </w:rPr>
    </w:lvl>
    <w:lvl w:ilvl="7" w:tplc="C50623C0">
      <w:numFmt w:val="bullet"/>
      <w:lvlText w:val="•"/>
      <w:lvlJc w:val="left"/>
      <w:pPr>
        <w:ind w:left="2330" w:hanging="221"/>
      </w:pPr>
      <w:rPr>
        <w:rFonts w:hint="default"/>
        <w:lang w:val="en-GB" w:eastAsia="en-US" w:bidi="ar-SA"/>
      </w:rPr>
    </w:lvl>
    <w:lvl w:ilvl="8" w:tplc="EE20F72E">
      <w:numFmt w:val="bullet"/>
      <w:lvlText w:val="•"/>
      <w:lvlJc w:val="left"/>
      <w:pPr>
        <w:ind w:left="2617" w:hanging="221"/>
      </w:pPr>
      <w:rPr>
        <w:rFonts w:hint="default"/>
        <w:lang w:val="en-GB" w:eastAsia="en-US" w:bidi="ar-SA"/>
      </w:rPr>
    </w:lvl>
  </w:abstractNum>
  <w:abstractNum w:abstractNumId="130">
    <w:nsid w:val="5B726399"/>
    <w:multiLevelType w:val="hybridMultilevel"/>
    <w:tmpl w:val="5CD86460"/>
    <w:lvl w:ilvl="0" w:tplc="4E767A9E">
      <w:start w:val="49"/>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75AA8FA4">
      <w:numFmt w:val="bullet"/>
      <w:lvlText w:val="•"/>
      <w:lvlJc w:val="left"/>
      <w:pPr>
        <w:ind w:left="1612" w:hanging="552"/>
      </w:pPr>
      <w:rPr>
        <w:rFonts w:hint="default"/>
        <w:lang w:val="en-GB" w:eastAsia="en-US" w:bidi="ar-SA"/>
      </w:rPr>
    </w:lvl>
    <w:lvl w:ilvl="2" w:tplc="1D0C987C">
      <w:numFmt w:val="bullet"/>
      <w:lvlText w:val="•"/>
      <w:lvlJc w:val="left"/>
      <w:pPr>
        <w:ind w:left="2505" w:hanging="552"/>
      </w:pPr>
      <w:rPr>
        <w:rFonts w:hint="default"/>
        <w:lang w:val="en-GB" w:eastAsia="en-US" w:bidi="ar-SA"/>
      </w:rPr>
    </w:lvl>
    <w:lvl w:ilvl="3" w:tplc="664E5FB0">
      <w:numFmt w:val="bullet"/>
      <w:lvlText w:val="•"/>
      <w:lvlJc w:val="left"/>
      <w:pPr>
        <w:ind w:left="3397" w:hanging="552"/>
      </w:pPr>
      <w:rPr>
        <w:rFonts w:hint="default"/>
        <w:lang w:val="en-GB" w:eastAsia="en-US" w:bidi="ar-SA"/>
      </w:rPr>
    </w:lvl>
    <w:lvl w:ilvl="4" w:tplc="52028F62">
      <w:numFmt w:val="bullet"/>
      <w:lvlText w:val="•"/>
      <w:lvlJc w:val="left"/>
      <w:pPr>
        <w:ind w:left="4290" w:hanging="552"/>
      </w:pPr>
      <w:rPr>
        <w:rFonts w:hint="default"/>
        <w:lang w:val="en-GB" w:eastAsia="en-US" w:bidi="ar-SA"/>
      </w:rPr>
    </w:lvl>
    <w:lvl w:ilvl="5" w:tplc="14C2A05A">
      <w:numFmt w:val="bullet"/>
      <w:lvlText w:val="•"/>
      <w:lvlJc w:val="left"/>
      <w:pPr>
        <w:ind w:left="5183" w:hanging="552"/>
      </w:pPr>
      <w:rPr>
        <w:rFonts w:hint="default"/>
        <w:lang w:val="en-GB" w:eastAsia="en-US" w:bidi="ar-SA"/>
      </w:rPr>
    </w:lvl>
    <w:lvl w:ilvl="6" w:tplc="117ABB6C">
      <w:numFmt w:val="bullet"/>
      <w:lvlText w:val="•"/>
      <w:lvlJc w:val="left"/>
      <w:pPr>
        <w:ind w:left="6075" w:hanging="552"/>
      </w:pPr>
      <w:rPr>
        <w:rFonts w:hint="default"/>
        <w:lang w:val="en-GB" w:eastAsia="en-US" w:bidi="ar-SA"/>
      </w:rPr>
    </w:lvl>
    <w:lvl w:ilvl="7" w:tplc="D8164B76">
      <w:numFmt w:val="bullet"/>
      <w:lvlText w:val="•"/>
      <w:lvlJc w:val="left"/>
      <w:pPr>
        <w:ind w:left="6968" w:hanging="552"/>
      </w:pPr>
      <w:rPr>
        <w:rFonts w:hint="default"/>
        <w:lang w:val="en-GB" w:eastAsia="en-US" w:bidi="ar-SA"/>
      </w:rPr>
    </w:lvl>
    <w:lvl w:ilvl="8" w:tplc="4836A06A">
      <w:numFmt w:val="bullet"/>
      <w:lvlText w:val="•"/>
      <w:lvlJc w:val="left"/>
      <w:pPr>
        <w:ind w:left="7861" w:hanging="552"/>
      </w:pPr>
      <w:rPr>
        <w:rFonts w:hint="default"/>
        <w:lang w:val="en-GB" w:eastAsia="en-US" w:bidi="ar-SA"/>
      </w:rPr>
    </w:lvl>
  </w:abstractNum>
  <w:abstractNum w:abstractNumId="131">
    <w:nsid w:val="5B8A02C4"/>
    <w:multiLevelType w:val="hybridMultilevel"/>
    <w:tmpl w:val="77208FE2"/>
    <w:lvl w:ilvl="0" w:tplc="72FA8304">
      <w:start w:val="5"/>
      <w:numFmt w:val="decimal"/>
      <w:lvlText w:val="%1"/>
      <w:lvlJc w:val="left"/>
      <w:pPr>
        <w:ind w:left="120" w:hanging="152"/>
        <w:jc w:val="left"/>
      </w:pPr>
      <w:rPr>
        <w:rFonts w:ascii="Arial" w:eastAsia="Arial" w:hAnsi="Arial" w:cs="Arial" w:hint="default"/>
        <w:b w:val="0"/>
        <w:bCs w:val="0"/>
        <w:i/>
        <w:iCs/>
        <w:w w:val="100"/>
        <w:sz w:val="18"/>
        <w:szCs w:val="18"/>
        <w:lang w:val="en-GB" w:eastAsia="en-US" w:bidi="ar-SA"/>
      </w:rPr>
    </w:lvl>
    <w:lvl w:ilvl="1" w:tplc="D5D87AE8">
      <w:numFmt w:val="bullet"/>
      <w:lvlText w:val="•"/>
      <w:lvlJc w:val="left"/>
      <w:pPr>
        <w:ind w:left="1549" w:hanging="152"/>
      </w:pPr>
      <w:rPr>
        <w:rFonts w:hint="default"/>
        <w:lang w:val="en-GB" w:eastAsia="en-US" w:bidi="ar-SA"/>
      </w:rPr>
    </w:lvl>
    <w:lvl w:ilvl="2" w:tplc="941EADBA">
      <w:numFmt w:val="bullet"/>
      <w:lvlText w:val="•"/>
      <w:lvlJc w:val="left"/>
      <w:pPr>
        <w:ind w:left="2979" w:hanging="152"/>
      </w:pPr>
      <w:rPr>
        <w:rFonts w:hint="default"/>
        <w:lang w:val="en-GB" w:eastAsia="en-US" w:bidi="ar-SA"/>
      </w:rPr>
    </w:lvl>
    <w:lvl w:ilvl="3" w:tplc="421ECB40">
      <w:numFmt w:val="bullet"/>
      <w:lvlText w:val="•"/>
      <w:lvlJc w:val="left"/>
      <w:pPr>
        <w:ind w:left="4409" w:hanging="152"/>
      </w:pPr>
      <w:rPr>
        <w:rFonts w:hint="default"/>
        <w:lang w:val="en-GB" w:eastAsia="en-US" w:bidi="ar-SA"/>
      </w:rPr>
    </w:lvl>
    <w:lvl w:ilvl="4" w:tplc="E25EE148">
      <w:numFmt w:val="bullet"/>
      <w:lvlText w:val="•"/>
      <w:lvlJc w:val="left"/>
      <w:pPr>
        <w:ind w:left="5839" w:hanging="152"/>
      </w:pPr>
      <w:rPr>
        <w:rFonts w:hint="default"/>
        <w:lang w:val="en-GB" w:eastAsia="en-US" w:bidi="ar-SA"/>
      </w:rPr>
    </w:lvl>
    <w:lvl w:ilvl="5" w:tplc="0148A8B2">
      <w:numFmt w:val="bullet"/>
      <w:lvlText w:val="•"/>
      <w:lvlJc w:val="left"/>
      <w:pPr>
        <w:ind w:left="7269" w:hanging="152"/>
      </w:pPr>
      <w:rPr>
        <w:rFonts w:hint="default"/>
        <w:lang w:val="en-GB" w:eastAsia="en-US" w:bidi="ar-SA"/>
      </w:rPr>
    </w:lvl>
    <w:lvl w:ilvl="6" w:tplc="1E8A02CE">
      <w:numFmt w:val="bullet"/>
      <w:lvlText w:val="•"/>
      <w:lvlJc w:val="left"/>
      <w:pPr>
        <w:ind w:left="8699" w:hanging="152"/>
      </w:pPr>
      <w:rPr>
        <w:rFonts w:hint="default"/>
        <w:lang w:val="en-GB" w:eastAsia="en-US" w:bidi="ar-SA"/>
      </w:rPr>
    </w:lvl>
    <w:lvl w:ilvl="7" w:tplc="E8F21FA8">
      <w:numFmt w:val="bullet"/>
      <w:lvlText w:val="•"/>
      <w:lvlJc w:val="left"/>
      <w:pPr>
        <w:ind w:left="10128" w:hanging="152"/>
      </w:pPr>
      <w:rPr>
        <w:rFonts w:hint="default"/>
        <w:lang w:val="en-GB" w:eastAsia="en-US" w:bidi="ar-SA"/>
      </w:rPr>
    </w:lvl>
    <w:lvl w:ilvl="8" w:tplc="EC8C46A4">
      <w:numFmt w:val="bullet"/>
      <w:lvlText w:val="•"/>
      <w:lvlJc w:val="left"/>
      <w:pPr>
        <w:ind w:left="11558" w:hanging="152"/>
      </w:pPr>
      <w:rPr>
        <w:rFonts w:hint="default"/>
        <w:lang w:val="en-GB" w:eastAsia="en-US" w:bidi="ar-SA"/>
      </w:rPr>
    </w:lvl>
  </w:abstractNum>
  <w:abstractNum w:abstractNumId="132">
    <w:nsid w:val="5D0B4BA9"/>
    <w:multiLevelType w:val="hybridMultilevel"/>
    <w:tmpl w:val="CF28BA68"/>
    <w:lvl w:ilvl="0" w:tplc="BCE4F448">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250A3FB6">
      <w:numFmt w:val="bullet"/>
      <w:lvlText w:val="•"/>
      <w:lvlJc w:val="left"/>
      <w:pPr>
        <w:ind w:left="1486" w:hanging="430"/>
      </w:pPr>
      <w:rPr>
        <w:rFonts w:hint="default"/>
        <w:lang w:val="en-GB" w:eastAsia="en-US" w:bidi="ar-SA"/>
      </w:rPr>
    </w:lvl>
    <w:lvl w:ilvl="2" w:tplc="AB800166">
      <w:numFmt w:val="bullet"/>
      <w:lvlText w:val="•"/>
      <w:lvlJc w:val="left"/>
      <w:pPr>
        <w:ind w:left="2393" w:hanging="430"/>
      </w:pPr>
      <w:rPr>
        <w:rFonts w:hint="default"/>
        <w:lang w:val="en-GB" w:eastAsia="en-US" w:bidi="ar-SA"/>
      </w:rPr>
    </w:lvl>
    <w:lvl w:ilvl="3" w:tplc="0590AB1E">
      <w:numFmt w:val="bullet"/>
      <w:lvlText w:val="•"/>
      <w:lvlJc w:val="left"/>
      <w:pPr>
        <w:ind w:left="3299" w:hanging="430"/>
      </w:pPr>
      <w:rPr>
        <w:rFonts w:hint="default"/>
        <w:lang w:val="en-GB" w:eastAsia="en-US" w:bidi="ar-SA"/>
      </w:rPr>
    </w:lvl>
    <w:lvl w:ilvl="4" w:tplc="4F76DB76">
      <w:numFmt w:val="bullet"/>
      <w:lvlText w:val="•"/>
      <w:lvlJc w:val="left"/>
      <w:pPr>
        <w:ind w:left="4206" w:hanging="430"/>
      </w:pPr>
      <w:rPr>
        <w:rFonts w:hint="default"/>
        <w:lang w:val="en-GB" w:eastAsia="en-US" w:bidi="ar-SA"/>
      </w:rPr>
    </w:lvl>
    <w:lvl w:ilvl="5" w:tplc="D6CCF0EC">
      <w:numFmt w:val="bullet"/>
      <w:lvlText w:val="•"/>
      <w:lvlJc w:val="left"/>
      <w:pPr>
        <w:ind w:left="5113" w:hanging="430"/>
      </w:pPr>
      <w:rPr>
        <w:rFonts w:hint="default"/>
        <w:lang w:val="en-GB" w:eastAsia="en-US" w:bidi="ar-SA"/>
      </w:rPr>
    </w:lvl>
    <w:lvl w:ilvl="6" w:tplc="2D14AB2E">
      <w:numFmt w:val="bullet"/>
      <w:lvlText w:val="•"/>
      <w:lvlJc w:val="left"/>
      <w:pPr>
        <w:ind w:left="6019" w:hanging="430"/>
      </w:pPr>
      <w:rPr>
        <w:rFonts w:hint="default"/>
        <w:lang w:val="en-GB" w:eastAsia="en-US" w:bidi="ar-SA"/>
      </w:rPr>
    </w:lvl>
    <w:lvl w:ilvl="7" w:tplc="8CD2C5D2">
      <w:numFmt w:val="bullet"/>
      <w:lvlText w:val="•"/>
      <w:lvlJc w:val="left"/>
      <w:pPr>
        <w:ind w:left="6926" w:hanging="430"/>
      </w:pPr>
      <w:rPr>
        <w:rFonts w:hint="default"/>
        <w:lang w:val="en-GB" w:eastAsia="en-US" w:bidi="ar-SA"/>
      </w:rPr>
    </w:lvl>
    <w:lvl w:ilvl="8" w:tplc="C1DA609E">
      <w:numFmt w:val="bullet"/>
      <w:lvlText w:val="•"/>
      <w:lvlJc w:val="left"/>
      <w:pPr>
        <w:ind w:left="7833" w:hanging="430"/>
      </w:pPr>
      <w:rPr>
        <w:rFonts w:hint="default"/>
        <w:lang w:val="en-GB" w:eastAsia="en-US" w:bidi="ar-SA"/>
      </w:rPr>
    </w:lvl>
  </w:abstractNum>
  <w:abstractNum w:abstractNumId="133">
    <w:nsid w:val="5E040D13"/>
    <w:multiLevelType w:val="hybridMultilevel"/>
    <w:tmpl w:val="966E9AC4"/>
    <w:lvl w:ilvl="0" w:tplc="CE66A172">
      <w:start w:val="1"/>
      <w:numFmt w:val="lowerLetter"/>
      <w:lvlText w:val="(%1)"/>
      <w:lvlJc w:val="left"/>
      <w:pPr>
        <w:ind w:left="880" w:hanging="720"/>
        <w:jc w:val="left"/>
      </w:pPr>
      <w:rPr>
        <w:rFonts w:ascii="Arial" w:eastAsia="Arial" w:hAnsi="Arial" w:cs="Arial" w:hint="default"/>
        <w:b/>
        <w:bCs/>
        <w:i w:val="0"/>
        <w:iCs w:val="0"/>
        <w:color w:val="4F81BC"/>
        <w:w w:val="100"/>
        <w:sz w:val="24"/>
        <w:szCs w:val="24"/>
        <w:lang w:val="en-GB" w:eastAsia="en-US" w:bidi="ar-SA"/>
      </w:rPr>
    </w:lvl>
    <w:lvl w:ilvl="1" w:tplc="1C149BF4">
      <w:numFmt w:val="bullet"/>
      <w:lvlText w:val="•"/>
      <w:lvlJc w:val="left"/>
      <w:pPr>
        <w:ind w:left="1756" w:hanging="720"/>
      </w:pPr>
      <w:rPr>
        <w:rFonts w:hint="default"/>
        <w:lang w:val="en-GB" w:eastAsia="en-US" w:bidi="ar-SA"/>
      </w:rPr>
    </w:lvl>
    <w:lvl w:ilvl="2" w:tplc="8C92327E">
      <w:numFmt w:val="bullet"/>
      <w:lvlText w:val="•"/>
      <w:lvlJc w:val="left"/>
      <w:pPr>
        <w:ind w:left="2633" w:hanging="720"/>
      </w:pPr>
      <w:rPr>
        <w:rFonts w:hint="default"/>
        <w:lang w:val="en-GB" w:eastAsia="en-US" w:bidi="ar-SA"/>
      </w:rPr>
    </w:lvl>
    <w:lvl w:ilvl="3" w:tplc="92589CB0">
      <w:numFmt w:val="bullet"/>
      <w:lvlText w:val="•"/>
      <w:lvlJc w:val="left"/>
      <w:pPr>
        <w:ind w:left="3509" w:hanging="720"/>
      </w:pPr>
      <w:rPr>
        <w:rFonts w:hint="default"/>
        <w:lang w:val="en-GB" w:eastAsia="en-US" w:bidi="ar-SA"/>
      </w:rPr>
    </w:lvl>
    <w:lvl w:ilvl="4" w:tplc="83D0269E">
      <w:numFmt w:val="bullet"/>
      <w:lvlText w:val="•"/>
      <w:lvlJc w:val="left"/>
      <w:pPr>
        <w:ind w:left="4386" w:hanging="720"/>
      </w:pPr>
      <w:rPr>
        <w:rFonts w:hint="default"/>
        <w:lang w:val="en-GB" w:eastAsia="en-US" w:bidi="ar-SA"/>
      </w:rPr>
    </w:lvl>
    <w:lvl w:ilvl="5" w:tplc="BEE2843E">
      <w:numFmt w:val="bullet"/>
      <w:lvlText w:val="•"/>
      <w:lvlJc w:val="left"/>
      <w:pPr>
        <w:ind w:left="5263" w:hanging="720"/>
      </w:pPr>
      <w:rPr>
        <w:rFonts w:hint="default"/>
        <w:lang w:val="en-GB" w:eastAsia="en-US" w:bidi="ar-SA"/>
      </w:rPr>
    </w:lvl>
    <w:lvl w:ilvl="6" w:tplc="C8D04F70">
      <w:numFmt w:val="bullet"/>
      <w:lvlText w:val="•"/>
      <w:lvlJc w:val="left"/>
      <w:pPr>
        <w:ind w:left="6139" w:hanging="720"/>
      </w:pPr>
      <w:rPr>
        <w:rFonts w:hint="default"/>
        <w:lang w:val="en-GB" w:eastAsia="en-US" w:bidi="ar-SA"/>
      </w:rPr>
    </w:lvl>
    <w:lvl w:ilvl="7" w:tplc="FC04F170">
      <w:numFmt w:val="bullet"/>
      <w:lvlText w:val="•"/>
      <w:lvlJc w:val="left"/>
      <w:pPr>
        <w:ind w:left="7016" w:hanging="720"/>
      </w:pPr>
      <w:rPr>
        <w:rFonts w:hint="default"/>
        <w:lang w:val="en-GB" w:eastAsia="en-US" w:bidi="ar-SA"/>
      </w:rPr>
    </w:lvl>
    <w:lvl w:ilvl="8" w:tplc="03702EDA">
      <w:numFmt w:val="bullet"/>
      <w:lvlText w:val="•"/>
      <w:lvlJc w:val="left"/>
      <w:pPr>
        <w:ind w:left="7893" w:hanging="720"/>
      </w:pPr>
      <w:rPr>
        <w:rFonts w:hint="default"/>
        <w:lang w:val="en-GB" w:eastAsia="en-US" w:bidi="ar-SA"/>
      </w:rPr>
    </w:lvl>
  </w:abstractNum>
  <w:abstractNum w:abstractNumId="134">
    <w:nsid w:val="5E8B3304"/>
    <w:multiLevelType w:val="hybridMultilevel"/>
    <w:tmpl w:val="C27225F4"/>
    <w:lvl w:ilvl="0" w:tplc="8CB6A618">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9490D720">
      <w:numFmt w:val="bullet"/>
      <w:lvlText w:val="•"/>
      <w:lvlJc w:val="left"/>
      <w:pPr>
        <w:ind w:left="1085" w:hanging="360"/>
      </w:pPr>
      <w:rPr>
        <w:rFonts w:hint="default"/>
        <w:lang w:val="en-GB" w:eastAsia="en-US" w:bidi="ar-SA"/>
      </w:rPr>
    </w:lvl>
    <w:lvl w:ilvl="2" w:tplc="6B2007EA">
      <w:numFmt w:val="bullet"/>
      <w:lvlText w:val="•"/>
      <w:lvlJc w:val="left"/>
      <w:pPr>
        <w:ind w:left="1711" w:hanging="360"/>
      </w:pPr>
      <w:rPr>
        <w:rFonts w:hint="default"/>
        <w:lang w:val="en-GB" w:eastAsia="en-US" w:bidi="ar-SA"/>
      </w:rPr>
    </w:lvl>
    <w:lvl w:ilvl="3" w:tplc="F7FE5AFC">
      <w:numFmt w:val="bullet"/>
      <w:lvlText w:val="•"/>
      <w:lvlJc w:val="left"/>
      <w:pPr>
        <w:ind w:left="2336" w:hanging="360"/>
      </w:pPr>
      <w:rPr>
        <w:rFonts w:hint="default"/>
        <w:lang w:val="en-GB" w:eastAsia="en-US" w:bidi="ar-SA"/>
      </w:rPr>
    </w:lvl>
    <w:lvl w:ilvl="4" w:tplc="EE70F6C4">
      <w:numFmt w:val="bullet"/>
      <w:lvlText w:val="•"/>
      <w:lvlJc w:val="left"/>
      <w:pPr>
        <w:ind w:left="2962" w:hanging="360"/>
      </w:pPr>
      <w:rPr>
        <w:rFonts w:hint="default"/>
        <w:lang w:val="en-GB" w:eastAsia="en-US" w:bidi="ar-SA"/>
      </w:rPr>
    </w:lvl>
    <w:lvl w:ilvl="5" w:tplc="5F163932">
      <w:numFmt w:val="bullet"/>
      <w:lvlText w:val="•"/>
      <w:lvlJc w:val="left"/>
      <w:pPr>
        <w:ind w:left="3588" w:hanging="360"/>
      </w:pPr>
      <w:rPr>
        <w:rFonts w:hint="default"/>
        <w:lang w:val="en-GB" w:eastAsia="en-US" w:bidi="ar-SA"/>
      </w:rPr>
    </w:lvl>
    <w:lvl w:ilvl="6" w:tplc="98080C42">
      <w:numFmt w:val="bullet"/>
      <w:lvlText w:val="•"/>
      <w:lvlJc w:val="left"/>
      <w:pPr>
        <w:ind w:left="4213" w:hanging="360"/>
      </w:pPr>
      <w:rPr>
        <w:rFonts w:hint="default"/>
        <w:lang w:val="en-GB" w:eastAsia="en-US" w:bidi="ar-SA"/>
      </w:rPr>
    </w:lvl>
    <w:lvl w:ilvl="7" w:tplc="9DC0786E">
      <w:numFmt w:val="bullet"/>
      <w:lvlText w:val="•"/>
      <w:lvlJc w:val="left"/>
      <w:pPr>
        <w:ind w:left="4839" w:hanging="360"/>
      </w:pPr>
      <w:rPr>
        <w:rFonts w:hint="default"/>
        <w:lang w:val="en-GB" w:eastAsia="en-US" w:bidi="ar-SA"/>
      </w:rPr>
    </w:lvl>
    <w:lvl w:ilvl="8" w:tplc="AC8861FC">
      <w:numFmt w:val="bullet"/>
      <w:lvlText w:val="•"/>
      <w:lvlJc w:val="left"/>
      <w:pPr>
        <w:ind w:left="5464" w:hanging="360"/>
      </w:pPr>
      <w:rPr>
        <w:rFonts w:hint="default"/>
        <w:lang w:val="en-GB" w:eastAsia="en-US" w:bidi="ar-SA"/>
      </w:rPr>
    </w:lvl>
  </w:abstractNum>
  <w:abstractNum w:abstractNumId="135">
    <w:nsid w:val="5FF74ED3"/>
    <w:multiLevelType w:val="hybridMultilevel"/>
    <w:tmpl w:val="88CA3CDE"/>
    <w:lvl w:ilvl="0" w:tplc="9F12DCA0">
      <w:start w:val="102"/>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8662E8C8">
      <w:numFmt w:val="bullet"/>
      <w:lvlText w:val="•"/>
      <w:lvlJc w:val="left"/>
      <w:pPr>
        <w:ind w:left="1720" w:hanging="675"/>
      </w:pPr>
      <w:rPr>
        <w:rFonts w:hint="default"/>
        <w:lang w:val="en-GB" w:eastAsia="en-US" w:bidi="ar-SA"/>
      </w:rPr>
    </w:lvl>
    <w:lvl w:ilvl="2" w:tplc="06961B12">
      <w:numFmt w:val="bullet"/>
      <w:lvlText w:val="•"/>
      <w:lvlJc w:val="left"/>
      <w:pPr>
        <w:ind w:left="2601" w:hanging="675"/>
      </w:pPr>
      <w:rPr>
        <w:rFonts w:hint="default"/>
        <w:lang w:val="en-GB" w:eastAsia="en-US" w:bidi="ar-SA"/>
      </w:rPr>
    </w:lvl>
    <w:lvl w:ilvl="3" w:tplc="F55430FE">
      <w:numFmt w:val="bullet"/>
      <w:lvlText w:val="•"/>
      <w:lvlJc w:val="left"/>
      <w:pPr>
        <w:ind w:left="3481" w:hanging="675"/>
      </w:pPr>
      <w:rPr>
        <w:rFonts w:hint="default"/>
        <w:lang w:val="en-GB" w:eastAsia="en-US" w:bidi="ar-SA"/>
      </w:rPr>
    </w:lvl>
    <w:lvl w:ilvl="4" w:tplc="E6F266BE">
      <w:numFmt w:val="bullet"/>
      <w:lvlText w:val="•"/>
      <w:lvlJc w:val="left"/>
      <w:pPr>
        <w:ind w:left="4362" w:hanging="675"/>
      </w:pPr>
      <w:rPr>
        <w:rFonts w:hint="default"/>
        <w:lang w:val="en-GB" w:eastAsia="en-US" w:bidi="ar-SA"/>
      </w:rPr>
    </w:lvl>
    <w:lvl w:ilvl="5" w:tplc="E11A375C">
      <w:numFmt w:val="bullet"/>
      <w:lvlText w:val="•"/>
      <w:lvlJc w:val="left"/>
      <w:pPr>
        <w:ind w:left="5243" w:hanging="675"/>
      </w:pPr>
      <w:rPr>
        <w:rFonts w:hint="default"/>
        <w:lang w:val="en-GB" w:eastAsia="en-US" w:bidi="ar-SA"/>
      </w:rPr>
    </w:lvl>
    <w:lvl w:ilvl="6" w:tplc="0F5C7978">
      <w:numFmt w:val="bullet"/>
      <w:lvlText w:val="•"/>
      <w:lvlJc w:val="left"/>
      <w:pPr>
        <w:ind w:left="6123" w:hanging="675"/>
      </w:pPr>
      <w:rPr>
        <w:rFonts w:hint="default"/>
        <w:lang w:val="en-GB" w:eastAsia="en-US" w:bidi="ar-SA"/>
      </w:rPr>
    </w:lvl>
    <w:lvl w:ilvl="7" w:tplc="5E78AA08">
      <w:numFmt w:val="bullet"/>
      <w:lvlText w:val="•"/>
      <w:lvlJc w:val="left"/>
      <w:pPr>
        <w:ind w:left="7004" w:hanging="675"/>
      </w:pPr>
      <w:rPr>
        <w:rFonts w:hint="default"/>
        <w:lang w:val="en-GB" w:eastAsia="en-US" w:bidi="ar-SA"/>
      </w:rPr>
    </w:lvl>
    <w:lvl w:ilvl="8" w:tplc="81B2216E">
      <w:numFmt w:val="bullet"/>
      <w:lvlText w:val="•"/>
      <w:lvlJc w:val="left"/>
      <w:pPr>
        <w:ind w:left="7885" w:hanging="675"/>
      </w:pPr>
      <w:rPr>
        <w:rFonts w:hint="default"/>
        <w:lang w:val="en-GB" w:eastAsia="en-US" w:bidi="ar-SA"/>
      </w:rPr>
    </w:lvl>
  </w:abstractNum>
  <w:abstractNum w:abstractNumId="136">
    <w:nsid w:val="60F84FA2"/>
    <w:multiLevelType w:val="hybridMultilevel"/>
    <w:tmpl w:val="7506CEBC"/>
    <w:lvl w:ilvl="0" w:tplc="8E1EAB98">
      <w:start w:val="61"/>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E5ACA46">
      <w:numFmt w:val="bullet"/>
      <w:lvlText w:val="•"/>
      <w:lvlJc w:val="left"/>
      <w:pPr>
        <w:ind w:left="1612" w:hanging="552"/>
      </w:pPr>
      <w:rPr>
        <w:rFonts w:hint="default"/>
        <w:lang w:val="en-GB" w:eastAsia="en-US" w:bidi="ar-SA"/>
      </w:rPr>
    </w:lvl>
    <w:lvl w:ilvl="2" w:tplc="5B4264DE">
      <w:numFmt w:val="bullet"/>
      <w:lvlText w:val="•"/>
      <w:lvlJc w:val="left"/>
      <w:pPr>
        <w:ind w:left="2505" w:hanging="552"/>
      </w:pPr>
      <w:rPr>
        <w:rFonts w:hint="default"/>
        <w:lang w:val="en-GB" w:eastAsia="en-US" w:bidi="ar-SA"/>
      </w:rPr>
    </w:lvl>
    <w:lvl w:ilvl="3" w:tplc="F5D8E75C">
      <w:numFmt w:val="bullet"/>
      <w:lvlText w:val="•"/>
      <w:lvlJc w:val="left"/>
      <w:pPr>
        <w:ind w:left="3397" w:hanging="552"/>
      </w:pPr>
      <w:rPr>
        <w:rFonts w:hint="default"/>
        <w:lang w:val="en-GB" w:eastAsia="en-US" w:bidi="ar-SA"/>
      </w:rPr>
    </w:lvl>
    <w:lvl w:ilvl="4" w:tplc="55563EAC">
      <w:numFmt w:val="bullet"/>
      <w:lvlText w:val="•"/>
      <w:lvlJc w:val="left"/>
      <w:pPr>
        <w:ind w:left="4290" w:hanging="552"/>
      </w:pPr>
      <w:rPr>
        <w:rFonts w:hint="default"/>
        <w:lang w:val="en-GB" w:eastAsia="en-US" w:bidi="ar-SA"/>
      </w:rPr>
    </w:lvl>
    <w:lvl w:ilvl="5" w:tplc="972616EC">
      <w:numFmt w:val="bullet"/>
      <w:lvlText w:val="•"/>
      <w:lvlJc w:val="left"/>
      <w:pPr>
        <w:ind w:left="5183" w:hanging="552"/>
      </w:pPr>
      <w:rPr>
        <w:rFonts w:hint="default"/>
        <w:lang w:val="en-GB" w:eastAsia="en-US" w:bidi="ar-SA"/>
      </w:rPr>
    </w:lvl>
    <w:lvl w:ilvl="6" w:tplc="E0B41498">
      <w:numFmt w:val="bullet"/>
      <w:lvlText w:val="•"/>
      <w:lvlJc w:val="left"/>
      <w:pPr>
        <w:ind w:left="6075" w:hanging="552"/>
      </w:pPr>
      <w:rPr>
        <w:rFonts w:hint="default"/>
        <w:lang w:val="en-GB" w:eastAsia="en-US" w:bidi="ar-SA"/>
      </w:rPr>
    </w:lvl>
    <w:lvl w:ilvl="7" w:tplc="6D1E8EE0">
      <w:numFmt w:val="bullet"/>
      <w:lvlText w:val="•"/>
      <w:lvlJc w:val="left"/>
      <w:pPr>
        <w:ind w:left="6968" w:hanging="552"/>
      </w:pPr>
      <w:rPr>
        <w:rFonts w:hint="default"/>
        <w:lang w:val="en-GB" w:eastAsia="en-US" w:bidi="ar-SA"/>
      </w:rPr>
    </w:lvl>
    <w:lvl w:ilvl="8" w:tplc="94FE4994">
      <w:numFmt w:val="bullet"/>
      <w:lvlText w:val="•"/>
      <w:lvlJc w:val="left"/>
      <w:pPr>
        <w:ind w:left="7861" w:hanging="552"/>
      </w:pPr>
      <w:rPr>
        <w:rFonts w:hint="default"/>
        <w:lang w:val="en-GB" w:eastAsia="en-US" w:bidi="ar-SA"/>
      </w:rPr>
    </w:lvl>
  </w:abstractNum>
  <w:abstractNum w:abstractNumId="137">
    <w:nsid w:val="61D904F9"/>
    <w:multiLevelType w:val="hybridMultilevel"/>
    <w:tmpl w:val="0D306A84"/>
    <w:lvl w:ilvl="0" w:tplc="E10E90FC">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99A252D0">
      <w:numFmt w:val="bullet"/>
      <w:lvlText w:val="•"/>
      <w:lvlJc w:val="left"/>
      <w:pPr>
        <w:ind w:left="810" w:hanging="360"/>
      </w:pPr>
      <w:rPr>
        <w:rFonts w:hint="default"/>
        <w:lang w:val="en-GB" w:eastAsia="en-US" w:bidi="ar-SA"/>
      </w:rPr>
    </w:lvl>
    <w:lvl w:ilvl="2" w:tplc="4B6822B6">
      <w:numFmt w:val="bullet"/>
      <w:lvlText w:val="•"/>
      <w:lvlJc w:val="left"/>
      <w:pPr>
        <w:ind w:left="1160" w:hanging="360"/>
      </w:pPr>
      <w:rPr>
        <w:rFonts w:hint="default"/>
        <w:lang w:val="en-GB" w:eastAsia="en-US" w:bidi="ar-SA"/>
      </w:rPr>
    </w:lvl>
    <w:lvl w:ilvl="3" w:tplc="2B34DC9E">
      <w:numFmt w:val="bullet"/>
      <w:lvlText w:val="•"/>
      <w:lvlJc w:val="left"/>
      <w:pPr>
        <w:ind w:left="1510" w:hanging="360"/>
      </w:pPr>
      <w:rPr>
        <w:rFonts w:hint="default"/>
        <w:lang w:val="en-GB" w:eastAsia="en-US" w:bidi="ar-SA"/>
      </w:rPr>
    </w:lvl>
    <w:lvl w:ilvl="4" w:tplc="38C08572">
      <w:numFmt w:val="bullet"/>
      <w:lvlText w:val="•"/>
      <w:lvlJc w:val="left"/>
      <w:pPr>
        <w:ind w:left="1860" w:hanging="360"/>
      </w:pPr>
      <w:rPr>
        <w:rFonts w:hint="default"/>
        <w:lang w:val="en-GB" w:eastAsia="en-US" w:bidi="ar-SA"/>
      </w:rPr>
    </w:lvl>
    <w:lvl w:ilvl="5" w:tplc="F3DAB0D6">
      <w:numFmt w:val="bullet"/>
      <w:lvlText w:val="•"/>
      <w:lvlJc w:val="left"/>
      <w:pPr>
        <w:ind w:left="2210" w:hanging="360"/>
      </w:pPr>
      <w:rPr>
        <w:rFonts w:hint="default"/>
        <w:lang w:val="en-GB" w:eastAsia="en-US" w:bidi="ar-SA"/>
      </w:rPr>
    </w:lvl>
    <w:lvl w:ilvl="6" w:tplc="85AEF1EA">
      <w:numFmt w:val="bullet"/>
      <w:lvlText w:val="•"/>
      <w:lvlJc w:val="left"/>
      <w:pPr>
        <w:ind w:left="2560" w:hanging="360"/>
      </w:pPr>
      <w:rPr>
        <w:rFonts w:hint="default"/>
        <w:lang w:val="en-GB" w:eastAsia="en-US" w:bidi="ar-SA"/>
      </w:rPr>
    </w:lvl>
    <w:lvl w:ilvl="7" w:tplc="4B14BF3E">
      <w:numFmt w:val="bullet"/>
      <w:lvlText w:val="•"/>
      <w:lvlJc w:val="left"/>
      <w:pPr>
        <w:ind w:left="2910" w:hanging="360"/>
      </w:pPr>
      <w:rPr>
        <w:rFonts w:hint="default"/>
        <w:lang w:val="en-GB" w:eastAsia="en-US" w:bidi="ar-SA"/>
      </w:rPr>
    </w:lvl>
    <w:lvl w:ilvl="8" w:tplc="4160747A">
      <w:numFmt w:val="bullet"/>
      <w:lvlText w:val="•"/>
      <w:lvlJc w:val="left"/>
      <w:pPr>
        <w:ind w:left="3260" w:hanging="360"/>
      </w:pPr>
      <w:rPr>
        <w:rFonts w:hint="default"/>
        <w:lang w:val="en-GB" w:eastAsia="en-US" w:bidi="ar-SA"/>
      </w:rPr>
    </w:lvl>
  </w:abstractNum>
  <w:abstractNum w:abstractNumId="138">
    <w:nsid w:val="622D277C"/>
    <w:multiLevelType w:val="hybridMultilevel"/>
    <w:tmpl w:val="16123600"/>
    <w:lvl w:ilvl="0" w:tplc="23BC5F48">
      <w:start w:val="70"/>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EA78BAEE">
      <w:numFmt w:val="bullet"/>
      <w:lvlText w:val="•"/>
      <w:lvlJc w:val="left"/>
      <w:pPr>
        <w:ind w:left="1612" w:hanging="552"/>
      </w:pPr>
      <w:rPr>
        <w:rFonts w:hint="default"/>
        <w:lang w:val="en-GB" w:eastAsia="en-US" w:bidi="ar-SA"/>
      </w:rPr>
    </w:lvl>
    <w:lvl w:ilvl="2" w:tplc="EB1E6DEE">
      <w:numFmt w:val="bullet"/>
      <w:lvlText w:val="•"/>
      <w:lvlJc w:val="left"/>
      <w:pPr>
        <w:ind w:left="2505" w:hanging="552"/>
      </w:pPr>
      <w:rPr>
        <w:rFonts w:hint="default"/>
        <w:lang w:val="en-GB" w:eastAsia="en-US" w:bidi="ar-SA"/>
      </w:rPr>
    </w:lvl>
    <w:lvl w:ilvl="3" w:tplc="A062606A">
      <w:numFmt w:val="bullet"/>
      <w:lvlText w:val="•"/>
      <w:lvlJc w:val="left"/>
      <w:pPr>
        <w:ind w:left="3397" w:hanging="552"/>
      </w:pPr>
      <w:rPr>
        <w:rFonts w:hint="default"/>
        <w:lang w:val="en-GB" w:eastAsia="en-US" w:bidi="ar-SA"/>
      </w:rPr>
    </w:lvl>
    <w:lvl w:ilvl="4" w:tplc="26C22378">
      <w:numFmt w:val="bullet"/>
      <w:lvlText w:val="•"/>
      <w:lvlJc w:val="left"/>
      <w:pPr>
        <w:ind w:left="4290" w:hanging="552"/>
      </w:pPr>
      <w:rPr>
        <w:rFonts w:hint="default"/>
        <w:lang w:val="en-GB" w:eastAsia="en-US" w:bidi="ar-SA"/>
      </w:rPr>
    </w:lvl>
    <w:lvl w:ilvl="5" w:tplc="3E801DA4">
      <w:numFmt w:val="bullet"/>
      <w:lvlText w:val="•"/>
      <w:lvlJc w:val="left"/>
      <w:pPr>
        <w:ind w:left="5183" w:hanging="552"/>
      </w:pPr>
      <w:rPr>
        <w:rFonts w:hint="default"/>
        <w:lang w:val="en-GB" w:eastAsia="en-US" w:bidi="ar-SA"/>
      </w:rPr>
    </w:lvl>
    <w:lvl w:ilvl="6" w:tplc="9482B4F6">
      <w:numFmt w:val="bullet"/>
      <w:lvlText w:val="•"/>
      <w:lvlJc w:val="left"/>
      <w:pPr>
        <w:ind w:left="6075" w:hanging="552"/>
      </w:pPr>
      <w:rPr>
        <w:rFonts w:hint="default"/>
        <w:lang w:val="en-GB" w:eastAsia="en-US" w:bidi="ar-SA"/>
      </w:rPr>
    </w:lvl>
    <w:lvl w:ilvl="7" w:tplc="F97A7FEA">
      <w:numFmt w:val="bullet"/>
      <w:lvlText w:val="•"/>
      <w:lvlJc w:val="left"/>
      <w:pPr>
        <w:ind w:left="6968" w:hanging="552"/>
      </w:pPr>
      <w:rPr>
        <w:rFonts w:hint="default"/>
        <w:lang w:val="en-GB" w:eastAsia="en-US" w:bidi="ar-SA"/>
      </w:rPr>
    </w:lvl>
    <w:lvl w:ilvl="8" w:tplc="9D123FC0">
      <w:numFmt w:val="bullet"/>
      <w:lvlText w:val="•"/>
      <w:lvlJc w:val="left"/>
      <w:pPr>
        <w:ind w:left="7861" w:hanging="552"/>
      </w:pPr>
      <w:rPr>
        <w:rFonts w:hint="default"/>
        <w:lang w:val="en-GB" w:eastAsia="en-US" w:bidi="ar-SA"/>
      </w:rPr>
    </w:lvl>
  </w:abstractNum>
  <w:abstractNum w:abstractNumId="139">
    <w:nsid w:val="62B50284"/>
    <w:multiLevelType w:val="hybridMultilevel"/>
    <w:tmpl w:val="79F2AE7A"/>
    <w:lvl w:ilvl="0" w:tplc="289C5E60">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DFF09D1A">
      <w:numFmt w:val="bullet"/>
      <w:lvlText w:val="•"/>
      <w:lvlJc w:val="left"/>
      <w:pPr>
        <w:ind w:left="1445" w:hanging="361"/>
      </w:pPr>
      <w:rPr>
        <w:rFonts w:hint="default"/>
        <w:lang w:val="en-GB" w:eastAsia="en-US" w:bidi="ar-SA"/>
      </w:rPr>
    </w:lvl>
    <w:lvl w:ilvl="2" w:tplc="7FE6F898">
      <w:numFmt w:val="bullet"/>
      <w:lvlText w:val="•"/>
      <w:lvlJc w:val="left"/>
      <w:pPr>
        <w:ind w:left="2071" w:hanging="361"/>
      </w:pPr>
      <w:rPr>
        <w:rFonts w:hint="default"/>
        <w:lang w:val="en-GB" w:eastAsia="en-US" w:bidi="ar-SA"/>
      </w:rPr>
    </w:lvl>
    <w:lvl w:ilvl="3" w:tplc="6DA2397C">
      <w:numFmt w:val="bullet"/>
      <w:lvlText w:val="•"/>
      <w:lvlJc w:val="left"/>
      <w:pPr>
        <w:ind w:left="2697" w:hanging="361"/>
      </w:pPr>
      <w:rPr>
        <w:rFonts w:hint="default"/>
        <w:lang w:val="en-GB" w:eastAsia="en-US" w:bidi="ar-SA"/>
      </w:rPr>
    </w:lvl>
    <w:lvl w:ilvl="4" w:tplc="9FD063DC">
      <w:numFmt w:val="bullet"/>
      <w:lvlText w:val="•"/>
      <w:lvlJc w:val="left"/>
      <w:pPr>
        <w:ind w:left="3323" w:hanging="361"/>
      </w:pPr>
      <w:rPr>
        <w:rFonts w:hint="default"/>
        <w:lang w:val="en-GB" w:eastAsia="en-US" w:bidi="ar-SA"/>
      </w:rPr>
    </w:lvl>
    <w:lvl w:ilvl="5" w:tplc="79F6387E">
      <w:numFmt w:val="bullet"/>
      <w:lvlText w:val="•"/>
      <w:lvlJc w:val="left"/>
      <w:pPr>
        <w:ind w:left="3949" w:hanging="361"/>
      </w:pPr>
      <w:rPr>
        <w:rFonts w:hint="default"/>
        <w:lang w:val="en-GB" w:eastAsia="en-US" w:bidi="ar-SA"/>
      </w:rPr>
    </w:lvl>
    <w:lvl w:ilvl="6" w:tplc="A0B254F4">
      <w:numFmt w:val="bullet"/>
      <w:lvlText w:val="•"/>
      <w:lvlJc w:val="left"/>
      <w:pPr>
        <w:ind w:left="4575" w:hanging="361"/>
      </w:pPr>
      <w:rPr>
        <w:rFonts w:hint="default"/>
        <w:lang w:val="en-GB" w:eastAsia="en-US" w:bidi="ar-SA"/>
      </w:rPr>
    </w:lvl>
    <w:lvl w:ilvl="7" w:tplc="8F588702">
      <w:numFmt w:val="bullet"/>
      <w:lvlText w:val="•"/>
      <w:lvlJc w:val="left"/>
      <w:pPr>
        <w:ind w:left="5201" w:hanging="361"/>
      </w:pPr>
      <w:rPr>
        <w:rFonts w:hint="default"/>
        <w:lang w:val="en-GB" w:eastAsia="en-US" w:bidi="ar-SA"/>
      </w:rPr>
    </w:lvl>
    <w:lvl w:ilvl="8" w:tplc="ECEA6C50">
      <w:numFmt w:val="bullet"/>
      <w:lvlText w:val="•"/>
      <w:lvlJc w:val="left"/>
      <w:pPr>
        <w:ind w:left="5827" w:hanging="361"/>
      </w:pPr>
      <w:rPr>
        <w:rFonts w:hint="default"/>
        <w:lang w:val="en-GB" w:eastAsia="en-US" w:bidi="ar-SA"/>
      </w:rPr>
    </w:lvl>
  </w:abstractNum>
  <w:abstractNum w:abstractNumId="140">
    <w:nsid w:val="63C12A7C"/>
    <w:multiLevelType w:val="hybridMultilevel"/>
    <w:tmpl w:val="02A6DCAC"/>
    <w:lvl w:ilvl="0" w:tplc="2E2EEC6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912EFC9A">
      <w:numFmt w:val="bullet"/>
      <w:lvlText w:val="•"/>
      <w:lvlJc w:val="left"/>
      <w:pPr>
        <w:ind w:left="1445" w:hanging="361"/>
      </w:pPr>
      <w:rPr>
        <w:rFonts w:hint="default"/>
        <w:lang w:val="en-GB" w:eastAsia="en-US" w:bidi="ar-SA"/>
      </w:rPr>
    </w:lvl>
    <w:lvl w:ilvl="2" w:tplc="520C2E1E">
      <w:numFmt w:val="bullet"/>
      <w:lvlText w:val="•"/>
      <w:lvlJc w:val="left"/>
      <w:pPr>
        <w:ind w:left="2071" w:hanging="361"/>
      </w:pPr>
      <w:rPr>
        <w:rFonts w:hint="default"/>
        <w:lang w:val="en-GB" w:eastAsia="en-US" w:bidi="ar-SA"/>
      </w:rPr>
    </w:lvl>
    <w:lvl w:ilvl="3" w:tplc="BB148D76">
      <w:numFmt w:val="bullet"/>
      <w:lvlText w:val="•"/>
      <w:lvlJc w:val="left"/>
      <w:pPr>
        <w:ind w:left="2697" w:hanging="361"/>
      </w:pPr>
      <w:rPr>
        <w:rFonts w:hint="default"/>
        <w:lang w:val="en-GB" w:eastAsia="en-US" w:bidi="ar-SA"/>
      </w:rPr>
    </w:lvl>
    <w:lvl w:ilvl="4" w:tplc="64ACAB5C">
      <w:numFmt w:val="bullet"/>
      <w:lvlText w:val="•"/>
      <w:lvlJc w:val="left"/>
      <w:pPr>
        <w:ind w:left="3323" w:hanging="361"/>
      </w:pPr>
      <w:rPr>
        <w:rFonts w:hint="default"/>
        <w:lang w:val="en-GB" w:eastAsia="en-US" w:bidi="ar-SA"/>
      </w:rPr>
    </w:lvl>
    <w:lvl w:ilvl="5" w:tplc="79AC4F64">
      <w:numFmt w:val="bullet"/>
      <w:lvlText w:val="•"/>
      <w:lvlJc w:val="left"/>
      <w:pPr>
        <w:ind w:left="3949" w:hanging="361"/>
      </w:pPr>
      <w:rPr>
        <w:rFonts w:hint="default"/>
        <w:lang w:val="en-GB" w:eastAsia="en-US" w:bidi="ar-SA"/>
      </w:rPr>
    </w:lvl>
    <w:lvl w:ilvl="6" w:tplc="2D905A38">
      <w:numFmt w:val="bullet"/>
      <w:lvlText w:val="•"/>
      <w:lvlJc w:val="left"/>
      <w:pPr>
        <w:ind w:left="4575" w:hanging="361"/>
      </w:pPr>
      <w:rPr>
        <w:rFonts w:hint="default"/>
        <w:lang w:val="en-GB" w:eastAsia="en-US" w:bidi="ar-SA"/>
      </w:rPr>
    </w:lvl>
    <w:lvl w:ilvl="7" w:tplc="7D8E3EFA">
      <w:numFmt w:val="bullet"/>
      <w:lvlText w:val="•"/>
      <w:lvlJc w:val="left"/>
      <w:pPr>
        <w:ind w:left="5201" w:hanging="361"/>
      </w:pPr>
      <w:rPr>
        <w:rFonts w:hint="default"/>
        <w:lang w:val="en-GB" w:eastAsia="en-US" w:bidi="ar-SA"/>
      </w:rPr>
    </w:lvl>
    <w:lvl w:ilvl="8" w:tplc="8AC423C0">
      <w:numFmt w:val="bullet"/>
      <w:lvlText w:val="•"/>
      <w:lvlJc w:val="left"/>
      <w:pPr>
        <w:ind w:left="5827" w:hanging="361"/>
      </w:pPr>
      <w:rPr>
        <w:rFonts w:hint="default"/>
        <w:lang w:val="en-GB" w:eastAsia="en-US" w:bidi="ar-SA"/>
      </w:rPr>
    </w:lvl>
  </w:abstractNum>
  <w:abstractNum w:abstractNumId="141">
    <w:nsid w:val="6473686E"/>
    <w:multiLevelType w:val="hybridMultilevel"/>
    <w:tmpl w:val="037CFD50"/>
    <w:lvl w:ilvl="0" w:tplc="6CE610DA">
      <w:start w:val="6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FED27E80">
      <w:numFmt w:val="bullet"/>
      <w:lvlText w:val="•"/>
      <w:lvlJc w:val="left"/>
      <w:pPr>
        <w:ind w:left="1612" w:hanging="552"/>
      </w:pPr>
      <w:rPr>
        <w:rFonts w:hint="default"/>
        <w:lang w:val="en-GB" w:eastAsia="en-US" w:bidi="ar-SA"/>
      </w:rPr>
    </w:lvl>
    <w:lvl w:ilvl="2" w:tplc="90965AA2">
      <w:numFmt w:val="bullet"/>
      <w:lvlText w:val="•"/>
      <w:lvlJc w:val="left"/>
      <w:pPr>
        <w:ind w:left="2505" w:hanging="552"/>
      </w:pPr>
      <w:rPr>
        <w:rFonts w:hint="default"/>
        <w:lang w:val="en-GB" w:eastAsia="en-US" w:bidi="ar-SA"/>
      </w:rPr>
    </w:lvl>
    <w:lvl w:ilvl="3" w:tplc="77685482">
      <w:numFmt w:val="bullet"/>
      <w:lvlText w:val="•"/>
      <w:lvlJc w:val="left"/>
      <w:pPr>
        <w:ind w:left="3397" w:hanging="552"/>
      </w:pPr>
      <w:rPr>
        <w:rFonts w:hint="default"/>
        <w:lang w:val="en-GB" w:eastAsia="en-US" w:bidi="ar-SA"/>
      </w:rPr>
    </w:lvl>
    <w:lvl w:ilvl="4" w:tplc="9426EE48">
      <w:numFmt w:val="bullet"/>
      <w:lvlText w:val="•"/>
      <w:lvlJc w:val="left"/>
      <w:pPr>
        <w:ind w:left="4290" w:hanging="552"/>
      </w:pPr>
      <w:rPr>
        <w:rFonts w:hint="default"/>
        <w:lang w:val="en-GB" w:eastAsia="en-US" w:bidi="ar-SA"/>
      </w:rPr>
    </w:lvl>
    <w:lvl w:ilvl="5" w:tplc="F9C80194">
      <w:numFmt w:val="bullet"/>
      <w:lvlText w:val="•"/>
      <w:lvlJc w:val="left"/>
      <w:pPr>
        <w:ind w:left="5183" w:hanging="552"/>
      </w:pPr>
      <w:rPr>
        <w:rFonts w:hint="default"/>
        <w:lang w:val="en-GB" w:eastAsia="en-US" w:bidi="ar-SA"/>
      </w:rPr>
    </w:lvl>
    <w:lvl w:ilvl="6" w:tplc="CA2ED704">
      <w:numFmt w:val="bullet"/>
      <w:lvlText w:val="•"/>
      <w:lvlJc w:val="left"/>
      <w:pPr>
        <w:ind w:left="6075" w:hanging="552"/>
      </w:pPr>
      <w:rPr>
        <w:rFonts w:hint="default"/>
        <w:lang w:val="en-GB" w:eastAsia="en-US" w:bidi="ar-SA"/>
      </w:rPr>
    </w:lvl>
    <w:lvl w:ilvl="7" w:tplc="33387276">
      <w:numFmt w:val="bullet"/>
      <w:lvlText w:val="•"/>
      <w:lvlJc w:val="left"/>
      <w:pPr>
        <w:ind w:left="6968" w:hanging="552"/>
      </w:pPr>
      <w:rPr>
        <w:rFonts w:hint="default"/>
        <w:lang w:val="en-GB" w:eastAsia="en-US" w:bidi="ar-SA"/>
      </w:rPr>
    </w:lvl>
    <w:lvl w:ilvl="8" w:tplc="835AB25A">
      <w:numFmt w:val="bullet"/>
      <w:lvlText w:val="•"/>
      <w:lvlJc w:val="left"/>
      <w:pPr>
        <w:ind w:left="7861" w:hanging="552"/>
      </w:pPr>
      <w:rPr>
        <w:rFonts w:hint="default"/>
        <w:lang w:val="en-GB" w:eastAsia="en-US" w:bidi="ar-SA"/>
      </w:rPr>
    </w:lvl>
  </w:abstractNum>
  <w:abstractNum w:abstractNumId="142">
    <w:nsid w:val="65B1170D"/>
    <w:multiLevelType w:val="hybridMultilevel"/>
    <w:tmpl w:val="F0C8CE6A"/>
    <w:lvl w:ilvl="0" w:tplc="540242CC">
      <w:start w:val="1"/>
      <w:numFmt w:val="decimal"/>
      <w:lvlText w:val="%1."/>
      <w:lvlJc w:val="left"/>
      <w:pPr>
        <w:ind w:left="466" w:hanging="361"/>
        <w:jc w:val="left"/>
      </w:pPr>
      <w:rPr>
        <w:rFonts w:ascii="Arial" w:eastAsia="Arial" w:hAnsi="Arial" w:cs="Arial" w:hint="default"/>
        <w:b w:val="0"/>
        <w:bCs w:val="0"/>
        <w:i w:val="0"/>
        <w:iCs w:val="0"/>
        <w:spacing w:val="-1"/>
        <w:w w:val="99"/>
        <w:sz w:val="20"/>
        <w:szCs w:val="20"/>
        <w:lang w:val="en-GB" w:eastAsia="en-US" w:bidi="ar-SA"/>
      </w:rPr>
    </w:lvl>
    <w:lvl w:ilvl="1" w:tplc="1458B596">
      <w:numFmt w:val="bullet"/>
      <w:lvlText w:val="•"/>
      <w:lvlJc w:val="left"/>
      <w:pPr>
        <w:ind w:left="733" w:hanging="361"/>
      </w:pPr>
      <w:rPr>
        <w:rFonts w:hint="default"/>
        <w:lang w:val="en-GB" w:eastAsia="en-US" w:bidi="ar-SA"/>
      </w:rPr>
    </w:lvl>
    <w:lvl w:ilvl="2" w:tplc="CECCFFF2">
      <w:numFmt w:val="bullet"/>
      <w:lvlText w:val="•"/>
      <w:lvlJc w:val="left"/>
      <w:pPr>
        <w:ind w:left="1006" w:hanging="361"/>
      </w:pPr>
      <w:rPr>
        <w:rFonts w:hint="default"/>
        <w:lang w:val="en-GB" w:eastAsia="en-US" w:bidi="ar-SA"/>
      </w:rPr>
    </w:lvl>
    <w:lvl w:ilvl="3" w:tplc="7FFC5ACA">
      <w:numFmt w:val="bullet"/>
      <w:lvlText w:val="•"/>
      <w:lvlJc w:val="left"/>
      <w:pPr>
        <w:ind w:left="1279" w:hanging="361"/>
      </w:pPr>
      <w:rPr>
        <w:rFonts w:hint="default"/>
        <w:lang w:val="en-GB" w:eastAsia="en-US" w:bidi="ar-SA"/>
      </w:rPr>
    </w:lvl>
    <w:lvl w:ilvl="4" w:tplc="7E88CE7E">
      <w:numFmt w:val="bullet"/>
      <w:lvlText w:val="•"/>
      <w:lvlJc w:val="left"/>
      <w:pPr>
        <w:ind w:left="1553" w:hanging="361"/>
      </w:pPr>
      <w:rPr>
        <w:rFonts w:hint="default"/>
        <w:lang w:val="en-GB" w:eastAsia="en-US" w:bidi="ar-SA"/>
      </w:rPr>
    </w:lvl>
    <w:lvl w:ilvl="5" w:tplc="5EB48D86">
      <w:numFmt w:val="bullet"/>
      <w:lvlText w:val="•"/>
      <w:lvlJc w:val="left"/>
      <w:pPr>
        <w:ind w:left="1826" w:hanging="361"/>
      </w:pPr>
      <w:rPr>
        <w:rFonts w:hint="default"/>
        <w:lang w:val="en-GB" w:eastAsia="en-US" w:bidi="ar-SA"/>
      </w:rPr>
    </w:lvl>
    <w:lvl w:ilvl="6" w:tplc="DC3A48EA">
      <w:numFmt w:val="bullet"/>
      <w:lvlText w:val="•"/>
      <w:lvlJc w:val="left"/>
      <w:pPr>
        <w:ind w:left="2099" w:hanging="361"/>
      </w:pPr>
      <w:rPr>
        <w:rFonts w:hint="default"/>
        <w:lang w:val="en-GB" w:eastAsia="en-US" w:bidi="ar-SA"/>
      </w:rPr>
    </w:lvl>
    <w:lvl w:ilvl="7" w:tplc="89AAC4AA">
      <w:numFmt w:val="bullet"/>
      <w:lvlText w:val="•"/>
      <w:lvlJc w:val="left"/>
      <w:pPr>
        <w:ind w:left="2373" w:hanging="361"/>
      </w:pPr>
      <w:rPr>
        <w:rFonts w:hint="default"/>
        <w:lang w:val="en-GB" w:eastAsia="en-US" w:bidi="ar-SA"/>
      </w:rPr>
    </w:lvl>
    <w:lvl w:ilvl="8" w:tplc="3CCE3C98">
      <w:numFmt w:val="bullet"/>
      <w:lvlText w:val="•"/>
      <w:lvlJc w:val="left"/>
      <w:pPr>
        <w:ind w:left="2646" w:hanging="361"/>
      </w:pPr>
      <w:rPr>
        <w:rFonts w:hint="default"/>
        <w:lang w:val="en-GB" w:eastAsia="en-US" w:bidi="ar-SA"/>
      </w:rPr>
    </w:lvl>
  </w:abstractNum>
  <w:abstractNum w:abstractNumId="143">
    <w:nsid w:val="65E0050E"/>
    <w:multiLevelType w:val="hybridMultilevel"/>
    <w:tmpl w:val="32381A1E"/>
    <w:lvl w:ilvl="0" w:tplc="475630BC">
      <w:start w:val="29"/>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F8BCCE42">
      <w:numFmt w:val="bullet"/>
      <w:lvlText w:val="•"/>
      <w:lvlJc w:val="left"/>
      <w:pPr>
        <w:ind w:left="1612" w:hanging="552"/>
      </w:pPr>
      <w:rPr>
        <w:rFonts w:hint="default"/>
        <w:lang w:val="en-GB" w:eastAsia="en-US" w:bidi="ar-SA"/>
      </w:rPr>
    </w:lvl>
    <w:lvl w:ilvl="2" w:tplc="647A21E0">
      <w:numFmt w:val="bullet"/>
      <w:lvlText w:val="•"/>
      <w:lvlJc w:val="left"/>
      <w:pPr>
        <w:ind w:left="2505" w:hanging="552"/>
      </w:pPr>
      <w:rPr>
        <w:rFonts w:hint="default"/>
        <w:lang w:val="en-GB" w:eastAsia="en-US" w:bidi="ar-SA"/>
      </w:rPr>
    </w:lvl>
    <w:lvl w:ilvl="3" w:tplc="D5721E56">
      <w:numFmt w:val="bullet"/>
      <w:lvlText w:val="•"/>
      <w:lvlJc w:val="left"/>
      <w:pPr>
        <w:ind w:left="3397" w:hanging="552"/>
      </w:pPr>
      <w:rPr>
        <w:rFonts w:hint="default"/>
        <w:lang w:val="en-GB" w:eastAsia="en-US" w:bidi="ar-SA"/>
      </w:rPr>
    </w:lvl>
    <w:lvl w:ilvl="4" w:tplc="47804998">
      <w:numFmt w:val="bullet"/>
      <w:lvlText w:val="•"/>
      <w:lvlJc w:val="left"/>
      <w:pPr>
        <w:ind w:left="4290" w:hanging="552"/>
      </w:pPr>
      <w:rPr>
        <w:rFonts w:hint="default"/>
        <w:lang w:val="en-GB" w:eastAsia="en-US" w:bidi="ar-SA"/>
      </w:rPr>
    </w:lvl>
    <w:lvl w:ilvl="5" w:tplc="E1169CA6">
      <w:numFmt w:val="bullet"/>
      <w:lvlText w:val="•"/>
      <w:lvlJc w:val="left"/>
      <w:pPr>
        <w:ind w:left="5183" w:hanging="552"/>
      </w:pPr>
      <w:rPr>
        <w:rFonts w:hint="default"/>
        <w:lang w:val="en-GB" w:eastAsia="en-US" w:bidi="ar-SA"/>
      </w:rPr>
    </w:lvl>
    <w:lvl w:ilvl="6" w:tplc="3080E544">
      <w:numFmt w:val="bullet"/>
      <w:lvlText w:val="•"/>
      <w:lvlJc w:val="left"/>
      <w:pPr>
        <w:ind w:left="6075" w:hanging="552"/>
      </w:pPr>
      <w:rPr>
        <w:rFonts w:hint="default"/>
        <w:lang w:val="en-GB" w:eastAsia="en-US" w:bidi="ar-SA"/>
      </w:rPr>
    </w:lvl>
    <w:lvl w:ilvl="7" w:tplc="0BCCCD62">
      <w:numFmt w:val="bullet"/>
      <w:lvlText w:val="•"/>
      <w:lvlJc w:val="left"/>
      <w:pPr>
        <w:ind w:left="6968" w:hanging="552"/>
      </w:pPr>
      <w:rPr>
        <w:rFonts w:hint="default"/>
        <w:lang w:val="en-GB" w:eastAsia="en-US" w:bidi="ar-SA"/>
      </w:rPr>
    </w:lvl>
    <w:lvl w:ilvl="8" w:tplc="C7F0C1DE">
      <w:numFmt w:val="bullet"/>
      <w:lvlText w:val="•"/>
      <w:lvlJc w:val="left"/>
      <w:pPr>
        <w:ind w:left="7861" w:hanging="552"/>
      </w:pPr>
      <w:rPr>
        <w:rFonts w:hint="default"/>
        <w:lang w:val="en-GB" w:eastAsia="en-US" w:bidi="ar-SA"/>
      </w:rPr>
    </w:lvl>
  </w:abstractNum>
  <w:abstractNum w:abstractNumId="144">
    <w:nsid w:val="65E417C2"/>
    <w:multiLevelType w:val="hybridMultilevel"/>
    <w:tmpl w:val="47D633AC"/>
    <w:lvl w:ilvl="0" w:tplc="AF5285B4">
      <w:start w:val="1"/>
      <w:numFmt w:val="decimal"/>
      <w:lvlText w:val="%1."/>
      <w:lvlJc w:val="left"/>
      <w:pPr>
        <w:ind w:left="108" w:hanging="221"/>
        <w:jc w:val="left"/>
      </w:pPr>
      <w:rPr>
        <w:rFonts w:ascii="Arial" w:eastAsia="Arial" w:hAnsi="Arial" w:cs="Arial" w:hint="default"/>
        <w:b w:val="0"/>
        <w:bCs w:val="0"/>
        <w:i w:val="0"/>
        <w:iCs w:val="0"/>
        <w:spacing w:val="-1"/>
        <w:w w:val="99"/>
        <w:sz w:val="20"/>
        <w:szCs w:val="20"/>
        <w:lang w:val="en-GB" w:eastAsia="en-US" w:bidi="ar-SA"/>
      </w:rPr>
    </w:lvl>
    <w:lvl w:ilvl="1" w:tplc="CFC2BCFA">
      <w:numFmt w:val="bullet"/>
      <w:lvlText w:val="•"/>
      <w:lvlJc w:val="left"/>
      <w:pPr>
        <w:ind w:left="395" w:hanging="221"/>
      </w:pPr>
      <w:rPr>
        <w:rFonts w:hint="default"/>
        <w:lang w:val="en-GB" w:eastAsia="en-US" w:bidi="ar-SA"/>
      </w:rPr>
    </w:lvl>
    <w:lvl w:ilvl="2" w:tplc="4ADE803C">
      <w:numFmt w:val="bullet"/>
      <w:lvlText w:val="•"/>
      <w:lvlJc w:val="left"/>
      <w:pPr>
        <w:ind w:left="690" w:hanging="221"/>
      </w:pPr>
      <w:rPr>
        <w:rFonts w:hint="default"/>
        <w:lang w:val="en-GB" w:eastAsia="en-US" w:bidi="ar-SA"/>
      </w:rPr>
    </w:lvl>
    <w:lvl w:ilvl="3" w:tplc="2508F4A2">
      <w:numFmt w:val="bullet"/>
      <w:lvlText w:val="•"/>
      <w:lvlJc w:val="left"/>
      <w:pPr>
        <w:ind w:left="985" w:hanging="221"/>
      </w:pPr>
      <w:rPr>
        <w:rFonts w:hint="default"/>
        <w:lang w:val="en-GB" w:eastAsia="en-US" w:bidi="ar-SA"/>
      </w:rPr>
    </w:lvl>
    <w:lvl w:ilvl="4" w:tplc="80E66826">
      <w:numFmt w:val="bullet"/>
      <w:lvlText w:val="•"/>
      <w:lvlJc w:val="left"/>
      <w:pPr>
        <w:ind w:left="1280" w:hanging="221"/>
      </w:pPr>
      <w:rPr>
        <w:rFonts w:hint="default"/>
        <w:lang w:val="en-GB" w:eastAsia="en-US" w:bidi="ar-SA"/>
      </w:rPr>
    </w:lvl>
    <w:lvl w:ilvl="5" w:tplc="D44618CA">
      <w:numFmt w:val="bullet"/>
      <w:lvlText w:val="•"/>
      <w:lvlJc w:val="left"/>
      <w:pPr>
        <w:ind w:left="1575" w:hanging="221"/>
      </w:pPr>
      <w:rPr>
        <w:rFonts w:hint="default"/>
        <w:lang w:val="en-GB" w:eastAsia="en-US" w:bidi="ar-SA"/>
      </w:rPr>
    </w:lvl>
    <w:lvl w:ilvl="6" w:tplc="5D0CF2BE">
      <w:numFmt w:val="bullet"/>
      <w:lvlText w:val="•"/>
      <w:lvlJc w:val="left"/>
      <w:pPr>
        <w:ind w:left="1870" w:hanging="221"/>
      </w:pPr>
      <w:rPr>
        <w:rFonts w:hint="default"/>
        <w:lang w:val="en-GB" w:eastAsia="en-US" w:bidi="ar-SA"/>
      </w:rPr>
    </w:lvl>
    <w:lvl w:ilvl="7" w:tplc="23E8E60A">
      <w:numFmt w:val="bullet"/>
      <w:lvlText w:val="•"/>
      <w:lvlJc w:val="left"/>
      <w:pPr>
        <w:ind w:left="2165" w:hanging="221"/>
      </w:pPr>
      <w:rPr>
        <w:rFonts w:hint="default"/>
        <w:lang w:val="en-GB" w:eastAsia="en-US" w:bidi="ar-SA"/>
      </w:rPr>
    </w:lvl>
    <w:lvl w:ilvl="8" w:tplc="8E62B354">
      <w:numFmt w:val="bullet"/>
      <w:lvlText w:val="•"/>
      <w:lvlJc w:val="left"/>
      <w:pPr>
        <w:ind w:left="2460" w:hanging="221"/>
      </w:pPr>
      <w:rPr>
        <w:rFonts w:hint="default"/>
        <w:lang w:val="en-GB" w:eastAsia="en-US" w:bidi="ar-SA"/>
      </w:rPr>
    </w:lvl>
  </w:abstractNum>
  <w:abstractNum w:abstractNumId="145">
    <w:nsid w:val="67BF66E6"/>
    <w:multiLevelType w:val="hybridMultilevel"/>
    <w:tmpl w:val="87A68EA0"/>
    <w:lvl w:ilvl="0" w:tplc="2C6C7662">
      <w:start w:val="1"/>
      <w:numFmt w:val="decimal"/>
      <w:lvlText w:val="%1."/>
      <w:lvlJc w:val="left"/>
      <w:pPr>
        <w:ind w:left="327" w:hanging="221"/>
        <w:jc w:val="left"/>
      </w:pPr>
      <w:rPr>
        <w:rFonts w:ascii="Arial" w:eastAsia="Arial" w:hAnsi="Arial" w:cs="Arial" w:hint="default"/>
        <w:b w:val="0"/>
        <w:bCs w:val="0"/>
        <w:i w:val="0"/>
        <w:iCs w:val="0"/>
        <w:spacing w:val="-1"/>
        <w:w w:val="99"/>
        <w:sz w:val="20"/>
        <w:szCs w:val="20"/>
        <w:lang w:val="en-GB" w:eastAsia="en-US" w:bidi="ar-SA"/>
      </w:rPr>
    </w:lvl>
    <w:lvl w:ilvl="1" w:tplc="08561D28">
      <w:numFmt w:val="bullet"/>
      <w:lvlText w:val="•"/>
      <w:lvlJc w:val="left"/>
      <w:pPr>
        <w:ind w:left="607" w:hanging="221"/>
      </w:pPr>
      <w:rPr>
        <w:rFonts w:hint="default"/>
        <w:lang w:val="en-GB" w:eastAsia="en-US" w:bidi="ar-SA"/>
      </w:rPr>
    </w:lvl>
    <w:lvl w:ilvl="2" w:tplc="D9E24D9E">
      <w:numFmt w:val="bullet"/>
      <w:lvlText w:val="•"/>
      <w:lvlJc w:val="left"/>
      <w:pPr>
        <w:ind w:left="894" w:hanging="221"/>
      </w:pPr>
      <w:rPr>
        <w:rFonts w:hint="default"/>
        <w:lang w:val="en-GB" w:eastAsia="en-US" w:bidi="ar-SA"/>
      </w:rPr>
    </w:lvl>
    <w:lvl w:ilvl="3" w:tplc="35185EA8">
      <w:numFmt w:val="bullet"/>
      <w:lvlText w:val="•"/>
      <w:lvlJc w:val="left"/>
      <w:pPr>
        <w:ind w:left="1181" w:hanging="221"/>
      </w:pPr>
      <w:rPr>
        <w:rFonts w:hint="default"/>
        <w:lang w:val="en-GB" w:eastAsia="en-US" w:bidi="ar-SA"/>
      </w:rPr>
    </w:lvl>
    <w:lvl w:ilvl="4" w:tplc="B3843FCA">
      <w:numFmt w:val="bullet"/>
      <w:lvlText w:val="•"/>
      <w:lvlJc w:val="left"/>
      <w:pPr>
        <w:ind w:left="1469" w:hanging="221"/>
      </w:pPr>
      <w:rPr>
        <w:rFonts w:hint="default"/>
        <w:lang w:val="en-GB" w:eastAsia="en-US" w:bidi="ar-SA"/>
      </w:rPr>
    </w:lvl>
    <w:lvl w:ilvl="5" w:tplc="AC80164E">
      <w:numFmt w:val="bullet"/>
      <w:lvlText w:val="•"/>
      <w:lvlJc w:val="left"/>
      <w:pPr>
        <w:ind w:left="1756" w:hanging="221"/>
      </w:pPr>
      <w:rPr>
        <w:rFonts w:hint="default"/>
        <w:lang w:val="en-GB" w:eastAsia="en-US" w:bidi="ar-SA"/>
      </w:rPr>
    </w:lvl>
    <w:lvl w:ilvl="6" w:tplc="13A87E96">
      <w:numFmt w:val="bullet"/>
      <w:lvlText w:val="•"/>
      <w:lvlJc w:val="left"/>
      <w:pPr>
        <w:ind w:left="2043" w:hanging="221"/>
      </w:pPr>
      <w:rPr>
        <w:rFonts w:hint="default"/>
        <w:lang w:val="en-GB" w:eastAsia="en-US" w:bidi="ar-SA"/>
      </w:rPr>
    </w:lvl>
    <w:lvl w:ilvl="7" w:tplc="D7CC53E0">
      <w:numFmt w:val="bullet"/>
      <w:lvlText w:val="•"/>
      <w:lvlJc w:val="left"/>
      <w:pPr>
        <w:ind w:left="2331" w:hanging="221"/>
      </w:pPr>
      <w:rPr>
        <w:rFonts w:hint="default"/>
        <w:lang w:val="en-GB" w:eastAsia="en-US" w:bidi="ar-SA"/>
      </w:rPr>
    </w:lvl>
    <w:lvl w:ilvl="8" w:tplc="279AB828">
      <w:numFmt w:val="bullet"/>
      <w:lvlText w:val="•"/>
      <w:lvlJc w:val="left"/>
      <w:pPr>
        <w:ind w:left="2618" w:hanging="221"/>
      </w:pPr>
      <w:rPr>
        <w:rFonts w:hint="default"/>
        <w:lang w:val="en-GB" w:eastAsia="en-US" w:bidi="ar-SA"/>
      </w:rPr>
    </w:lvl>
  </w:abstractNum>
  <w:abstractNum w:abstractNumId="146">
    <w:nsid w:val="685E375E"/>
    <w:multiLevelType w:val="hybridMultilevel"/>
    <w:tmpl w:val="8E446158"/>
    <w:lvl w:ilvl="0" w:tplc="E54E70BE">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8E58619E">
      <w:numFmt w:val="bullet"/>
      <w:lvlText w:val="•"/>
      <w:lvlJc w:val="left"/>
      <w:pPr>
        <w:ind w:left="1445" w:hanging="361"/>
      </w:pPr>
      <w:rPr>
        <w:rFonts w:hint="default"/>
        <w:lang w:val="en-GB" w:eastAsia="en-US" w:bidi="ar-SA"/>
      </w:rPr>
    </w:lvl>
    <w:lvl w:ilvl="2" w:tplc="66868C9A">
      <w:numFmt w:val="bullet"/>
      <w:lvlText w:val="•"/>
      <w:lvlJc w:val="left"/>
      <w:pPr>
        <w:ind w:left="2071" w:hanging="361"/>
      </w:pPr>
      <w:rPr>
        <w:rFonts w:hint="default"/>
        <w:lang w:val="en-GB" w:eastAsia="en-US" w:bidi="ar-SA"/>
      </w:rPr>
    </w:lvl>
    <w:lvl w:ilvl="3" w:tplc="5428FF7C">
      <w:numFmt w:val="bullet"/>
      <w:lvlText w:val="•"/>
      <w:lvlJc w:val="left"/>
      <w:pPr>
        <w:ind w:left="2697" w:hanging="361"/>
      </w:pPr>
      <w:rPr>
        <w:rFonts w:hint="default"/>
        <w:lang w:val="en-GB" w:eastAsia="en-US" w:bidi="ar-SA"/>
      </w:rPr>
    </w:lvl>
    <w:lvl w:ilvl="4" w:tplc="C9CAD6C4">
      <w:numFmt w:val="bullet"/>
      <w:lvlText w:val="•"/>
      <w:lvlJc w:val="left"/>
      <w:pPr>
        <w:ind w:left="3323" w:hanging="361"/>
      </w:pPr>
      <w:rPr>
        <w:rFonts w:hint="default"/>
        <w:lang w:val="en-GB" w:eastAsia="en-US" w:bidi="ar-SA"/>
      </w:rPr>
    </w:lvl>
    <w:lvl w:ilvl="5" w:tplc="C6264050">
      <w:numFmt w:val="bullet"/>
      <w:lvlText w:val="•"/>
      <w:lvlJc w:val="left"/>
      <w:pPr>
        <w:ind w:left="3949" w:hanging="361"/>
      </w:pPr>
      <w:rPr>
        <w:rFonts w:hint="default"/>
        <w:lang w:val="en-GB" w:eastAsia="en-US" w:bidi="ar-SA"/>
      </w:rPr>
    </w:lvl>
    <w:lvl w:ilvl="6" w:tplc="BD0AA360">
      <w:numFmt w:val="bullet"/>
      <w:lvlText w:val="•"/>
      <w:lvlJc w:val="left"/>
      <w:pPr>
        <w:ind w:left="4575" w:hanging="361"/>
      </w:pPr>
      <w:rPr>
        <w:rFonts w:hint="default"/>
        <w:lang w:val="en-GB" w:eastAsia="en-US" w:bidi="ar-SA"/>
      </w:rPr>
    </w:lvl>
    <w:lvl w:ilvl="7" w:tplc="044C3B0C">
      <w:numFmt w:val="bullet"/>
      <w:lvlText w:val="•"/>
      <w:lvlJc w:val="left"/>
      <w:pPr>
        <w:ind w:left="5201" w:hanging="361"/>
      </w:pPr>
      <w:rPr>
        <w:rFonts w:hint="default"/>
        <w:lang w:val="en-GB" w:eastAsia="en-US" w:bidi="ar-SA"/>
      </w:rPr>
    </w:lvl>
    <w:lvl w:ilvl="8" w:tplc="BC6E6F42">
      <w:numFmt w:val="bullet"/>
      <w:lvlText w:val="•"/>
      <w:lvlJc w:val="left"/>
      <w:pPr>
        <w:ind w:left="5827" w:hanging="361"/>
      </w:pPr>
      <w:rPr>
        <w:rFonts w:hint="default"/>
        <w:lang w:val="en-GB" w:eastAsia="en-US" w:bidi="ar-SA"/>
      </w:rPr>
    </w:lvl>
  </w:abstractNum>
  <w:abstractNum w:abstractNumId="147">
    <w:nsid w:val="6A0628F7"/>
    <w:multiLevelType w:val="hybridMultilevel"/>
    <w:tmpl w:val="737E2386"/>
    <w:lvl w:ilvl="0" w:tplc="13E82538">
      <w:start w:val="1"/>
      <w:numFmt w:val="decimal"/>
      <w:lvlText w:val="%1"/>
      <w:lvlJc w:val="left"/>
      <w:pPr>
        <w:ind w:left="589" w:hanging="430"/>
        <w:jc w:val="left"/>
      </w:pPr>
      <w:rPr>
        <w:rFonts w:ascii="Arial" w:eastAsia="Arial" w:hAnsi="Arial" w:cs="Arial" w:hint="default"/>
        <w:b w:val="0"/>
        <w:bCs w:val="0"/>
        <w:i w:val="0"/>
        <w:iCs w:val="0"/>
        <w:w w:val="100"/>
        <w:sz w:val="22"/>
        <w:szCs w:val="22"/>
        <w:lang w:val="en-GB" w:eastAsia="en-US" w:bidi="ar-SA"/>
      </w:rPr>
    </w:lvl>
    <w:lvl w:ilvl="1" w:tplc="2A569C98">
      <w:numFmt w:val="bullet"/>
      <w:lvlText w:val="•"/>
      <w:lvlJc w:val="left"/>
      <w:pPr>
        <w:ind w:left="1486" w:hanging="430"/>
      </w:pPr>
      <w:rPr>
        <w:rFonts w:hint="default"/>
        <w:lang w:val="en-GB" w:eastAsia="en-US" w:bidi="ar-SA"/>
      </w:rPr>
    </w:lvl>
    <w:lvl w:ilvl="2" w:tplc="F1025B90">
      <w:numFmt w:val="bullet"/>
      <w:lvlText w:val="•"/>
      <w:lvlJc w:val="left"/>
      <w:pPr>
        <w:ind w:left="2393" w:hanging="430"/>
      </w:pPr>
      <w:rPr>
        <w:rFonts w:hint="default"/>
        <w:lang w:val="en-GB" w:eastAsia="en-US" w:bidi="ar-SA"/>
      </w:rPr>
    </w:lvl>
    <w:lvl w:ilvl="3" w:tplc="3D3A4F04">
      <w:numFmt w:val="bullet"/>
      <w:lvlText w:val="•"/>
      <w:lvlJc w:val="left"/>
      <w:pPr>
        <w:ind w:left="3299" w:hanging="430"/>
      </w:pPr>
      <w:rPr>
        <w:rFonts w:hint="default"/>
        <w:lang w:val="en-GB" w:eastAsia="en-US" w:bidi="ar-SA"/>
      </w:rPr>
    </w:lvl>
    <w:lvl w:ilvl="4" w:tplc="B31CBB28">
      <w:numFmt w:val="bullet"/>
      <w:lvlText w:val="•"/>
      <w:lvlJc w:val="left"/>
      <w:pPr>
        <w:ind w:left="4206" w:hanging="430"/>
      </w:pPr>
      <w:rPr>
        <w:rFonts w:hint="default"/>
        <w:lang w:val="en-GB" w:eastAsia="en-US" w:bidi="ar-SA"/>
      </w:rPr>
    </w:lvl>
    <w:lvl w:ilvl="5" w:tplc="8ACE762E">
      <w:numFmt w:val="bullet"/>
      <w:lvlText w:val="•"/>
      <w:lvlJc w:val="left"/>
      <w:pPr>
        <w:ind w:left="5113" w:hanging="430"/>
      </w:pPr>
      <w:rPr>
        <w:rFonts w:hint="default"/>
        <w:lang w:val="en-GB" w:eastAsia="en-US" w:bidi="ar-SA"/>
      </w:rPr>
    </w:lvl>
    <w:lvl w:ilvl="6" w:tplc="4162C986">
      <w:numFmt w:val="bullet"/>
      <w:lvlText w:val="•"/>
      <w:lvlJc w:val="left"/>
      <w:pPr>
        <w:ind w:left="6019" w:hanging="430"/>
      </w:pPr>
      <w:rPr>
        <w:rFonts w:hint="default"/>
        <w:lang w:val="en-GB" w:eastAsia="en-US" w:bidi="ar-SA"/>
      </w:rPr>
    </w:lvl>
    <w:lvl w:ilvl="7" w:tplc="AF9C7178">
      <w:numFmt w:val="bullet"/>
      <w:lvlText w:val="•"/>
      <w:lvlJc w:val="left"/>
      <w:pPr>
        <w:ind w:left="6926" w:hanging="430"/>
      </w:pPr>
      <w:rPr>
        <w:rFonts w:hint="default"/>
        <w:lang w:val="en-GB" w:eastAsia="en-US" w:bidi="ar-SA"/>
      </w:rPr>
    </w:lvl>
    <w:lvl w:ilvl="8" w:tplc="73BC8FDC">
      <w:numFmt w:val="bullet"/>
      <w:lvlText w:val="•"/>
      <w:lvlJc w:val="left"/>
      <w:pPr>
        <w:ind w:left="7833" w:hanging="430"/>
      </w:pPr>
      <w:rPr>
        <w:rFonts w:hint="default"/>
        <w:lang w:val="en-GB" w:eastAsia="en-US" w:bidi="ar-SA"/>
      </w:rPr>
    </w:lvl>
  </w:abstractNum>
  <w:abstractNum w:abstractNumId="148">
    <w:nsid w:val="6A0A6108"/>
    <w:multiLevelType w:val="hybridMultilevel"/>
    <w:tmpl w:val="75E66566"/>
    <w:lvl w:ilvl="0" w:tplc="50FC35C6">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3EDE5274">
      <w:numFmt w:val="bullet"/>
      <w:lvlText w:val="•"/>
      <w:lvlJc w:val="left"/>
      <w:pPr>
        <w:ind w:left="1129" w:hanging="360"/>
      </w:pPr>
      <w:rPr>
        <w:rFonts w:hint="default"/>
        <w:lang w:val="en-GB" w:eastAsia="en-US" w:bidi="ar-SA"/>
      </w:rPr>
    </w:lvl>
    <w:lvl w:ilvl="2" w:tplc="BCA6CB82">
      <w:numFmt w:val="bullet"/>
      <w:lvlText w:val="•"/>
      <w:lvlJc w:val="left"/>
      <w:pPr>
        <w:ind w:left="1439" w:hanging="360"/>
      </w:pPr>
      <w:rPr>
        <w:rFonts w:hint="default"/>
        <w:lang w:val="en-GB" w:eastAsia="en-US" w:bidi="ar-SA"/>
      </w:rPr>
    </w:lvl>
    <w:lvl w:ilvl="3" w:tplc="B5CE34AC">
      <w:numFmt w:val="bullet"/>
      <w:lvlText w:val="•"/>
      <w:lvlJc w:val="left"/>
      <w:pPr>
        <w:ind w:left="1749" w:hanging="360"/>
      </w:pPr>
      <w:rPr>
        <w:rFonts w:hint="default"/>
        <w:lang w:val="en-GB" w:eastAsia="en-US" w:bidi="ar-SA"/>
      </w:rPr>
    </w:lvl>
    <w:lvl w:ilvl="4" w:tplc="204A1428">
      <w:numFmt w:val="bullet"/>
      <w:lvlText w:val="•"/>
      <w:lvlJc w:val="left"/>
      <w:pPr>
        <w:ind w:left="2058" w:hanging="360"/>
      </w:pPr>
      <w:rPr>
        <w:rFonts w:hint="default"/>
        <w:lang w:val="en-GB" w:eastAsia="en-US" w:bidi="ar-SA"/>
      </w:rPr>
    </w:lvl>
    <w:lvl w:ilvl="5" w:tplc="92C65638">
      <w:numFmt w:val="bullet"/>
      <w:lvlText w:val="•"/>
      <w:lvlJc w:val="left"/>
      <w:pPr>
        <w:ind w:left="2368" w:hanging="360"/>
      </w:pPr>
      <w:rPr>
        <w:rFonts w:hint="default"/>
        <w:lang w:val="en-GB" w:eastAsia="en-US" w:bidi="ar-SA"/>
      </w:rPr>
    </w:lvl>
    <w:lvl w:ilvl="6" w:tplc="321A9B48">
      <w:numFmt w:val="bullet"/>
      <w:lvlText w:val="•"/>
      <w:lvlJc w:val="left"/>
      <w:pPr>
        <w:ind w:left="2678" w:hanging="360"/>
      </w:pPr>
      <w:rPr>
        <w:rFonts w:hint="default"/>
        <w:lang w:val="en-GB" w:eastAsia="en-US" w:bidi="ar-SA"/>
      </w:rPr>
    </w:lvl>
    <w:lvl w:ilvl="7" w:tplc="9ECEB488">
      <w:numFmt w:val="bullet"/>
      <w:lvlText w:val="•"/>
      <w:lvlJc w:val="left"/>
      <w:pPr>
        <w:ind w:left="2987" w:hanging="360"/>
      </w:pPr>
      <w:rPr>
        <w:rFonts w:hint="default"/>
        <w:lang w:val="en-GB" w:eastAsia="en-US" w:bidi="ar-SA"/>
      </w:rPr>
    </w:lvl>
    <w:lvl w:ilvl="8" w:tplc="3D52E9B2">
      <w:numFmt w:val="bullet"/>
      <w:lvlText w:val="•"/>
      <w:lvlJc w:val="left"/>
      <w:pPr>
        <w:ind w:left="3297" w:hanging="360"/>
      </w:pPr>
      <w:rPr>
        <w:rFonts w:hint="default"/>
        <w:lang w:val="en-GB" w:eastAsia="en-US" w:bidi="ar-SA"/>
      </w:rPr>
    </w:lvl>
  </w:abstractNum>
  <w:abstractNum w:abstractNumId="149">
    <w:nsid w:val="6A7D7EF9"/>
    <w:multiLevelType w:val="hybridMultilevel"/>
    <w:tmpl w:val="B78E48B4"/>
    <w:lvl w:ilvl="0" w:tplc="8C9EFADA">
      <w:start w:val="1"/>
      <w:numFmt w:val="decimal"/>
      <w:lvlText w:val="%1."/>
      <w:lvlJc w:val="left"/>
      <w:pPr>
        <w:ind w:left="468" w:hanging="361"/>
        <w:jc w:val="left"/>
      </w:pPr>
      <w:rPr>
        <w:rFonts w:ascii="Arial" w:eastAsia="Arial" w:hAnsi="Arial" w:cs="Arial" w:hint="default"/>
        <w:b w:val="0"/>
        <w:bCs w:val="0"/>
        <w:i w:val="0"/>
        <w:iCs w:val="0"/>
        <w:spacing w:val="-1"/>
        <w:w w:val="99"/>
        <w:sz w:val="20"/>
        <w:szCs w:val="20"/>
        <w:lang w:val="en-GB" w:eastAsia="en-US" w:bidi="ar-SA"/>
      </w:rPr>
    </w:lvl>
    <w:lvl w:ilvl="1" w:tplc="0A54BCC0">
      <w:numFmt w:val="bullet"/>
      <w:lvlText w:val="•"/>
      <w:lvlJc w:val="left"/>
      <w:pPr>
        <w:ind w:left="728" w:hanging="361"/>
      </w:pPr>
      <w:rPr>
        <w:rFonts w:hint="default"/>
        <w:lang w:val="en-GB" w:eastAsia="en-US" w:bidi="ar-SA"/>
      </w:rPr>
    </w:lvl>
    <w:lvl w:ilvl="2" w:tplc="C5D6538E">
      <w:numFmt w:val="bullet"/>
      <w:lvlText w:val="•"/>
      <w:lvlJc w:val="left"/>
      <w:pPr>
        <w:ind w:left="997" w:hanging="361"/>
      </w:pPr>
      <w:rPr>
        <w:rFonts w:hint="default"/>
        <w:lang w:val="en-GB" w:eastAsia="en-US" w:bidi="ar-SA"/>
      </w:rPr>
    </w:lvl>
    <w:lvl w:ilvl="3" w:tplc="D0F03C8E">
      <w:numFmt w:val="bullet"/>
      <w:lvlText w:val="•"/>
      <w:lvlJc w:val="left"/>
      <w:pPr>
        <w:ind w:left="1266" w:hanging="361"/>
      </w:pPr>
      <w:rPr>
        <w:rFonts w:hint="default"/>
        <w:lang w:val="en-GB" w:eastAsia="en-US" w:bidi="ar-SA"/>
      </w:rPr>
    </w:lvl>
    <w:lvl w:ilvl="4" w:tplc="76C030F4">
      <w:numFmt w:val="bullet"/>
      <w:lvlText w:val="•"/>
      <w:lvlJc w:val="left"/>
      <w:pPr>
        <w:ind w:left="1535" w:hanging="361"/>
      </w:pPr>
      <w:rPr>
        <w:rFonts w:hint="default"/>
        <w:lang w:val="en-GB" w:eastAsia="en-US" w:bidi="ar-SA"/>
      </w:rPr>
    </w:lvl>
    <w:lvl w:ilvl="5" w:tplc="6F50D074">
      <w:numFmt w:val="bullet"/>
      <w:lvlText w:val="•"/>
      <w:lvlJc w:val="left"/>
      <w:pPr>
        <w:ind w:left="1804" w:hanging="361"/>
      </w:pPr>
      <w:rPr>
        <w:rFonts w:hint="default"/>
        <w:lang w:val="en-GB" w:eastAsia="en-US" w:bidi="ar-SA"/>
      </w:rPr>
    </w:lvl>
    <w:lvl w:ilvl="6" w:tplc="927400EA">
      <w:numFmt w:val="bullet"/>
      <w:lvlText w:val="•"/>
      <w:lvlJc w:val="left"/>
      <w:pPr>
        <w:ind w:left="2073" w:hanging="361"/>
      </w:pPr>
      <w:rPr>
        <w:rFonts w:hint="default"/>
        <w:lang w:val="en-GB" w:eastAsia="en-US" w:bidi="ar-SA"/>
      </w:rPr>
    </w:lvl>
    <w:lvl w:ilvl="7" w:tplc="7CF2D5D6">
      <w:numFmt w:val="bullet"/>
      <w:lvlText w:val="•"/>
      <w:lvlJc w:val="left"/>
      <w:pPr>
        <w:ind w:left="2342" w:hanging="361"/>
      </w:pPr>
      <w:rPr>
        <w:rFonts w:hint="default"/>
        <w:lang w:val="en-GB" w:eastAsia="en-US" w:bidi="ar-SA"/>
      </w:rPr>
    </w:lvl>
    <w:lvl w:ilvl="8" w:tplc="EAB265CE">
      <w:numFmt w:val="bullet"/>
      <w:lvlText w:val="•"/>
      <w:lvlJc w:val="left"/>
      <w:pPr>
        <w:ind w:left="2611" w:hanging="361"/>
      </w:pPr>
      <w:rPr>
        <w:rFonts w:hint="default"/>
        <w:lang w:val="en-GB" w:eastAsia="en-US" w:bidi="ar-SA"/>
      </w:rPr>
    </w:lvl>
  </w:abstractNum>
  <w:abstractNum w:abstractNumId="150">
    <w:nsid w:val="6B474921"/>
    <w:multiLevelType w:val="hybridMultilevel"/>
    <w:tmpl w:val="696021B8"/>
    <w:lvl w:ilvl="0" w:tplc="DC3C8F74">
      <w:start w:val="5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DEC244A6">
      <w:numFmt w:val="bullet"/>
      <w:lvlText w:val="•"/>
      <w:lvlJc w:val="left"/>
      <w:pPr>
        <w:ind w:left="1612" w:hanging="552"/>
      </w:pPr>
      <w:rPr>
        <w:rFonts w:hint="default"/>
        <w:lang w:val="en-GB" w:eastAsia="en-US" w:bidi="ar-SA"/>
      </w:rPr>
    </w:lvl>
    <w:lvl w:ilvl="2" w:tplc="06C2A3DE">
      <w:numFmt w:val="bullet"/>
      <w:lvlText w:val="•"/>
      <w:lvlJc w:val="left"/>
      <w:pPr>
        <w:ind w:left="2505" w:hanging="552"/>
      </w:pPr>
      <w:rPr>
        <w:rFonts w:hint="default"/>
        <w:lang w:val="en-GB" w:eastAsia="en-US" w:bidi="ar-SA"/>
      </w:rPr>
    </w:lvl>
    <w:lvl w:ilvl="3" w:tplc="ED98A028">
      <w:numFmt w:val="bullet"/>
      <w:lvlText w:val="•"/>
      <w:lvlJc w:val="left"/>
      <w:pPr>
        <w:ind w:left="3397" w:hanging="552"/>
      </w:pPr>
      <w:rPr>
        <w:rFonts w:hint="default"/>
        <w:lang w:val="en-GB" w:eastAsia="en-US" w:bidi="ar-SA"/>
      </w:rPr>
    </w:lvl>
    <w:lvl w:ilvl="4" w:tplc="8594E6D6">
      <w:numFmt w:val="bullet"/>
      <w:lvlText w:val="•"/>
      <w:lvlJc w:val="left"/>
      <w:pPr>
        <w:ind w:left="4290" w:hanging="552"/>
      </w:pPr>
      <w:rPr>
        <w:rFonts w:hint="default"/>
        <w:lang w:val="en-GB" w:eastAsia="en-US" w:bidi="ar-SA"/>
      </w:rPr>
    </w:lvl>
    <w:lvl w:ilvl="5" w:tplc="2C6220FE">
      <w:numFmt w:val="bullet"/>
      <w:lvlText w:val="•"/>
      <w:lvlJc w:val="left"/>
      <w:pPr>
        <w:ind w:left="5183" w:hanging="552"/>
      </w:pPr>
      <w:rPr>
        <w:rFonts w:hint="default"/>
        <w:lang w:val="en-GB" w:eastAsia="en-US" w:bidi="ar-SA"/>
      </w:rPr>
    </w:lvl>
    <w:lvl w:ilvl="6" w:tplc="39F0179A">
      <w:numFmt w:val="bullet"/>
      <w:lvlText w:val="•"/>
      <w:lvlJc w:val="left"/>
      <w:pPr>
        <w:ind w:left="6075" w:hanging="552"/>
      </w:pPr>
      <w:rPr>
        <w:rFonts w:hint="default"/>
        <w:lang w:val="en-GB" w:eastAsia="en-US" w:bidi="ar-SA"/>
      </w:rPr>
    </w:lvl>
    <w:lvl w:ilvl="7" w:tplc="F50699AE">
      <w:numFmt w:val="bullet"/>
      <w:lvlText w:val="•"/>
      <w:lvlJc w:val="left"/>
      <w:pPr>
        <w:ind w:left="6968" w:hanging="552"/>
      </w:pPr>
      <w:rPr>
        <w:rFonts w:hint="default"/>
        <w:lang w:val="en-GB" w:eastAsia="en-US" w:bidi="ar-SA"/>
      </w:rPr>
    </w:lvl>
    <w:lvl w:ilvl="8" w:tplc="4BA8E5A2">
      <w:numFmt w:val="bullet"/>
      <w:lvlText w:val="•"/>
      <w:lvlJc w:val="left"/>
      <w:pPr>
        <w:ind w:left="7861" w:hanging="552"/>
      </w:pPr>
      <w:rPr>
        <w:rFonts w:hint="default"/>
        <w:lang w:val="en-GB" w:eastAsia="en-US" w:bidi="ar-SA"/>
      </w:rPr>
    </w:lvl>
  </w:abstractNum>
  <w:abstractNum w:abstractNumId="151">
    <w:nsid w:val="6BC81B1B"/>
    <w:multiLevelType w:val="hybridMultilevel"/>
    <w:tmpl w:val="163EC4A8"/>
    <w:lvl w:ilvl="0" w:tplc="05FAC4AC">
      <w:start w:val="7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82089E6">
      <w:numFmt w:val="bullet"/>
      <w:lvlText w:val="•"/>
      <w:lvlJc w:val="left"/>
      <w:pPr>
        <w:ind w:left="1612" w:hanging="552"/>
      </w:pPr>
      <w:rPr>
        <w:rFonts w:hint="default"/>
        <w:lang w:val="en-GB" w:eastAsia="en-US" w:bidi="ar-SA"/>
      </w:rPr>
    </w:lvl>
    <w:lvl w:ilvl="2" w:tplc="AEBE261E">
      <w:numFmt w:val="bullet"/>
      <w:lvlText w:val="•"/>
      <w:lvlJc w:val="left"/>
      <w:pPr>
        <w:ind w:left="2505" w:hanging="552"/>
      </w:pPr>
      <w:rPr>
        <w:rFonts w:hint="default"/>
        <w:lang w:val="en-GB" w:eastAsia="en-US" w:bidi="ar-SA"/>
      </w:rPr>
    </w:lvl>
    <w:lvl w:ilvl="3" w:tplc="C7B86192">
      <w:numFmt w:val="bullet"/>
      <w:lvlText w:val="•"/>
      <w:lvlJc w:val="left"/>
      <w:pPr>
        <w:ind w:left="3397" w:hanging="552"/>
      </w:pPr>
      <w:rPr>
        <w:rFonts w:hint="default"/>
        <w:lang w:val="en-GB" w:eastAsia="en-US" w:bidi="ar-SA"/>
      </w:rPr>
    </w:lvl>
    <w:lvl w:ilvl="4" w:tplc="AB58F15C">
      <w:numFmt w:val="bullet"/>
      <w:lvlText w:val="•"/>
      <w:lvlJc w:val="left"/>
      <w:pPr>
        <w:ind w:left="4290" w:hanging="552"/>
      </w:pPr>
      <w:rPr>
        <w:rFonts w:hint="default"/>
        <w:lang w:val="en-GB" w:eastAsia="en-US" w:bidi="ar-SA"/>
      </w:rPr>
    </w:lvl>
    <w:lvl w:ilvl="5" w:tplc="FEFC8DA8">
      <w:numFmt w:val="bullet"/>
      <w:lvlText w:val="•"/>
      <w:lvlJc w:val="left"/>
      <w:pPr>
        <w:ind w:left="5183" w:hanging="552"/>
      </w:pPr>
      <w:rPr>
        <w:rFonts w:hint="default"/>
        <w:lang w:val="en-GB" w:eastAsia="en-US" w:bidi="ar-SA"/>
      </w:rPr>
    </w:lvl>
    <w:lvl w:ilvl="6" w:tplc="E32E012C">
      <w:numFmt w:val="bullet"/>
      <w:lvlText w:val="•"/>
      <w:lvlJc w:val="left"/>
      <w:pPr>
        <w:ind w:left="6075" w:hanging="552"/>
      </w:pPr>
      <w:rPr>
        <w:rFonts w:hint="default"/>
        <w:lang w:val="en-GB" w:eastAsia="en-US" w:bidi="ar-SA"/>
      </w:rPr>
    </w:lvl>
    <w:lvl w:ilvl="7" w:tplc="709CAD5A">
      <w:numFmt w:val="bullet"/>
      <w:lvlText w:val="•"/>
      <w:lvlJc w:val="left"/>
      <w:pPr>
        <w:ind w:left="6968" w:hanging="552"/>
      </w:pPr>
      <w:rPr>
        <w:rFonts w:hint="default"/>
        <w:lang w:val="en-GB" w:eastAsia="en-US" w:bidi="ar-SA"/>
      </w:rPr>
    </w:lvl>
    <w:lvl w:ilvl="8" w:tplc="E5C68180">
      <w:numFmt w:val="bullet"/>
      <w:lvlText w:val="•"/>
      <w:lvlJc w:val="left"/>
      <w:pPr>
        <w:ind w:left="7861" w:hanging="552"/>
      </w:pPr>
      <w:rPr>
        <w:rFonts w:hint="default"/>
        <w:lang w:val="en-GB" w:eastAsia="en-US" w:bidi="ar-SA"/>
      </w:rPr>
    </w:lvl>
  </w:abstractNum>
  <w:abstractNum w:abstractNumId="152">
    <w:nsid w:val="6C0B3ECA"/>
    <w:multiLevelType w:val="hybridMultilevel"/>
    <w:tmpl w:val="1930C134"/>
    <w:lvl w:ilvl="0" w:tplc="5CE41D7C">
      <w:start w:val="117"/>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7F4AD226">
      <w:numFmt w:val="bullet"/>
      <w:lvlText w:val="•"/>
      <w:lvlJc w:val="left"/>
      <w:pPr>
        <w:ind w:left="1720" w:hanging="675"/>
      </w:pPr>
      <w:rPr>
        <w:rFonts w:hint="default"/>
        <w:lang w:val="en-GB" w:eastAsia="en-US" w:bidi="ar-SA"/>
      </w:rPr>
    </w:lvl>
    <w:lvl w:ilvl="2" w:tplc="7B6EAA26">
      <w:numFmt w:val="bullet"/>
      <w:lvlText w:val="•"/>
      <w:lvlJc w:val="left"/>
      <w:pPr>
        <w:ind w:left="2601" w:hanging="675"/>
      </w:pPr>
      <w:rPr>
        <w:rFonts w:hint="default"/>
        <w:lang w:val="en-GB" w:eastAsia="en-US" w:bidi="ar-SA"/>
      </w:rPr>
    </w:lvl>
    <w:lvl w:ilvl="3" w:tplc="ED2AFD36">
      <w:numFmt w:val="bullet"/>
      <w:lvlText w:val="•"/>
      <w:lvlJc w:val="left"/>
      <w:pPr>
        <w:ind w:left="3481" w:hanging="675"/>
      </w:pPr>
      <w:rPr>
        <w:rFonts w:hint="default"/>
        <w:lang w:val="en-GB" w:eastAsia="en-US" w:bidi="ar-SA"/>
      </w:rPr>
    </w:lvl>
    <w:lvl w:ilvl="4" w:tplc="9A180C52">
      <w:numFmt w:val="bullet"/>
      <w:lvlText w:val="•"/>
      <w:lvlJc w:val="left"/>
      <w:pPr>
        <w:ind w:left="4362" w:hanging="675"/>
      </w:pPr>
      <w:rPr>
        <w:rFonts w:hint="default"/>
        <w:lang w:val="en-GB" w:eastAsia="en-US" w:bidi="ar-SA"/>
      </w:rPr>
    </w:lvl>
    <w:lvl w:ilvl="5" w:tplc="15C20002">
      <w:numFmt w:val="bullet"/>
      <w:lvlText w:val="•"/>
      <w:lvlJc w:val="left"/>
      <w:pPr>
        <w:ind w:left="5243" w:hanging="675"/>
      </w:pPr>
      <w:rPr>
        <w:rFonts w:hint="default"/>
        <w:lang w:val="en-GB" w:eastAsia="en-US" w:bidi="ar-SA"/>
      </w:rPr>
    </w:lvl>
    <w:lvl w:ilvl="6" w:tplc="98C2F67A">
      <w:numFmt w:val="bullet"/>
      <w:lvlText w:val="•"/>
      <w:lvlJc w:val="left"/>
      <w:pPr>
        <w:ind w:left="6123" w:hanging="675"/>
      </w:pPr>
      <w:rPr>
        <w:rFonts w:hint="default"/>
        <w:lang w:val="en-GB" w:eastAsia="en-US" w:bidi="ar-SA"/>
      </w:rPr>
    </w:lvl>
    <w:lvl w:ilvl="7" w:tplc="4CF24724">
      <w:numFmt w:val="bullet"/>
      <w:lvlText w:val="•"/>
      <w:lvlJc w:val="left"/>
      <w:pPr>
        <w:ind w:left="7004" w:hanging="675"/>
      </w:pPr>
      <w:rPr>
        <w:rFonts w:hint="default"/>
        <w:lang w:val="en-GB" w:eastAsia="en-US" w:bidi="ar-SA"/>
      </w:rPr>
    </w:lvl>
    <w:lvl w:ilvl="8" w:tplc="B2B2F306">
      <w:numFmt w:val="bullet"/>
      <w:lvlText w:val="•"/>
      <w:lvlJc w:val="left"/>
      <w:pPr>
        <w:ind w:left="7885" w:hanging="675"/>
      </w:pPr>
      <w:rPr>
        <w:rFonts w:hint="default"/>
        <w:lang w:val="en-GB" w:eastAsia="en-US" w:bidi="ar-SA"/>
      </w:rPr>
    </w:lvl>
  </w:abstractNum>
  <w:abstractNum w:abstractNumId="153">
    <w:nsid w:val="6C0F564B"/>
    <w:multiLevelType w:val="hybridMultilevel"/>
    <w:tmpl w:val="A7CAA22A"/>
    <w:lvl w:ilvl="0" w:tplc="B08A4E32">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37B47396">
      <w:numFmt w:val="bullet"/>
      <w:lvlText w:val="•"/>
      <w:lvlJc w:val="left"/>
      <w:pPr>
        <w:ind w:left="1445" w:hanging="361"/>
      </w:pPr>
      <w:rPr>
        <w:rFonts w:hint="default"/>
        <w:lang w:val="en-GB" w:eastAsia="en-US" w:bidi="ar-SA"/>
      </w:rPr>
    </w:lvl>
    <w:lvl w:ilvl="2" w:tplc="A412BBF0">
      <w:numFmt w:val="bullet"/>
      <w:lvlText w:val="•"/>
      <w:lvlJc w:val="left"/>
      <w:pPr>
        <w:ind w:left="2071" w:hanging="361"/>
      </w:pPr>
      <w:rPr>
        <w:rFonts w:hint="default"/>
        <w:lang w:val="en-GB" w:eastAsia="en-US" w:bidi="ar-SA"/>
      </w:rPr>
    </w:lvl>
    <w:lvl w:ilvl="3" w:tplc="5D50235E">
      <w:numFmt w:val="bullet"/>
      <w:lvlText w:val="•"/>
      <w:lvlJc w:val="left"/>
      <w:pPr>
        <w:ind w:left="2697" w:hanging="361"/>
      </w:pPr>
      <w:rPr>
        <w:rFonts w:hint="default"/>
        <w:lang w:val="en-GB" w:eastAsia="en-US" w:bidi="ar-SA"/>
      </w:rPr>
    </w:lvl>
    <w:lvl w:ilvl="4" w:tplc="3E78D366">
      <w:numFmt w:val="bullet"/>
      <w:lvlText w:val="•"/>
      <w:lvlJc w:val="left"/>
      <w:pPr>
        <w:ind w:left="3323" w:hanging="361"/>
      </w:pPr>
      <w:rPr>
        <w:rFonts w:hint="default"/>
        <w:lang w:val="en-GB" w:eastAsia="en-US" w:bidi="ar-SA"/>
      </w:rPr>
    </w:lvl>
    <w:lvl w:ilvl="5" w:tplc="81D67516">
      <w:numFmt w:val="bullet"/>
      <w:lvlText w:val="•"/>
      <w:lvlJc w:val="left"/>
      <w:pPr>
        <w:ind w:left="3949" w:hanging="361"/>
      </w:pPr>
      <w:rPr>
        <w:rFonts w:hint="default"/>
        <w:lang w:val="en-GB" w:eastAsia="en-US" w:bidi="ar-SA"/>
      </w:rPr>
    </w:lvl>
    <w:lvl w:ilvl="6" w:tplc="6330C844">
      <w:numFmt w:val="bullet"/>
      <w:lvlText w:val="•"/>
      <w:lvlJc w:val="left"/>
      <w:pPr>
        <w:ind w:left="4575" w:hanging="361"/>
      </w:pPr>
      <w:rPr>
        <w:rFonts w:hint="default"/>
        <w:lang w:val="en-GB" w:eastAsia="en-US" w:bidi="ar-SA"/>
      </w:rPr>
    </w:lvl>
    <w:lvl w:ilvl="7" w:tplc="6E16C0F4">
      <w:numFmt w:val="bullet"/>
      <w:lvlText w:val="•"/>
      <w:lvlJc w:val="left"/>
      <w:pPr>
        <w:ind w:left="5201" w:hanging="361"/>
      </w:pPr>
      <w:rPr>
        <w:rFonts w:hint="default"/>
        <w:lang w:val="en-GB" w:eastAsia="en-US" w:bidi="ar-SA"/>
      </w:rPr>
    </w:lvl>
    <w:lvl w:ilvl="8" w:tplc="E57AFA2A">
      <w:numFmt w:val="bullet"/>
      <w:lvlText w:val="•"/>
      <w:lvlJc w:val="left"/>
      <w:pPr>
        <w:ind w:left="5827" w:hanging="361"/>
      </w:pPr>
      <w:rPr>
        <w:rFonts w:hint="default"/>
        <w:lang w:val="en-GB" w:eastAsia="en-US" w:bidi="ar-SA"/>
      </w:rPr>
    </w:lvl>
  </w:abstractNum>
  <w:abstractNum w:abstractNumId="154">
    <w:nsid w:val="6C1368D1"/>
    <w:multiLevelType w:val="hybridMultilevel"/>
    <w:tmpl w:val="B7C473F2"/>
    <w:lvl w:ilvl="0" w:tplc="77544E54">
      <w:start w:val="46"/>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67DE1B2C">
      <w:numFmt w:val="bullet"/>
      <w:lvlText w:val="•"/>
      <w:lvlJc w:val="left"/>
      <w:pPr>
        <w:ind w:left="1612" w:hanging="552"/>
      </w:pPr>
      <w:rPr>
        <w:rFonts w:hint="default"/>
        <w:lang w:val="en-GB" w:eastAsia="en-US" w:bidi="ar-SA"/>
      </w:rPr>
    </w:lvl>
    <w:lvl w:ilvl="2" w:tplc="E51600BE">
      <w:numFmt w:val="bullet"/>
      <w:lvlText w:val="•"/>
      <w:lvlJc w:val="left"/>
      <w:pPr>
        <w:ind w:left="2505" w:hanging="552"/>
      </w:pPr>
      <w:rPr>
        <w:rFonts w:hint="default"/>
        <w:lang w:val="en-GB" w:eastAsia="en-US" w:bidi="ar-SA"/>
      </w:rPr>
    </w:lvl>
    <w:lvl w:ilvl="3" w:tplc="DCA2B94A">
      <w:numFmt w:val="bullet"/>
      <w:lvlText w:val="•"/>
      <w:lvlJc w:val="left"/>
      <w:pPr>
        <w:ind w:left="3397" w:hanging="552"/>
      </w:pPr>
      <w:rPr>
        <w:rFonts w:hint="default"/>
        <w:lang w:val="en-GB" w:eastAsia="en-US" w:bidi="ar-SA"/>
      </w:rPr>
    </w:lvl>
    <w:lvl w:ilvl="4" w:tplc="C5B67598">
      <w:numFmt w:val="bullet"/>
      <w:lvlText w:val="•"/>
      <w:lvlJc w:val="left"/>
      <w:pPr>
        <w:ind w:left="4290" w:hanging="552"/>
      </w:pPr>
      <w:rPr>
        <w:rFonts w:hint="default"/>
        <w:lang w:val="en-GB" w:eastAsia="en-US" w:bidi="ar-SA"/>
      </w:rPr>
    </w:lvl>
    <w:lvl w:ilvl="5" w:tplc="E6C23D74">
      <w:numFmt w:val="bullet"/>
      <w:lvlText w:val="•"/>
      <w:lvlJc w:val="left"/>
      <w:pPr>
        <w:ind w:left="5183" w:hanging="552"/>
      </w:pPr>
      <w:rPr>
        <w:rFonts w:hint="default"/>
        <w:lang w:val="en-GB" w:eastAsia="en-US" w:bidi="ar-SA"/>
      </w:rPr>
    </w:lvl>
    <w:lvl w:ilvl="6" w:tplc="F66AF41A">
      <w:numFmt w:val="bullet"/>
      <w:lvlText w:val="•"/>
      <w:lvlJc w:val="left"/>
      <w:pPr>
        <w:ind w:left="6075" w:hanging="552"/>
      </w:pPr>
      <w:rPr>
        <w:rFonts w:hint="default"/>
        <w:lang w:val="en-GB" w:eastAsia="en-US" w:bidi="ar-SA"/>
      </w:rPr>
    </w:lvl>
    <w:lvl w:ilvl="7" w:tplc="3F54E566">
      <w:numFmt w:val="bullet"/>
      <w:lvlText w:val="•"/>
      <w:lvlJc w:val="left"/>
      <w:pPr>
        <w:ind w:left="6968" w:hanging="552"/>
      </w:pPr>
      <w:rPr>
        <w:rFonts w:hint="default"/>
        <w:lang w:val="en-GB" w:eastAsia="en-US" w:bidi="ar-SA"/>
      </w:rPr>
    </w:lvl>
    <w:lvl w:ilvl="8" w:tplc="25101EA6">
      <w:numFmt w:val="bullet"/>
      <w:lvlText w:val="•"/>
      <w:lvlJc w:val="left"/>
      <w:pPr>
        <w:ind w:left="7861" w:hanging="552"/>
      </w:pPr>
      <w:rPr>
        <w:rFonts w:hint="default"/>
        <w:lang w:val="en-GB" w:eastAsia="en-US" w:bidi="ar-SA"/>
      </w:rPr>
    </w:lvl>
  </w:abstractNum>
  <w:abstractNum w:abstractNumId="155">
    <w:nsid w:val="6C9C72F2"/>
    <w:multiLevelType w:val="hybridMultilevel"/>
    <w:tmpl w:val="0850557E"/>
    <w:lvl w:ilvl="0" w:tplc="35C8B986">
      <w:start w:val="1"/>
      <w:numFmt w:val="decimal"/>
      <w:lvlText w:val="%1."/>
      <w:lvlJc w:val="left"/>
      <w:pPr>
        <w:ind w:left="467" w:hanging="361"/>
        <w:jc w:val="left"/>
      </w:pPr>
      <w:rPr>
        <w:rFonts w:ascii="Arial" w:eastAsia="Arial" w:hAnsi="Arial" w:cs="Arial" w:hint="default"/>
        <w:b w:val="0"/>
        <w:bCs w:val="0"/>
        <w:i w:val="0"/>
        <w:iCs w:val="0"/>
        <w:spacing w:val="-1"/>
        <w:w w:val="99"/>
        <w:sz w:val="20"/>
        <w:szCs w:val="20"/>
        <w:lang w:val="en-GB" w:eastAsia="en-US" w:bidi="ar-SA"/>
      </w:rPr>
    </w:lvl>
    <w:lvl w:ilvl="1" w:tplc="03A6577E">
      <w:numFmt w:val="bullet"/>
      <w:lvlText w:val="•"/>
      <w:lvlJc w:val="left"/>
      <w:pPr>
        <w:ind w:left="753" w:hanging="361"/>
      </w:pPr>
      <w:rPr>
        <w:rFonts w:hint="default"/>
        <w:lang w:val="en-GB" w:eastAsia="en-US" w:bidi="ar-SA"/>
      </w:rPr>
    </w:lvl>
    <w:lvl w:ilvl="2" w:tplc="FCFCF966">
      <w:numFmt w:val="bullet"/>
      <w:lvlText w:val="•"/>
      <w:lvlJc w:val="left"/>
      <w:pPr>
        <w:ind w:left="1046" w:hanging="361"/>
      </w:pPr>
      <w:rPr>
        <w:rFonts w:hint="default"/>
        <w:lang w:val="en-GB" w:eastAsia="en-US" w:bidi="ar-SA"/>
      </w:rPr>
    </w:lvl>
    <w:lvl w:ilvl="3" w:tplc="6208365E">
      <w:numFmt w:val="bullet"/>
      <w:lvlText w:val="•"/>
      <w:lvlJc w:val="left"/>
      <w:pPr>
        <w:ind w:left="1340" w:hanging="361"/>
      </w:pPr>
      <w:rPr>
        <w:rFonts w:hint="default"/>
        <w:lang w:val="en-GB" w:eastAsia="en-US" w:bidi="ar-SA"/>
      </w:rPr>
    </w:lvl>
    <w:lvl w:ilvl="4" w:tplc="3B8A8092">
      <w:numFmt w:val="bullet"/>
      <w:lvlText w:val="•"/>
      <w:lvlJc w:val="left"/>
      <w:pPr>
        <w:ind w:left="1633" w:hanging="361"/>
      </w:pPr>
      <w:rPr>
        <w:rFonts w:hint="default"/>
        <w:lang w:val="en-GB" w:eastAsia="en-US" w:bidi="ar-SA"/>
      </w:rPr>
    </w:lvl>
    <w:lvl w:ilvl="5" w:tplc="CFA6C746">
      <w:numFmt w:val="bullet"/>
      <w:lvlText w:val="•"/>
      <w:lvlJc w:val="left"/>
      <w:pPr>
        <w:ind w:left="1927" w:hanging="361"/>
      </w:pPr>
      <w:rPr>
        <w:rFonts w:hint="default"/>
        <w:lang w:val="en-GB" w:eastAsia="en-US" w:bidi="ar-SA"/>
      </w:rPr>
    </w:lvl>
    <w:lvl w:ilvl="6" w:tplc="74147C80">
      <w:numFmt w:val="bullet"/>
      <w:lvlText w:val="•"/>
      <w:lvlJc w:val="left"/>
      <w:pPr>
        <w:ind w:left="2220" w:hanging="361"/>
      </w:pPr>
      <w:rPr>
        <w:rFonts w:hint="default"/>
        <w:lang w:val="en-GB" w:eastAsia="en-US" w:bidi="ar-SA"/>
      </w:rPr>
    </w:lvl>
    <w:lvl w:ilvl="7" w:tplc="C6AA1A96">
      <w:numFmt w:val="bullet"/>
      <w:lvlText w:val="•"/>
      <w:lvlJc w:val="left"/>
      <w:pPr>
        <w:ind w:left="2513" w:hanging="361"/>
      </w:pPr>
      <w:rPr>
        <w:rFonts w:hint="default"/>
        <w:lang w:val="en-GB" w:eastAsia="en-US" w:bidi="ar-SA"/>
      </w:rPr>
    </w:lvl>
    <w:lvl w:ilvl="8" w:tplc="51FA42B6">
      <w:numFmt w:val="bullet"/>
      <w:lvlText w:val="•"/>
      <w:lvlJc w:val="left"/>
      <w:pPr>
        <w:ind w:left="2807" w:hanging="361"/>
      </w:pPr>
      <w:rPr>
        <w:rFonts w:hint="default"/>
        <w:lang w:val="en-GB" w:eastAsia="en-US" w:bidi="ar-SA"/>
      </w:rPr>
    </w:lvl>
  </w:abstractNum>
  <w:abstractNum w:abstractNumId="156">
    <w:nsid w:val="6CE15308"/>
    <w:multiLevelType w:val="hybridMultilevel"/>
    <w:tmpl w:val="36C692E6"/>
    <w:lvl w:ilvl="0" w:tplc="F8963B8C">
      <w:start w:val="122"/>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EEF4CFB4">
      <w:numFmt w:val="bullet"/>
      <w:lvlText w:val="•"/>
      <w:lvlJc w:val="left"/>
      <w:pPr>
        <w:ind w:left="1720" w:hanging="675"/>
      </w:pPr>
      <w:rPr>
        <w:rFonts w:hint="default"/>
        <w:lang w:val="en-GB" w:eastAsia="en-US" w:bidi="ar-SA"/>
      </w:rPr>
    </w:lvl>
    <w:lvl w:ilvl="2" w:tplc="C3C8471E">
      <w:numFmt w:val="bullet"/>
      <w:lvlText w:val="•"/>
      <w:lvlJc w:val="left"/>
      <w:pPr>
        <w:ind w:left="2601" w:hanging="675"/>
      </w:pPr>
      <w:rPr>
        <w:rFonts w:hint="default"/>
        <w:lang w:val="en-GB" w:eastAsia="en-US" w:bidi="ar-SA"/>
      </w:rPr>
    </w:lvl>
    <w:lvl w:ilvl="3" w:tplc="98C41A52">
      <w:numFmt w:val="bullet"/>
      <w:lvlText w:val="•"/>
      <w:lvlJc w:val="left"/>
      <w:pPr>
        <w:ind w:left="3481" w:hanging="675"/>
      </w:pPr>
      <w:rPr>
        <w:rFonts w:hint="default"/>
        <w:lang w:val="en-GB" w:eastAsia="en-US" w:bidi="ar-SA"/>
      </w:rPr>
    </w:lvl>
    <w:lvl w:ilvl="4" w:tplc="032AD0EC">
      <w:numFmt w:val="bullet"/>
      <w:lvlText w:val="•"/>
      <w:lvlJc w:val="left"/>
      <w:pPr>
        <w:ind w:left="4362" w:hanging="675"/>
      </w:pPr>
      <w:rPr>
        <w:rFonts w:hint="default"/>
        <w:lang w:val="en-GB" w:eastAsia="en-US" w:bidi="ar-SA"/>
      </w:rPr>
    </w:lvl>
    <w:lvl w:ilvl="5" w:tplc="A38C9A80">
      <w:numFmt w:val="bullet"/>
      <w:lvlText w:val="•"/>
      <w:lvlJc w:val="left"/>
      <w:pPr>
        <w:ind w:left="5243" w:hanging="675"/>
      </w:pPr>
      <w:rPr>
        <w:rFonts w:hint="default"/>
        <w:lang w:val="en-GB" w:eastAsia="en-US" w:bidi="ar-SA"/>
      </w:rPr>
    </w:lvl>
    <w:lvl w:ilvl="6" w:tplc="9D94D0C8">
      <w:numFmt w:val="bullet"/>
      <w:lvlText w:val="•"/>
      <w:lvlJc w:val="left"/>
      <w:pPr>
        <w:ind w:left="6123" w:hanging="675"/>
      </w:pPr>
      <w:rPr>
        <w:rFonts w:hint="default"/>
        <w:lang w:val="en-GB" w:eastAsia="en-US" w:bidi="ar-SA"/>
      </w:rPr>
    </w:lvl>
    <w:lvl w:ilvl="7" w:tplc="110EA31C">
      <w:numFmt w:val="bullet"/>
      <w:lvlText w:val="•"/>
      <w:lvlJc w:val="left"/>
      <w:pPr>
        <w:ind w:left="7004" w:hanging="675"/>
      </w:pPr>
      <w:rPr>
        <w:rFonts w:hint="default"/>
        <w:lang w:val="en-GB" w:eastAsia="en-US" w:bidi="ar-SA"/>
      </w:rPr>
    </w:lvl>
    <w:lvl w:ilvl="8" w:tplc="FD7074A0">
      <w:numFmt w:val="bullet"/>
      <w:lvlText w:val="•"/>
      <w:lvlJc w:val="left"/>
      <w:pPr>
        <w:ind w:left="7885" w:hanging="675"/>
      </w:pPr>
      <w:rPr>
        <w:rFonts w:hint="default"/>
        <w:lang w:val="en-GB" w:eastAsia="en-US" w:bidi="ar-SA"/>
      </w:rPr>
    </w:lvl>
  </w:abstractNum>
  <w:abstractNum w:abstractNumId="157">
    <w:nsid w:val="6D1D4EFB"/>
    <w:multiLevelType w:val="hybridMultilevel"/>
    <w:tmpl w:val="8A7E74FA"/>
    <w:lvl w:ilvl="0" w:tplc="FE467170">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464C3566">
      <w:numFmt w:val="bullet"/>
      <w:lvlText w:val="•"/>
      <w:lvlJc w:val="left"/>
      <w:pPr>
        <w:ind w:left="1445" w:hanging="361"/>
      </w:pPr>
      <w:rPr>
        <w:rFonts w:hint="default"/>
        <w:lang w:val="en-GB" w:eastAsia="en-US" w:bidi="ar-SA"/>
      </w:rPr>
    </w:lvl>
    <w:lvl w:ilvl="2" w:tplc="EEA604F4">
      <w:numFmt w:val="bullet"/>
      <w:lvlText w:val="•"/>
      <w:lvlJc w:val="left"/>
      <w:pPr>
        <w:ind w:left="2071" w:hanging="361"/>
      </w:pPr>
      <w:rPr>
        <w:rFonts w:hint="default"/>
        <w:lang w:val="en-GB" w:eastAsia="en-US" w:bidi="ar-SA"/>
      </w:rPr>
    </w:lvl>
    <w:lvl w:ilvl="3" w:tplc="4E265FEE">
      <w:numFmt w:val="bullet"/>
      <w:lvlText w:val="•"/>
      <w:lvlJc w:val="left"/>
      <w:pPr>
        <w:ind w:left="2697" w:hanging="361"/>
      </w:pPr>
      <w:rPr>
        <w:rFonts w:hint="default"/>
        <w:lang w:val="en-GB" w:eastAsia="en-US" w:bidi="ar-SA"/>
      </w:rPr>
    </w:lvl>
    <w:lvl w:ilvl="4" w:tplc="AE5CA3A4">
      <w:numFmt w:val="bullet"/>
      <w:lvlText w:val="•"/>
      <w:lvlJc w:val="left"/>
      <w:pPr>
        <w:ind w:left="3323" w:hanging="361"/>
      </w:pPr>
      <w:rPr>
        <w:rFonts w:hint="default"/>
        <w:lang w:val="en-GB" w:eastAsia="en-US" w:bidi="ar-SA"/>
      </w:rPr>
    </w:lvl>
    <w:lvl w:ilvl="5" w:tplc="66D428A4">
      <w:numFmt w:val="bullet"/>
      <w:lvlText w:val="•"/>
      <w:lvlJc w:val="left"/>
      <w:pPr>
        <w:ind w:left="3949" w:hanging="361"/>
      </w:pPr>
      <w:rPr>
        <w:rFonts w:hint="default"/>
        <w:lang w:val="en-GB" w:eastAsia="en-US" w:bidi="ar-SA"/>
      </w:rPr>
    </w:lvl>
    <w:lvl w:ilvl="6" w:tplc="A920B3CA">
      <w:numFmt w:val="bullet"/>
      <w:lvlText w:val="•"/>
      <w:lvlJc w:val="left"/>
      <w:pPr>
        <w:ind w:left="4575" w:hanging="361"/>
      </w:pPr>
      <w:rPr>
        <w:rFonts w:hint="default"/>
        <w:lang w:val="en-GB" w:eastAsia="en-US" w:bidi="ar-SA"/>
      </w:rPr>
    </w:lvl>
    <w:lvl w:ilvl="7" w:tplc="DDAA864E">
      <w:numFmt w:val="bullet"/>
      <w:lvlText w:val="•"/>
      <w:lvlJc w:val="left"/>
      <w:pPr>
        <w:ind w:left="5201" w:hanging="361"/>
      </w:pPr>
      <w:rPr>
        <w:rFonts w:hint="default"/>
        <w:lang w:val="en-GB" w:eastAsia="en-US" w:bidi="ar-SA"/>
      </w:rPr>
    </w:lvl>
    <w:lvl w:ilvl="8" w:tplc="04CC4AD0">
      <w:numFmt w:val="bullet"/>
      <w:lvlText w:val="•"/>
      <w:lvlJc w:val="left"/>
      <w:pPr>
        <w:ind w:left="5827" w:hanging="361"/>
      </w:pPr>
      <w:rPr>
        <w:rFonts w:hint="default"/>
        <w:lang w:val="en-GB" w:eastAsia="en-US" w:bidi="ar-SA"/>
      </w:rPr>
    </w:lvl>
  </w:abstractNum>
  <w:abstractNum w:abstractNumId="158">
    <w:nsid w:val="6D28719F"/>
    <w:multiLevelType w:val="hybridMultilevel"/>
    <w:tmpl w:val="760E85EA"/>
    <w:lvl w:ilvl="0" w:tplc="D8282306">
      <w:start w:val="1"/>
      <w:numFmt w:val="decimal"/>
      <w:lvlText w:val="%1"/>
      <w:lvlJc w:val="left"/>
      <w:pPr>
        <w:ind w:left="271" w:hanging="152"/>
        <w:jc w:val="left"/>
      </w:pPr>
      <w:rPr>
        <w:rFonts w:ascii="Arial" w:eastAsia="Arial" w:hAnsi="Arial" w:cs="Arial" w:hint="default"/>
        <w:b w:val="0"/>
        <w:bCs w:val="0"/>
        <w:i/>
        <w:iCs/>
        <w:w w:val="100"/>
        <w:sz w:val="18"/>
        <w:szCs w:val="18"/>
        <w:lang w:val="en-GB" w:eastAsia="en-US" w:bidi="ar-SA"/>
      </w:rPr>
    </w:lvl>
    <w:lvl w:ilvl="1" w:tplc="EF46F9A0">
      <w:numFmt w:val="bullet"/>
      <w:lvlText w:val="•"/>
      <w:lvlJc w:val="left"/>
      <w:pPr>
        <w:ind w:left="1693" w:hanging="152"/>
      </w:pPr>
      <w:rPr>
        <w:rFonts w:hint="default"/>
        <w:lang w:val="en-GB" w:eastAsia="en-US" w:bidi="ar-SA"/>
      </w:rPr>
    </w:lvl>
    <w:lvl w:ilvl="2" w:tplc="1ACA38AE">
      <w:numFmt w:val="bullet"/>
      <w:lvlText w:val="•"/>
      <w:lvlJc w:val="left"/>
      <w:pPr>
        <w:ind w:left="3107" w:hanging="152"/>
      </w:pPr>
      <w:rPr>
        <w:rFonts w:hint="default"/>
        <w:lang w:val="en-GB" w:eastAsia="en-US" w:bidi="ar-SA"/>
      </w:rPr>
    </w:lvl>
    <w:lvl w:ilvl="3" w:tplc="D2B6500C">
      <w:numFmt w:val="bullet"/>
      <w:lvlText w:val="•"/>
      <w:lvlJc w:val="left"/>
      <w:pPr>
        <w:ind w:left="4521" w:hanging="152"/>
      </w:pPr>
      <w:rPr>
        <w:rFonts w:hint="default"/>
        <w:lang w:val="en-GB" w:eastAsia="en-US" w:bidi="ar-SA"/>
      </w:rPr>
    </w:lvl>
    <w:lvl w:ilvl="4" w:tplc="45C64F06">
      <w:numFmt w:val="bullet"/>
      <w:lvlText w:val="•"/>
      <w:lvlJc w:val="left"/>
      <w:pPr>
        <w:ind w:left="5935" w:hanging="152"/>
      </w:pPr>
      <w:rPr>
        <w:rFonts w:hint="default"/>
        <w:lang w:val="en-GB" w:eastAsia="en-US" w:bidi="ar-SA"/>
      </w:rPr>
    </w:lvl>
    <w:lvl w:ilvl="5" w:tplc="FBDCD140">
      <w:numFmt w:val="bullet"/>
      <w:lvlText w:val="•"/>
      <w:lvlJc w:val="left"/>
      <w:pPr>
        <w:ind w:left="7349" w:hanging="152"/>
      </w:pPr>
      <w:rPr>
        <w:rFonts w:hint="default"/>
        <w:lang w:val="en-GB" w:eastAsia="en-US" w:bidi="ar-SA"/>
      </w:rPr>
    </w:lvl>
    <w:lvl w:ilvl="6" w:tplc="34A285C6">
      <w:numFmt w:val="bullet"/>
      <w:lvlText w:val="•"/>
      <w:lvlJc w:val="left"/>
      <w:pPr>
        <w:ind w:left="8763" w:hanging="152"/>
      </w:pPr>
      <w:rPr>
        <w:rFonts w:hint="default"/>
        <w:lang w:val="en-GB" w:eastAsia="en-US" w:bidi="ar-SA"/>
      </w:rPr>
    </w:lvl>
    <w:lvl w:ilvl="7" w:tplc="935E0FAC">
      <w:numFmt w:val="bullet"/>
      <w:lvlText w:val="•"/>
      <w:lvlJc w:val="left"/>
      <w:pPr>
        <w:ind w:left="10176" w:hanging="152"/>
      </w:pPr>
      <w:rPr>
        <w:rFonts w:hint="default"/>
        <w:lang w:val="en-GB" w:eastAsia="en-US" w:bidi="ar-SA"/>
      </w:rPr>
    </w:lvl>
    <w:lvl w:ilvl="8" w:tplc="ABD8F55C">
      <w:numFmt w:val="bullet"/>
      <w:lvlText w:val="•"/>
      <w:lvlJc w:val="left"/>
      <w:pPr>
        <w:ind w:left="11590" w:hanging="152"/>
      </w:pPr>
      <w:rPr>
        <w:rFonts w:hint="default"/>
        <w:lang w:val="en-GB" w:eastAsia="en-US" w:bidi="ar-SA"/>
      </w:rPr>
    </w:lvl>
  </w:abstractNum>
  <w:abstractNum w:abstractNumId="159">
    <w:nsid w:val="6D423DD6"/>
    <w:multiLevelType w:val="hybridMultilevel"/>
    <w:tmpl w:val="FABC9806"/>
    <w:lvl w:ilvl="0" w:tplc="92A8DBD2">
      <w:start w:val="1"/>
      <w:numFmt w:val="decimal"/>
      <w:lvlText w:val="%1."/>
      <w:lvlJc w:val="left"/>
      <w:pPr>
        <w:ind w:left="467" w:hanging="361"/>
        <w:jc w:val="left"/>
      </w:pPr>
      <w:rPr>
        <w:rFonts w:ascii="Arial" w:eastAsia="Arial" w:hAnsi="Arial" w:cs="Arial" w:hint="default"/>
        <w:b w:val="0"/>
        <w:bCs w:val="0"/>
        <w:i w:val="0"/>
        <w:iCs w:val="0"/>
        <w:spacing w:val="-1"/>
        <w:w w:val="99"/>
        <w:sz w:val="20"/>
        <w:szCs w:val="20"/>
        <w:lang w:val="en-GB" w:eastAsia="en-US" w:bidi="ar-SA"/>
      </w:rPr>
    </w:lvl>
    <w:lvl w:ilvl="1" w:tplc="C5A608EA">
      <w:numFmt w:val="bullet"/>
      <w:lvlText w:val="•"/>
      <w:lvlJc w:val="left"/>
      <w:pPr>
        <w:ind w:left="753" w:hanging="361"/>
      </w:pPr>
      <w:rPr>
        <w:rFonts w:hint="default"/>
        <w:lang w:val="en-GB" w:eastAsia="en-US" w:bidi="ar-SA"/>
      </w:rPr>
    </w:lvl>
    <w:lvl w:ilvl="2" w:tplc="35A8CFB4">
      <w:numFmt w:val="bullet"/>
      <w:lvlText w:val="•"/>
      <w:lvlJc w:val="left"/>
      <w:pPr>
        <w:ind w:left="1046" w:hanging="361"/>
      </w:pPr>
      <w:rPr>
        <w:rFonts w:hint="default"/>
        <w:lang w:val="en-GB" w:eastAsia="en-US" w:bidi="ar-SA"/>
      </w:rPr>
    </w:lvl>
    <w:lvl w:ilvl="3" w:tplc="B8B0AB40">
      <w:numFmt w:val="bullet"/>
      <w:lvlText w:val="•"/>
      <w:lvlJc w:val="left"/>
      <w:pPr>
        <w:ind w:left="1340" w:hanging="361"/>
      </w:pPr>
      <w:rPr>
        <w:rFonts w:hint="default"/>
        <w:lang w:val="en-GB" w:eastAsia="en-US" w:bidi="ar-SA"/>
      </w:rPr>
    </w:lvl>
    <w:lvl w:ilvl="4" w:tplc="3594CE76">
      <w:numFmt w:val="bullet"/>
      <w:lvlText w:val="•"/>
      <w:lvlJc w:val="left"/>
      <w:pPr>
        <w:ind w:left="1633" w:hanging="361"/>
      </w:pPr>
      <w:rPr>
        <w:rFonts w:hint="default"/>
        <w:lang w:val="en-GB" w:eastAsia="en-US" w:bidi="ar-SA"/>
      </w:rPr>
    </w:lvl>
    <w:lvl w:ilvl="5" w:tplc="1E8C4AA4">
      <w:numFmt w:val="bullet"/>
      <w:lvlText w:val="•"/>
      <w:lvlJc w:val="left"/>
      <w:pPr>
        <w:ind w:left="1927" w:hanging="361"/>
      </w:pPr>
      <w:rPr>
        <w:rFonts w:hint="default"/>
        <w:lang w:val="en-GB" w:eastAsia="en-US" w:bidi="ar-SA"/>
      </w:rPr>
    </w:lvl>
    <w:lvl w:ilvl="6" w:tplc="FB604390">
      <w:numFmt w:val="bullet"/>
      <w:lvlText w:val="•"/>
      <w:lvlJc w:val="left"/>
      <w:pPr>
        <w:ind w:left="2220" w:hanging="361"/>
      </w:pPr>
      <w:rPr>
        <w:rFonts w:hint="default"/>
        <w:lang w:val="en-GB" w:eastAsia="en-US" w:bidi="ar-SA"/>
      </w:rPr>
    </w:lvl>
    <w:lvl w:ilvl="7" w:tplc="610C723A">
      <w:numFmt w:val="bullet"/>
      <w:lvlText w:val="•"/>
      <w:lvlJc w:val="left"/>
      <w:pPr>
        <w:ind w:left="2513" w:hanging="361"/>
      </w:pPr>
      <w:rPr>
        <w:rFonts w:hint="default"/>
        <w:lang w:val="en-GB" w:eastAsia="en-US" w:bidi="ar-SA"/>
      </w:rPr>
    </w:lvl>
    <w:lvl w:ilvl="8" w:tplc="89DC3B86">
      <w:numFmt w:val="bullet"/>
      <w:lvlText w:val="•"/>
      <w:lvlJc w:val="left"/>
      <w:pPr>
        <w:ind w:left="2807" w:hanging="361"/>
      </w:pPr>
      <w:rPr>
        <w:rFonts w:hint="default"/>
        <w:lang w:val="en-GB" w:eastAsia="en-US" w:bidi="ar-SA"/>
      </w:rPr>
    </w:lvl>
  </w:abstractNum>
  <w:abstractNum w:abstractNumId="160">
    <w:nsid w:val="6D455210"/>
    <w:multiLevelType w:val="hybridMultilevel"/>
    <w:tmpl w:val="0AA84E74"/>
    <w:lvl w:ilvl="0" w:tplc="3A4E49CE">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F9363DB8">
      <w:numFmt w:val="bullet"/>
      <w:lvlText w:val="•"/>
      <w:lvlJc w:val="left"/>
      <w:pPr>
        <w:ind w:left="1445" w:hanging="361"/>
      </w:pPr>
      <w:rPr>
        <w:rFonts w:hint="default"/>
        <w:lang w:val="en-GB" w:eastAsia="en-US" w:bidi="ar-SA"/>
      </w:rPr>
    </w:lvl>
    <w:lvl w:ilvl="2" w:tplc="31DABFFA">
      <w:numFmt w:val="bullet"/>
      <w:lvlText w:val="•"/>
      <w:lvlJc w:val="left"/>
      <w:pPr>
        <w:ind w:left="2071" w:hanging="361"/>
      </w:pPr>
      <w:rPr>
        <w:rFonts w:hint="default"/>
        <w:lang w:val="en-GB" w:eastAsia="en-US" w:bidi="ar-SA"/>
      </w:rPr>
    </w:lvl>
    <w:lvl w:ilvl="3" w:tplc="88A0C5E0">
      <w:numFmt w:val="bullet"/>
      <w:lvlText w:val="•"/>
      <w:lvlJc w:val="left"/>
      <w:pPr>
        <w:ind w:left="2697" w:hanging="361"/>
      </w:pPr>
      <w:rPr>
        <w:rFonts w:hint="default"/>
        <w:lang w:val="en-GB" w:eastAsia="en-US" w:bidi="ar-SA"/>
      </w:rPr>
    </w:lvl>
    <w:lvl w:ilvl="4" w:tplc="DB862A46">
      <w:numFmt w:val="bullet"/>
      <w:lvlText w:val="•"/>
      <w:lvlJc w:val="left"/>
      <w:pPr>
        <w:ind w:left="3323" w:hanging="361"/>
      </w:pPr>
      <w:rPr>
        <w:rFonts w:hint="default"/>
        <w:lang w:val="en-GB" w:eastAsia="en-US" w:bidi="ar-SA"/>
      </w:rPr>
    </w:lvl>
    <w:lvl w:ilvl="5" w:tplc="1890D0B4">
      <w:numFmt w:val="bullet"/>
      <w:lvlText w:val="•"/>
      <w:lvlJc w:val="left"/>
      <w:pPr>
        <w:ind w:left="3949" w:hanging="361"/>
      </w:pPr>
      <w:rPr>
        <w:rFonts w:hint="default"/>
        <w:lang w:val="en-GB" w:eastAsia="en-US" w:bidi="ar-SA"/>
      </w:rPr>
    </w:lvl>
    <w:lvl w:ilvl="6" w:tplc="31B2D3CC">
      <w:numFmt w:val="bullet"/>
      <w:lvlText w:val="•"/>
      <w:lvlJc w:val="left"/>
      <w:pPr>
        <w:ind w:left="4575" w:hanging="361"/>
      </w:pPr>
      <w:rPr>
        <w:rFonts w:hint="default"/>
        <w:lang w:val="en-GB" w:eastAsia="en-US" w:bidi="ar-SA"/>
      </w:rPr>
    </w:lvl>
    <w:lvl w:ilvl="7" w:tplc="B84CC282">
      <w:numFmt w:val="bullet"/>
      <w:lvlText w:val="•"/>
      <w:lvlJc w:val="left"/>
      <w:pPr>
        <w:ind w:left="5201" w:hanging="361"/>
      </w:pPr>
      <w:rPr>
        <w:rFonts w:hint="default"/>
        <w:lang w:val="en-GB" w:eastAsia="en-US" w:bidi="ar-SA"/>
      </w:rPr>
    </w:lvl>
    <w:lvl w:ilvl="8" w:tplc="A6C41A58">
      <w:numFmt w:val="bullet"/>
      <w:lvlText w:val="•"/>
      <w:lvlJc w:val="left"/>
      <w:pPr>
        <w:ind w:left="5827" w:hanging="361"/>
      </w:pPr>
      <w:rPr>
        <w:rFonts w:hint="default"/>
        <w:lang w:val="en-GB" w:eastAsia="en-US" w:bidi="ar-SA"/>
      </w:rPr>
    </w:lvl>
  </w:abstractNum>
  <w:abstractNum w:abstractNumId="161">
    <w:nsid w:val="6D8261B3"/>
    <w:multiLevelType w:val="hybridMultilevel"/>
    <w:tmpl w:val="CDF0248A"/>
    <w:lvl w:ilvl="0" w:tplc="3692EEC4">
      <w:start w:val="5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72DCCF02">
      <w:numFmt w:val="bullet"/>
      <w:lvlText w:val="•"/>
      <w:lvlJc w:val="left"/>
      <w:pPr>
        <w:ind w:left="1612" w:hanging="552"/>
      </w:pPr>
      <w:rPr>
        <w:rFonts w:hint="default"/>
        <w:lang w:val="en-GB" w:eastAsia="en-US" w:bidi="ar-SA"/>
      </w:rPr>
    </w:lvl>
    <w:lvl w:ilvl="2" w:tplc="408CB8DC">
      <w:numFmt w:val="bullet"/>
      <w:lvlText w:val="•"/>
      <w:lvlJc w:val="left"/>
      <w:pPr>
        <w:ind w:left="2505" w:hanging="552"/>
      </w:pPr>
      <w:rPr>
        <w:rFonts w:hint="default"/>
        <w:lang w:val="en-GB" w:eastAsia="en-US" w:bidi="ar-SA"/>
      </w:rPr>
    </w:lvl>
    <w:lvl w:ilvl="3" w:tplc="470CF8D0">
      <w:numFmt w:val="bullet"/>
      <w:lvlText w:val="•"/>
      <w:lvlJc w:val="left"/>
      <w:pPr>
        <w:ind w:left="3397" w:hanging="552"/>
      </w:pPr>
      <w:rPr>
        <w:rFonts w:hint="default"/>
        <w:lang w:val="en-GB" w:eastAsia="en-US" w:bidi="ar-SA"/>
      </w:rPr>
    </w:lvl>
    <w:lvl w:ilvl="4" w:tplc="F0D60860">
      <w:numFmt w:val="bullet"/>
      <w:lvlText w:val="•"/>
      <w:lvlJc w:val="left"/>
      <w:pPr>
        <w:ind w:left="4290" w:hanging="552"/>
      </w:pPr>
      <w:rPr>
        <w:rFonts w:hint="default"/>
        <w:lang w:val="en-GB" w:eastAsia="en-US" w:bidi="ar-SA"/>
      </w:rPr>
    </w:lvl>
    <w:lvl w:ilvl="5" w:tplc="8CD44510">
      <w:numFmt w:val="bullet"/>
      <w:lvlText w:val="•"/>
      <w:lvlJc w:val="left"/>
      <w:pPr>
        <w:ind w:left="5183" w:hanging="552"/>
      </w:pPr>
      <w:rPr>
        <w:rFonts w:hint="default"/>
        <w:lang w:val="en-GB" w:eastAsia="en-US" w:bidi="ar-SA"/>
      </w:rPr>
    </w:lvl>
    <w:lvl w:ilvl="6" w:tplc="C4489674">
      <w:numFmt w:val="bullet"/>
      <w:lvlText w:val="•"/>
      <w:lvlJc w:val="left"/>
      <w:pPr>
        <w:ind w:left="6075" w:hanging="552"/>
      </w:pPr>
      <w:rPr>
        <w:rFonts w:hint="default"/>
        <w:lang w:val="en-GB" w:eastAsia="en-US" w:bidi="ar-SA"/>
      </w:rPr>
    </w:lvl>
    <w:lvl w:ilvl="7" w:tplc="7270D28C">
      <w:numFmt w:val="bullet"/>
      <w:lvlText w:val="•"/>
      <w:lvlJc w:val="left"/>
      <w:pPr>
        <w:ind w:left="6968" w:hanging="552"/>
      </w:pPr>
      <w:rPr>
        <w:rFonts w:hint="default"/>
        <w:lang w:val="en-GB" w:eastAsia="en-US" w:bidi="ar-SA"/>
      </w:rPr>
    </w:lvl>
    <w:lvl w:ilvl="8" w:tplc="02362628">
      <w:numFmt w:val="bullet"/>
      <w:lvlText w:val="•"/>
      <w:lvlJc w:val="left"/>
      <w:pPr>
        <w:ind w:left="7861" w:hanging="552"/>
      </w:pPr>
      <w:rPr>
        <w:rFonts w:hint="default"/>
        <w:lang w:val="en-GB" w:eastAsia="en-US" w:bidi="ar-SA"/>
      </w:rPr>
    </w:lvl>
  </w:abstractNum>
  <w:abstractNum w:abstractNumId="162">
    <w:nsid w:val="6DF0672E"/>
    <w:multiLevelType w:val="hybridMultilevel"/>
    <w:tmpl w:val="22768A78"/>
    <w:lvl w:ilvl="0" w:tplc="B86206E6">
      <w:start w:val="126"/>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E274FDC8">
      <w:numFmt w:val="bullet"/>
      <w:lvlText w:val="•"/>
      <w:lvlJc w:val="left"/>
      <w:pPr>
        <w:ind w:left="1720" w:hanging="675"/>
      </w:pPr>
      <w:rPr>
        <w:rFonts w:hint="default"/>
        <w:lang w:val="en-GB" w:eastAsia="en-US" w:bidi="ar-SA"/>
      </w:rPr>
    </w:lvl>
    <w:lvl w:ilvl="2" w:tplc="A1A82BE6">
      <w:numFmt w:val="bullet"/>
      <w:lvlText w:val="•"/>
      <w:lvlJc w:val="left"/>
      <w:pPr>
        <w:ind w:left="2601" w:hanging="675"/>
      </w:pPr>
      <w:rPr>
        <w:rFonts w:hint="default"/>
        <w:lang w:val="en-GB" w:eastAsia="en-US" w:bidi="ar-SA"/>
      </w:rPr>
    </w:lvl>
    <w:lvl w:ilvl="3" w:tplc="68B099D8">
      <w:numFmt w:val="bullet"/>
      <w:lvlText w:val="•"/>
      <w:lvlJc w:val="left"/>
      <w:pPr>
        <w:ind w:left="3481" w:hanging="675"/>
      </w:pPr>
      <w:rPr>
        <w:rFonts w:hint="default"/>
        <w:lang w:val="en-GB" w:eastAsia="en-US" w:bidi="ar-SA"/>
      </w:rPr>
    </w:lvl>
    <w:lvl w:ilvl="4" w:tplc="9E46528E">
      <w:numFmt w:val="bullet"/>
      <w:lvlText w:val="•"/>
      <w:lvlJc w:val="left"/>
      <w:pPr>
        <w:ind w:left="4362" w:hanging="675"/>
      </w:pPr>
      <w:rPr>
        <w:rFonts w:hint="default"/>
        <w:lang w:val="en-GB" w:eastAsia="en-US" w:bidi="ar-SA"/>
      </w:rPr>
    </w:lvl>
    <w:lvl w:ilvl="5" w:tplc="AA6A4256">
      <w:numFmt w:val="bullet"/>
      <w:lvlText w:val="•"/>
      <w:lvlJc w:val="left"/>
      <w:pPr>
        <w:ind w:left="5243" w:hanging="675"/>
      </w:pPr>
      <w:rPr>
        <w:rFonts w:hint="default"/>
        <w:lang w:val="en-GB" w:eastAsia="en-US" w:bidi="ar-SA"/>
      </w:rPr>
    </w:lvl>
    <w:lvl w:ilvl="6" w:tplc="39D4D332">
      <w:numFmt w:val="bullet"/>
      <w:lvlText w:val="•"/>
      <w:lvlJc w:val="left"/>
      <w:pPr>
        <w:ind w:left="6123" w:hanging="675"/>
      </w:pPr>
      <w:rPr>
        <w:rFonts w:hint="default"/>
        <w:lang w:val="en-GB" w:eastAsia="en-US" w:bidi="ar-SA"/>
      </w:rPr>
    </w:lvl>
    <w:lvl w:ilvl="7" w:tplc="A3D21FD2">
      <w:numFmt w:val="bullet"/>
      <w:lvlText w:val="•"/>
      <w:lvlJc w:val="left"/>
      <w:pPr>
        <w:ind w:left="7004" w:hanging="675"/>
      </w:pPr>
      <w:rPr>
        <w:rFonts w:hint="default"/>
        <w:lang w:val="en-GB" w:eastAsia="en-US" w:bidi="ar-SA"/>
      </w:rPr>
    </w:lvl>
    <w:lvl w:ilvl="8" w:tplc="4626B4D0">
      <w:numFmt w:val="bullet"/>
      <w:lvlText w:val="•"/>
      <w:lvlJc w:val="left"/>
      <w:pPr>
        <w:ind w:left="7885" w:hanging="675"/>
      </w:pPr>
      <w:rPr>
        <w:rFonts w:hint="default"/>
        <w:lang w:val="en-GB" w:eastAsia="en-US" w:bidi="ar-SA"/>
      </w:rPr>
    </w:lvl>
  </w:abstractNum>
  <w:abstractNum w:abstractNumId="163">
    <w:nsid w:val="6EE17F06"/>
    <w:multiLevelType w:val="hybridMultilevel"/>
    <w:tmpl w:val="AD8A265C"/>
    <w:lvl w:ilvl="0" w:tplc="F950126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2768119A">
      <w:numFmt w:val="bullet"/>
      <w:lvlText w:val="•"/>
      <w:lvlJc w:val="left"/>
      <w:pPr>
        <w:ind w:left="1445" w:hanging="361"/>
      </w:pPr>
      <w:rPr>
        <w:rFonts w:hint="default"/>
        <w:lang w:val="en-GB" w:eastAsia="en-US" w:bidi="ar-SA"/>
      </w:rPr>
    </w:lvl>
    <w:lvl w:ilvl="2" w:tplc="C0868BBA">
      <w:numFmt w:val="bullet"/>
      <w:lvlText w:val="•"/>
      <w:lvlJc w:val="left"/>
      <w:pPr>
        <w:ind w:left="2071" w:hanging="361"/>
      </w:pPr>
      <w:rPr>
        <w:rFonts w:hint="default"/>
        <w:lang w:val="en-GB" w:eastAsia="en-US" w:bidi="ar-SA"/>
      </w:rPr>
    </w:lvl>
    <w:lvl w:ilvl="3" w:tplc="05EA5C34">
      <w:numFmt w:val="bullet"/>
      <w:lvlText w:val="•"/>
      <w:lvlJc w:val="left"/>
      <w:pPr>
        <w:ind w:left="2697" w:hanging="361"/>
      </w:pPr>
      <w:rPr>
        <w:rFonts w:hint="default"/>
        <w:lang w:val="en-GB" w:eastAsia="en-US" w:bidi="ar-SA"/>
      </w:rPr>
    </w:lvl>
    <w:lvl w:ilvl="4" w:tplc="CF188884">
      <w:numFmt w:val="bullet"/>
      <w:lvlText w:val="•"/>
      <w:lvlJc w:val="left"/>
      <w:pPr>
        <w:ind w:left="3323" w:hanging="361"/>
      </w:pPr>
      <w:rPr>
        <w:rFonts w:hint="default"/>
        <w:lang w:val="en-GB" w:eastAsia="en-US" w:bidi="ar-SA"/>
      </w:rPr>
    </w:lvl>
    <w:lvl w:ilvl="5" w:tplc="940AD542">
      <w:numFmt w:val="bullet"/>
      <w:lvlText w:val="•"/>
      <w:lvlJc w:val="left"/>
      <w:pPr>
        <w:ind w:left="3949" w:hanging="361"/>
      </w:pPr>
      <w:rPr>
        <w:rFonts w:hint="default"/>
        <w:lang w:val="en-GB" w:eastAsia="en-US" w:bidi="ar-SA"/>
      </w:rPr>
    </w:lvl>
    <w:lvl w:ilvl="6" w:tplc="EBE2D62A">
      <w:numFmt w:val="bullet"/>
      <w:lvlText w:val="•"/>
      <w:lvlJc w:val="left"/>
      <w:pPr>
        <w:ind w:left="4575" w:hanging="361"/>
      </w:pPr>
      <w:rPr>
        <w:rFonts w:hint="default"/>
        <w:lang w:val="en-GB" w:eastAsia="en-US" w:bidi="ar-SA"/>
      </w:rPr>
    </w:lvl>
    <w:lvl w:ilvl="7" w:tplc="BB44D3DA">
      <w:numFmt w:val="bullet"/>
      <w:lvlText w:val="•"/>
      <w:lvlJc w:val="left"/>
      <w:pPr>
        <w:ind w:left="5201" w:hanging="361"/>
      </w:pPr>
      <w:rPr>
        <w:rFonts w:hint="default"/>
        <w:lang w:val="en-GB" w:eastAsia="en-US" w:bidi="ar-SA"/>
      </w:rPr>
    </w:lvl>
    <w:lvl w:ilvl="8" w:tplc="D4626B90">
      <w:numFmt w:val="bullet"/>
      <w:lvlText w:val="•"/>
      <w:lvlJc w:val="left"/>
      <w:pPr>
        <w:ind w:left="5827" w:hanging="361"/>
      </w:pPr>
      <w:rPr>
        <w:rFonts w:hint="default"/>
        <w:lang w:val="en-GB" w:eastAsia="en-US" w:bidi="ar-SA"/>
      </w:rPr>
    </w:lvl>
  </w:abstractNum>
  <w:abstractNum w:abstractNumId="164">
    <w:nsid w:val="6F5C5E55"/>
    <w:multiLevelType w:val="hybridMultilevel"/>
    <w:tmpl w:val="713EE586"/>
    <w:lvl w:ilvl="0" w:tplc="CCC683B4">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36B2D1FE">
      <w:numFmt w:val="bullet"/>
      <w:lvlText w:val="•"/>
      <w:lvlJc w:val="left"/>
      <w:pPr>
        <w:ind w:left="1431" w:hanging="360"/>
      </w:pPr>
      <w:rPr>
        <w:rFonts w:hint="default"/>
        <w:lang w:val="en-GB" w:eastAsia="en-US" w:bidi="ar-SA"/>
      </w:rPr>
    </w:lvl>
    <w:lvl w:ilvl="2" w:tplc="9FFC2F70">
      <w:numFmt w:val="bullet"/>
      <w:lvlText w:val="•"/>
      <w:lvlJc w:val="left"/>
      <w:pPr>
        <w:ind w:left="2043" w:hanging="360"/>
      </w:pPr>
      <w:rPr>
        <w:rFonts w:hint="default"/>
        <w:lang w:val="en-GB" w:eastAsia="en-US" w:bidi="ar-SA"/>
      </w:rPr>
    </w:lvl>
    <w:lvl w:ilvl="3" w:tplc="2E12F8F6">
      <w:numFmt w:val="bullet"/>
      <w:lvlText w:val="•"/>
      <w:lvlJc w:val="left"/>
      <w:pPr>
        <w:ind w:left="2655" w:hanging="360"/>
      </w:pPr>
      <w:rPr>
        <w:rFonts w:hint="default"/>
        <w:lang w:val="en-GB" w:eastAsia="en-US" w:bidi="ar-SA"/>
      </w:rPr>
    </w:lvl>
    <w:lvl w:ilvl="4" w:tplc="9342D154">
      <w:numFmt w:val="bullet"/>
      <w:lvlText w:val="•"/>
      <w:lvlJc w:val="left"/>
      <w:pPr>
        <w:ind w:left="3267" w:hanging="360"/>
      </w:pPr>
      <w:rPr>
        <w:rFonts w:hint="default"/>
        <w:lang w:val="en-GB" w:eastAsia="en-US" w:bidi="ar-SA"/>
      </w:rPr>
    </w:lvl>
    <w:lvl w:ilvl="5" w:tplc="333C0404">
      <w:numFmt w:val="bullet"/>
      <w:lvlText w:val="•"/>
      <w:lvlJc w:val="left"/>
      <w:pPr>
        <w:ind w:left="3879" w:hanging="360"/>
      </w:pPr>
      <w:rPr>
        <w:rFonts w:hint="default"/>
        <w:lang w:val="en-GB" w:eastAsia="en-US" w:bidi="ar-SA"/>
      </w:rPr>
    </w:lvl>
    <w:lvl w:ilvl="6" w:tplc="6BBEF71C">
      <w:numFmt w:val="bullet"/>
      <w:lvlText w:val="•"/>
      <w:lvlJc w:val="left"/>
      <w:pPr>
        <w:ind w:left="4490" w:hanging="360"/>
      </w:pPr>
      <w:rPr>
        <w:rFonts w:hint="default"/>
        <w:lang w:val="en-GB" w:eastAsia="en-US" w:bidi="ar-SA"/>
      </w:rPr>
    </w:lvl>
    <w:lvl w:ilvl="7" w:tplc="9E7ECB06">
      <w:numFmt w:val="bullet"/>
      <w:lvlText w:val="•"/>
      <w:lvlJc w:val="left"/>
      <w:pPr>
        <w:ind w:left="5102" w:hanging="360"/>
      </w:pPr>
      <w:rPr>
        <w:rFonts w:hint="default"/>
        <w:lang w:val="en-GB" w:eastAsia="en-US" w:bidi="ar-SA"/>
      </w:rPr>
    </w:lvl>
    <w:lvl w:ilvl="8" w:tplc="5FF4A3D8">
      <w:numFmt w:val="bullet"/>
      <w:lvlText w:val="•"/>
      <w:lvlJc w:val="left"/>
      <w:pPr>
        <w:ind w:left="5714" w:hanging="360"/>
      </w:pPr>
      <w:rPr>
        <w:rFonts w:hint="default"/>
        <w:lang w:val="en-GB" w:eastAsia="en-US" w:bidi="ar-SA"/>
      </w:rPr>
    </w:lvl>
  </w:abstractNum>
  <w:abstractNum w:abstractNumId="165">
    <w:nsid w:val="6F931C8F"/>
    <w:multiLevelType w:val="hybridMultilevel"/>
    <w:tmpl w:val="9AC296D2"/>
    <w:lvl w:ilvl="0" w:tplc="80DAAEDC">
      <w:numFmt w:val="bullet"/>
      <w:lvlText w:val=""/>
      <w:lvlJc w:val="left"/>
      <w:pPr>
        <w:ind w:left="436" w:hanging="286"/>
      </w:pPr>
      <w:rPr>
        <w:rFonts w:ascii="Symbol" w:eastAsia="Symbol" w:hAnsi="Symbol" w:cs="Symbol" w:hint="default"/>
        <w:b w:val="0"/>
        <w:bCs w:val="0"/>
        <w:i w:val="0"/>
        <w:iCs w:val="0"/>
        <w:w w:val="99"/>
        <w:sz w:val="20"/>
        <w:szCs w:val="20"/>
        <w:lang w:val="en-GB" w:eastAsia="en-US" w:bidi="ar-SA"/>
      </w:rPr>
    </w:lvl>
    <w:lvl w:ilvl="1" w:tplc="CE16C50E">
      <w:numFmt w:val="bullet"/>
      <w:lvlText w:val="•"/>
      <w:lvlJc w:val="left"/>
      <w:pPr>
        <w:ind w:left="579" w:hanging="286"/>
      </w:pPr>
      <w:rPr>
        <w:rFonts w:hint="default"/>
        <w:lang w:val="en-GB" w:eastAsia="en-US" w:bidi="ar-SA"/>
      </w:rPr>
    </w:lvl>
    <w:lvl w:ilvl="2" w:tplc="30AE03C2">
      <w:numFmt w:val="bullet"/>
      <w:lvlText w:val="•"/>
      <w:lvlJc w:val="left"/>
      <w:pPr>
        <w:ind w:left="719" w:hanging="286"/>
      </w:pPr>
      <w:rPr>
        <w:rFonts w:hint="default"/>
        <w:lang w:val="en-GB" w:eastAsia="en-US" w:bidi="ar-SA"/>
      </w:rPr>
    </w:lvl>
    <w:lvl w:ilvl="3" w:tplc="99C210F4">
      <w:numFmt w:val="bullet"/>
      <w:lvlText w:val="•"/>
      <w:lvlJc w:val="left"/>
      <w:pPr>
        <w:ind w:left="859" w:hanging="286"/>
      </w:pPr>
      <w:rPr>
        <w:rFonts w:hint="default"/>
        <w:lang w:val="en-GB" w:eastAsia="en-US" w:bidi="ar-SA"/>
      </w:rPr>
    </w:lvl>
    <w:lvl w:ilvl="4" w:tplc="BACC9D0E">
      <w:numFmt w:val="bullet"/>
      <w:lvlText w:val="•"/>
      <w:lvlJc w:val="left"/>
      <w:pPr>
        <w:ind w:left="999" w:hanging="286"/>
      </w:pPr>
      <w:rPr>
        <w:rFonts w:hint="default"/>
        <w:lang w:val="en-GB" w:eastAsia="en-US" w:bidi="ar-SA"/>
      </w:rPr>
    </w:lvl>
    <w:lvl w:ilvl="5" w:tplc="CC766AEE">
      <w:numFmt w:val="bullet"/>
      <w:lvlText w:val="•"/>
      <w:lvlJc w:val="left"/>
      <w:pPr>
        <w:ind w:left="1139" w:hanging="286"/>
      </w:pPr>
      <w:rPr>
        <w:rFonts w:hint="default"/>
        <w:lang w:val="en-GB" w:eastAsia="en-US" w:bidi="ar-SA"/>
      </w:rPr>
    </w:lvl>
    <w:lvl w:ilvl="6" w:tplc="A4FCE940">
      <w:numFmt w:val="bullet"/>
      <w:lvlText w:val="•"/>
      <w:lvlJc w:val="left"/>
      <w:pPr>
        <w:ind w:left="1278" w:hanging="286"/>
      </w:pPr>
      <w:rPr>
        <w:rFonts w:hint="default"/>
        <w:lang w:val="en-GB" w:eastAsia="en-US" w:bidi="ar-SA"/>
      </w:rPr>
    </w:lvl>
    <w:lvl w:ilvl="7" w:tplc="E6920174">
      <w:numFmt w:val="bullet"/>
      <w:lvlText w:val="•"/>
      <w:lvlJc w:val="left"/>
      <w:pPr>
        <w:ind w:left="1418" w:hanging="286"/>
      </w:pPr>
      <w:rPr>
        <w:rFonts w:hint="default"/>
        <w:lang w:val="en-GB" w:eastAsia="en-US" w:bidi="ar-SA"/>
      </w:rPr>
    </w:lvl>
    <w:lvl w:ilvl="8" w:tplc="2F32100C">
      <w:numFmt w:val="bullet"/>
      <w:lvlText w:val="•"/>
      <w:lvlJc w:val="left"/>
      <w:pPr>
        <w:ind w:left="1558" w:hanging="286"/>
      </w:pPr>
      <w:rPr>
        <w:rFonts w:hint="default"/>
        <w:lang w:val="en-GB" w:eastAsia="en-US" w:bidi="ar-SA"/>
      </w:rPr>
    </w:lvl>
  </w:abstractNum>
  <w:abstractNum w:abstractNumId="166">
    <w:nsid w:val="707040C2"/>
    <w:multiLevelType w:val="hybridMultilevel"/>
    <w:tmpl w:val="432C759C"/>
    <w:lvl w:ilvl="0" w:tplc="3B349E90">
      <w:start w:val="131"/>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777C3E3A">
      <w:numFmt w:val="bullet"/>
      <w:lvlText w:val="•"/>
      <w:lvlJc w:val="left"/>
      <w:pPr>
        <w:ind w:left="1720" w:hanging="675"/>
      </w:pPr>
      <w:rPr>
        <w:rFonts w:hint="default"/>
        <w:lang w:val="en-GB" w:eastAsia="en-US" w:bidi="ar-SA"/>
      </w:rPr>
    </w:lvl>
    <w:lvl w:ilvl="2" w:tplc="91607DE6">
      <w:numFmt w:val="bullet"/>
      <w:lvlText w:val="•"/>
      <w:lvlJc w:val="left"/>
      <w:pPr>
        <w:ind w:left="2601" w:hanging="675"/>
      </w:pPr>
      <w:rPr>
        <w:rFonts w:hint="default"/>
        <w:lang w:val="en-GB" w:eastAsia="en-US" w:bidi="ar-SA"/>
      </w:rPr>
    </w:lvl>
    <w:lvl w:ilvl="3" w:tplc="7DA6A57E">
      <w:numFmt w:val="bullet"/>
      <w:lvlText w:val="•"/>
      <w:lvlJc w:val="left"/>
      <w:pPr>
        <w:ind w:left="3481" w:hanging="675"/>
      </w:pPr>
      <w:rPr>
        <w:rFonts w:hint="default"/>
        <w:lang w:val="en-GB" w:eastAsia="en-US" w:bidi="ar-SA"/>
      </w:rPr>
    </w:lvl>
    <w:lvl w:ilvl="4" w:tplc="52829680">
      <w:numFmt w:val="bullet"/>
      <w:lvlText w:val="•"/>
      <w:lvlJc w:val="left"/>
      <w:pPr>
        <w:ind w:left="4362" w:hanging="675"/>
      </w:pPr>
      <w:rPr>
        <w:rFonts w:hint="default"/>
        <w:lang w:val="en-GB" w:eastAsia="en-US" w:bidi="ar-SA"/>
      </w:rPr>
    </w:lvl>
    <w:lvl w:ilvl="5" w:tplc="422ABAC0">
      <w:numFmt w:val="bullet"/>
      <w:lvlText w:val="•"/>
      <w:lvlJc w:val="left"/>
      <w:pPr>
        <w:ind w:left="5243" w:hanging="675"/>
      </w:pPr>
      <w:rPr>
        <w:rFonts w:hint="default"/>
        <w:lang w:val="en-GB" w:eastAsia="en-US" w:bidi="ar-SA"/>
      </w:rPr>
    </w:lvl>
    <w:lvl w:ilvl="6" w:tplc="F280D4AC">
      <w:numFmt w:val="bullet"/>
      <w:lvlText w:val="•"/>
      <w:lvlJc w:val="left"/>
      <w:pPr>
        <w:ind w:left="6123" w:hanging="675"/>
      </w:pPr>
      <w:rPr>
        <w:rFonts w:hint="default"/>
        <w:lang w:val="en-GB" w:eastAsia="en-US" w:bidi="ar-SA"/>
      </w:rPr>
    </w:lvl>
    <w:lvl w:ilvl="7" w:tplc="41BA1006">
      <w:numFmt w:val="bullet"/>
      <w:lvlText w:val="•"/>
      <w:lvlJc w:val="left"/>
      <w:pPr>
        <w:ind w:left="7004" w:hanging="675"/>
      </w:pPr>
      <w:rPr>
        <w:rFonts w:hint="default"/>
        <w:lang w:val="en-GB" w:eastAsia="en-US" w:bidi="ar-SA"/>
      </w:rPr>
    </w:lvl>
    <w:lvl w:ilvl="8" w:tplc="F8DA48DA">
      <w:numFmt w:val="bullet"/>
      <w:lvlText w:val="•"/>
      <w:lvlJc w:val="left"/>
      <w:pPr>
        <w:ind w:left="7885" w:hanging="675"/>
      </w:pPr>
      <w:rPr>
        <w:rFonts w:hint="default"/>
        <w:lang w:val="en-GB" w:eastAsia="en-US" w:bidi="ar-SA"/>
      </w:rPr>
    </w:lvl>
  </w:abstractNum>
  <w:abstractNum w:abstractNumId="167">
    <w:nsid w:val="7087470C"/>
    <w:multiLevelType w:val="hybridMultilevel"/>
    <w:tmpl w:val="9D78B680"/>
    <w:lvl w:ilvl="0" w:tplc="0016AD9A">
      <w:start w:val="1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2125FC2">
      <w:numFmt w:val="bullet"/>
      <w:lvlText w:val="•"/>
      <w:lvlJc w:val="left"/>
      <w:pPr>
        <w:ind w:left="1612" w:hanging="552"/>
      </w:pPr>
      <w:rPr>
        <w:rFonts w:hint="default"/>
        <w:lang w:val="en-GB" w:eastAsia="en-US" w:bidi="ar-SA"/>
      </w:rPr>
    </w:lvl>
    <w:lvl w:ilvl="2" w:tplc="F8FEAA4A">
      <w:numFmt w:val="bullet"/>
      <w:lvlText w:val="•"/>
      <w:lvlJc w:val="left"/>
      <w:pPr>
        <w:ind w:left="2505" w:hanging="552"/>
      </w:pPr>
      <w:rPr>
        <w:rFonts w:hint="default"/>
        <w:lang w:val="en-GB" w:eastAsia="en-US" w:bidi="ar-SA"/>
      </w:rPr>
    </w:lvl>
    <w:lvl w:ilvl="3" w:tplc="6A9A26A4">
      <w:numFmt w:val="bullet"/>
      <w:lvlText w:val="•"/>
      <w:lvlJc w:val="left"/>
      <w:pPr>
        <w:ind w:left="3397" w:hanging="552"/>
      </w:pPr>
      <w:rPr>
        <w:rFonts w:hint="default"/>
        <w:lang w:val="en-GB" w:eastAsia="en-US" w:bidi="ar-SA"/>
      </w:rPr>
    </w:lvl>
    <w:lvl w:ilvl="4" w:tplc="D72E8F62">
      <w:numFmt w:val="bullet"/>
      <w:lvlText w:val="•"/>
      <w:lvlJc w:val="left"/>
      <w:pPr>
        <w:ind w:left="4290" w:hanging="552"/>
      </w:pPr>
      <w:rPr>
        <w:rFonts w:hint="default"/>
        <w:lang w:val="en-GB" w:eastAsia="en-US" w:bidi="ar-SA"/>
      </w:rPr>
    </w:lvl>
    <w:lvl w:ilvl="5" w:tplc="488CA0BA">
      <w:numFmt w:val="bullet"/>
      <w:lvlText w:val="•"/>
      <w:lvlJc w:val="left"/>
      <w:pPr>
        <w:ind w:left="5183" w:hanging="552"/>
      </w:pPr>
      <w:rPr>
        <w:rFonts w:hint="default"/>
        <w:lang w:val="en-GB" w:eastAsia="en-US" w:bidi="ar-SA"/>
      </w:rPr>
    </w:lvl>
    <w:lvl w:ilvl="6" w:tplc="8DDA54B0">
      <w:numFmt w:val="bullet"/>
      <w:lvlText w:val="•"/>
      <w:lvlJc w:val="left"/>
      <w:pPr>
        <w:ind w:left="6075" w:hanging="552"/>
      </w:pPr>
      <w:rPr>
        <w:rFonts w:hint="default"/>
        <w:lang w:val="en-GB" w:eastAsia="en-US" w:bidi="ar-SA"/>
      </w:rPr>
    </w:lvl>
    <w:lvl w:ilvl="7" w:tplc="792C23A6">
      <w:numFmt w:val="bullet"/>
      <w:lvlText w:val="•"/>
      <w:lvlJc w:val="left"/>
      <w:pPr>
        <w:ind w:left="6968" w:hanging="552"/>
      </w:pPr>
      <w:rPr>
        <w:rFonts w:hint="default"/>
        <w:lang w:val="en-GB" w:eastAsia="en-US" w:bidi="ar-SA"/>
      </w:rPr>
    </w:lvl>
    <w:lvl w:ilvl="8" w:tplc="19CAA12A">
      <w:numFmt w:val="bullet"/>
      <w:lvlText w:val="•"/>
      <w:lvlJc w:val="left"/>
      <w:pPr>
        <w:ind w:left="7861" w:hanging="552"/>
      </w:pPr>
      <w:rPr>
        <w:rFonts w:hint="default"/>
        <w:lang w:val="en-GB" w:eastAsia="en-US" w:bidi="ar-SA"/>
      </w:rPr>
    </w:lvl>
  </w:abstractNum>
  <w:abstractNum w:abstractNumId="168">
    <w:nsid w:val="70F35F39"/>
    <w:multiLevelType w:val="hybridMultilevel"/>
    <w:tmpl w:val="A6A46636"/>
    <w:lvl w:ilvl="0" w:tplc="A0DA72A8">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1854B2F8">
      <w:numFmt w:val="bullet"/>
      <w:lvlText w:val="o"/>
      <w:lvlJc w:val="left"/>
      <w:pPr>
        <w:ind w:left="1548" w:hanging="360"/>
      </w:pPr>
      <w:rPr>
        <w:rFonts w:ascii="Courier New" w:eastAsia="Courier New" w:hAnsi="Courier New" w:cs="Courier New" w:hint="default"/>
        <w:b w:val="0"/>
        <w:bCs w:val="0"/>
        <w:i w:val="0"/>
        <w:iCs w:val="0"/>
        <w:w w:val="100"/>
        <w:sz w:val="22"/>
        <w:szCs w:val="22"/>
        <w:lang w:val="en-GB" w:eastAsia="en-US" w:bidi="ar-SA"/>
      </w:rPr>
    </w:lvl>
    <w:lvl w:ilvl="2" w:tplc="4C92D2EE">
      <w:numFmt w:val="bullet"/>
      <w:lvlText w:val="•"/>
      <w:lvlJc w:val="left"/>
      <w:pPr>
        <w:ind w:left="2155" w:hanging="360"/>
      </w:pPr>
      <w:rPr>
        <w:rFonts w:hint="default"/>
        <w:lang w:val="en-GB" w:eastAsia="en-US" w:bidi="ar-SA"/>
      </w:rPr>
    </w:lvl>
    <w:lvl w:ilvl="3" w:tplc="A4A603E4">
      <w:numFmt w:val="bullet"/>
      <w:lvlText w:val="•"/>
      <w:lvlJc w:val="left"/>
      <w:pPr>
        <w:ind w:left="2770" w:hanging="360"/>
      </w:pPr>
      <w:rPr>
        <w:rFonts w:hint="default"/>
        <w:lang w:val="en-GB" w:eastAsia="en-US" w:bidi="ar-SA"/>
      </w:rPr>
    </w:lvl>
    <w:lvl w:ilvl="4" w:tplc="C26A0698">
      <w:numFmt w:val="bullet"/>
      <w:lvlText w:val="•"/>
      <w:lvlJc w:val="left"/>
      <w:pPr>
        <w:ind w:left="3386" w:hanging="360"/>
      </w:pPr>
      <w:rPr>
        <w:rFonts w:hint="default"/>
        <w:lang w:val="en-GB" w:eastAsia="en-US" w:bidi="ar-SA"/>
      </w:rPr>
    </w:lvl>
    <w:lvl w:ilvl="5" w:tplc="5A74683C">
      <w:numFmt w:val="bullet"/>
      <w:lvlText w:val="•"/>
      <w:lvlJc w:val="left"/>
      <w:pPr>
        <w:ind w:left="4001" w:hanging="360"/>
      </w:pPr>
      <w:rPr>
        <w:rFonts w:hint="default"/>
        <w:lang w:val="en-GB" w:eastAsia="en-US" w:bidi="ar-SA"/>
      </w:rPr>
    </w:lvl>
    <w:lvl w:ilvl="6" w:tplc="2C7E2818">
      <w:numFmt w:val="bullet"/>
      <w:lvlText w:val="•"/>
      <w:lvlJc w:val="left"/>
      <w:pPr>
        <w:ind w:left="4617" w:hanging="360"/>
      </w:pPr>
      <w:rPr>
        <w:rFonts w:hint="default"/>
        <w:lang w:val="en-GB" w:eastAsia="en-US" w:bidi="ar-SA"/>
      </w:rPr>
    </w:lvl>
    <w:lvl w:ilvl="7" w:tplc="7AA8DFC4">
      <w:numFmt w:val="bullet"/>
      <w:lvlText w:val="•"/>
      <w:lvlJc w:val="left"/>
      <w:pPr>
        <w:ind w:left="5232" w:hanging="360"/>
      </w:pPr>
      <w:rPr>
        <w:rFonts w:hint="default"/>
        <w:lang w:val="en-GB" w:eastAsia="en-US" w:bidi="ar-SA"/>
      </w:rPr>
    </w:lvl>
    <w:lvl w:ilvl="8" w:tplc="F9361360">
      <w:numFmt w:val="bullet"/>
      <w:lvlText w:val="•"/>
      <w:lvlJc w:val="left"/>
      <w:pPr>
        <w:ind w:left="5848" w:hanging="360"/>
      </w:pPr>
      <w:rPr>
        <w:rFonts w:hint="default"/>
        <w:lang w:val="en-GB" w:eastAsia="en-US" w:bidi="ar-SA"/>
      </w:rPr>
    </w:lvl>
  </w:abstractNum>
  <w:abstractNum w:abstractNumId="169">
    <w:nsid w:val="71115C19"/>
    <w:multiLevelType w:val="hybridMultilevel"/>
    <w:tmpl w:val="E0FCB77A"/>
    <w:lvl w:ilvl="0" w:tplc="4AA8682A">
      <w:start w:val="1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05A64D2">
      <w:numFmt w:val="bullet"/>
      <w:lvlText w:val="•"/>
      <w:lvlJc w:val="left"/>
      <w:pPr>
        <w:ind w:left="1612" w:hanging="552"/>
      </w:pPr>
      <w:rPr>
        <w:rFonts w:hint="default"/>
        <w:lang w:val="en-GB" w:eastAsia="en-US" w:bidi="ar-SA"/>
      </w:rPr>
    </w:lvl>
    <w:lvl w:ilvl="2" w:tplc="520AD6A2">
      <w:numFmt w:val="bullet"/>
      <w:lvlText w:val="•"/>
      <w:lvlJc w:val="left"/>
      <w:pPr>
        <w:ind w:left="2505" w:hanging="552"/>
      </w:pPr>
      <w:rPr>
        <w:rFonts w:hint="default"/>
        <w:lang w:val="en-GB" w:eastAsia="en-US" w:bidi="ar-SA"/>
      </w:rPr>
    </w:lvl>
    <w:lvl w:ilvl="3" w:tplc="B86E0A1E">
      <w:numFmt w:val="bullet"/>
      <w:lvlText w:val="•"/>
      <w:lvlJc w:val="left"/>
      <w:pPr>
        <w:ind w:left="3397" w:hanging="552"/>
      </w:pPr>
      <w:rPr>
        <w:rFonts w:hint="default"/>
        <w:lang w:val="en-GB" w:eastAsia="en-US" w:bidi="ar-SA"/>
      </w:rPr>
    </w:lvl>
    <w:lvl w:ilvl="4" w:tplc="92321D8A">
      <w:numFmt w:val="bullet"/>
      <w:lvlText w:val="•"/>
      <w:lvlJc w:val="left"/>
      <w:pPr>
        <w:ind w:left="4290" w:hanging="552"/>
      </w:pPr>
      <w:rPr>
        <w:rFonts w:hint="default"/>
        <w:lang w:val="en-GB" w:eastAsia="en-US" w:bidi="ar-SA"/>
      </w:rPr>
    </w:lvl>
    <w:lvl w:ilvl="5" w:tplc="B84484C6">
      <w:numFmt w:val="bullet"/>
      <w:lvlText w:val="•"/>
      <w:lvlJc w:val="left"/>
      <w:pPr>
        <w:ind w:left="5183" w:hanging="552"/>
      </w:pPr>
      <w:rPr>
        <w:rFonts w:hint="default"/>
        <w:lang w:val="en-GB" w:eastAsia="en-US" w:bidi="ar-SA"/>
      </w:rPr>
    </w:lvl>
    <w:lvl w:ilvl="6" w:tplc="0C1AA810">
      <w:numFmt w:val="bullet"/>
      <w:lvlText w:val="•"/>
      <w:lvlJc w:val="left"/>
      <w:pPr>
        <w:ind w:left="6075" w:hanging="552"/>
      </w:pPr>
      <w:rPr>
        <w:rFonts w:hint="default"/>
        <w:lang w:val="en-GB" w:eastAsia="en-US" w:bidi="ar-SA"/>
      </w:rPr>
    </w:lvl>
    <w:lvl w:ilvl="7" w:tplc="DFF6A2F0">
      <w:numFmt w:val="bullet"/>
      <w:lvlText w:val="•"/>
      <w:lvlJc w:val="left"/>
      <w:pPr>
        <w:ind w:left="6968" w:hanging="552"/>
      </w:pPr>
      <w:rPr>
        <w:rFonts w:hint="default"/>
        <w:lang w:val="en-GB" w:eastAsia="en-US" w:bidi="ar-SA"/>
      </w:rPr>
    </w:lvl>
    <w:lvl w:ilvl="8" w:tplc="59FA56DC">
      <w:numFmt w:val="bullet"/>
      <w:lvlText w:val="•"/>
      <w:lvlJc w:val="left"/>
      <w:pPr>
        <w:ind w:left="7861" w:hanging="552"/>
      </w:pPr>
      <w:rPr>
        <w:rFonts w:hint="default"/>
        <w:lang w:val="en-GB" w:eastAsia="en-US" w:bidi="ar-SA"/>
      </w:rPr>
    </w:lvl>
  </w:abstractNum>
  <w:abstractNum w:abstractNumId="170">
    <w:nsid w:val="73486329"/>
    <w:multiLevelType w:val="hybridMultilevel"/>
    <w:tmpl w:val="CF30F0A0"/>
    <w:lvl w:ilvl="0" w:tplc="DD50D6CE">
      <w:start w:val="33"/>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18FCEE3A">
      <w:numFmt w:val="bullet"/>
      <w:lvlText w:val="•"/>
      <w:lvlJc w:val="left"/>
      <w:pPr>
        <w:ind w:left="1612" w:hanging="552"/>
      </w:pPr>
      <w:rPr>
        <w:rFonts w:hint="default"/>
        <w:lang w:val="en-GB" w:eastAsia="en-US" w:bidi="ar-SA"/>
      </w:rPr>
    </w:lvl>
    <w:lvl w:ilvl="2" w:tplc="BB40FFC4">
      <w:numFmt w:val="bullet"/>
      <w:lvlText w:val="•"/>
      <w:lvlJc w:val="left"/>
      <w:pPr>
        <w:ind w:left="2505" w:hanging="552"/>
      </w:pPr>
      <w:rPr>
        <w:rFonts w:hint="default"/>
        <w:lang w:val="en-GB" w:eastAsia="en-US" w:bidi="ar-SA"/>
      </w:rPr>
    </w:lvl>
    <w:lvl w:ilvl="3" w:tplc="87C28A30">
      <w:numFmt w:val="bullet"/>
      <w:lvlText w:val="•"/>
      <w:lvlJc w:val="left"/>
      <w:pPr>
        <w:ind w:left="3397" w:hanging="552"/>
      </w:pPr>
      <w:rPr>
        <w:rFonts w:hint="default"/>
        <w:lang w:val="en-GB" w:eastAsia="en-US" w:bidi="ar-SA"/>
      </w:rPr>
    </w:lvl>
    <w:lvl w:ilvl="4" w:tplc="E0CEBD3C">
      <w:numFmt w:val="bullet"/>
      <w:lvlText w:val="•"/>
      <w:lvlJc w:val="left"/>
      <w:pPr>
        <w:ind w:left="4290" w:hanging="552"/>
      </w:pPr>
      <w:rPr>
        <w:rFonts w:hint="default"/>
        <w:lang w:val="en-GB" w:eastAsia="en-US" w:bidi="ar-SA"/>
      </w:rPr>
    </w:lvl>
    <w:lvl w:ilvl="5" w:tplc="3C5040D6">
      <w:numFmt w:val="bullet"/>
      <w:lvlText w:val="•"/>
      <w:lvlJc w:val="left"/>
      <w:pPr>
        <w:ind w:left="5183" w:hanging="552"/>
      </w:pPr>
      <w:rPr>
        <w:rFonts w:hint="default"/>
        <w:lang w:val="en-GB" w:eastAsia="en-US" w:bidi="ar-SA"/>
      </w:rPr>
    </w:lvl>
    <w:lvl w:ilvl="6" w:tplc="C5921236">
      <w:numFmt w:val="bullet"/>
      <w:lvlText w:val="•"/>
      <w:lvlJc w:val="left"/>
      <w:pPr>
        <w:ind w:left="6075" w:hanging="552"/>
      </w:pPr>
      <w:rPr>
        <w:rFonts w:hint="default"/>
        <w:lang w:val="en-GB" w:eastAsia="en-US" w:bidi="ar-SA"/>
      </w:rPr>
    </w:lvl>
    <w:lvl w:ilvl="7" w:tplc="E2487362">
      <w:numFmt w:val="bullet"/>
      <w:lvlText w:val="•"/>
      <w:lvlJc w:val="left"/>
      <w:pPr>
        <w:ind w:left="6968" w:hanging="552"/>
      </w:pPr>
      <w:rPr>
        <w:rFonts w:hint="default"/>
        <w:lang w:val="en-GB" w:eastAsia="en-US" w:bidi="ar-SA"/>
      </w:rPr>
    </w:lvl>
    <w:lvl w:ilvl="8" w:tplc="EB024FA8">
      <w:numFmt w:val="bullet"/>
      <w:lvlText w:val="•"/>
      <w:lvlJc w:val="left"/>
      <w:pPr>
        <w:ind w:left="7861" w:hanging="552"/>
      </w:pPr>
      <w:rPr>
        <w:rFonts w:hint="default"/>
        <w:lang w:val="en-GB" w:eastAsia="en-US" w:bidi="ar-SA"/>
      </w:rPr>
    </w:lvl>
  </w:abstractNum>
  <w:abstractNum w:abstractNumId="171">
    <w:nsid w:val="734B640D"/>
    <w:multiLevelType w:val="hybridMultilevel"/>
    <w:tmpl w:val="07F80E28"/>
    <w:lvl w:ilvl="0" w:tplc="4F305864">
      <w:start w:val="1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87BA5528">
      <w:numFmt w:val="bullet"/>
      <w:lvlText w:val="•"/>
      <w:lvlJc w:val="left"/>
      <w:pPr>
        <w:ind w:left="1612" w:hanging="552"/>
      </w:pPr>
      <w:rPr>
        <w:rFonts w:hint="default"/>
        <w:lang w:val="en-GB" w:eastAsia="en-US" w:bidi="ar-SA"/>
      </w:rPr>
    </w:lvl>
    <w:lvl w:ilvl="2" w:tplc="435CA122">
      <w:numFmt w:val="bullet"/>
      <w:lvlText w:val="•"/>
      <w:lvlJc w:val="left"/>
      <w:pPr>
        <w:ind w:left="2505" w:hanging="552"/>
      </w:pPr>
      <w:rPr>
        <w:rFonts w:hint="default"/>
        <w:lang w:val="en-GB" w:eastAsia="en-US" w:bidi="ar-SA"/>
      </w:rPr>
    </w:lvl>
    <w:lvl w:ilvl="3" w:tplc="3974610A">
      <w:numFmt w:val="bullet"/>
      <w:lvlText w:val="•"/>
      <w:lvlJc w:val="left"/>
      <w:pPr>
        <w:ind w:left="3397" w:hanging="552"/>
      </w:pPr>
      <w:rPr>
        <w:rFonts w:hint="default"/>
        <w:lang w:val="en-GB" w:eastAsia="en-US" w:bidi="ar-SA"/>
      </w:rPr>
    </w:lvl>
    <w:lvl w:ilvl="4" w:tplc="24DC89FC">
      <w:numFmt w:val="bullet"/>
      <w:lvlText w:val="•"/>
      <w:lvlJc w:val="left"/>
      <w:pPr>
        <w:ind w:left="4290" w:hanging="552"/>
      </w:pPr>
      <w:rPr>
        <w:rFonts w:hint="default"/>
        <w:lang w:val="en-GB" w:eastAsia="en-US" w:bidi="ar-SA"/>
      </w:rPr>
    </w:lvl>
    <w:lvl w:ilvl="5" w:tplc="1F2AD1B0">
      <w:numFmt w:val="bullet"/>
      <w:lvlText w:val="•"/>
      <w:lvlJc w:val="left"/>
      <w:pPr>
        <w:ind w:left="5183" w:hanging="552"/>
      </w:pPr>
      <w:rPr>
        <w:rFonts w:hint="default"/>
        <w:lang w:val="en-GB" w:eastAsia="en-US" w:bidi="ar-SA"/>
      </w:rPr>
    </w:lvl>
    <w:lvl w:ilvl="6" w:tplc="EBE4260C">
      <w:numFmt w:val="bullet"/>
      <w:lvlText w:val="•"/>
      <w:lvlJc w:val="left"/>
      <w:pPr>
        <w:ind w:left="6075" w:hanging="552"/>
      </w:pPr>
      <w:rPr>
        <w:rFonts w:hint="default"/>
        <w:lang w:val="en-GB" w:eastAsia="en-US" w:bidi="ar-SA"/>
      </w:rPr>
    </w:lvl>
    <w:lvl w:ilvl="7" w:tplc="F578B2D8">
      <w:numFmt w:val="bullet"/>
      <w:lvlText w:val="•"/>
      <w:lvlJc w:val="left"/>
      <w:pPr>
        <w:ind w:left="6968" w:hanging="552"/>
      </w:pPr>
      <w:rPr>
        <w:rFonts w:hint="default"/>
        <w:lang w:val="en-GB" w:eastAsia="en-US" w:bidi="ar-SA"/>
      </w:rPr>
    </w:lvl>
    <w:lvl w:ilvl="8" w:tplc="99E0B740">
      <w:numFmt w:val="bullet"/>
      <w:lvlText w:val="•"/>
      <w:lvlJc w:val="left"/>
      <w:pPr>
        <w:ind w:left="7861" w:hanging="552"/>
      </w:pPr>
      <w:rPr>
        <w:rFonts w:hint="default"/>
        <w:lang w:val="en-GB" w:eastAsia="en-US" w:bidi="ar-SA"/>
      </w:rPr>
    </w:lvl>
  </w:abstractNum>
  <w:abstractNum w:abstractNumId="172">
    <w:nsid w:val="736958FB"/>
    <w:multiLevelType w:val="multilevel"/>
    <w:tmpl w:val="38AC7914"/>
    <w:lvl w:ilvl="0">
      <w:numFmt w:val="decimal"/>
      <w:lvlText w:val="%1"/>
      <w:lvlJc w:val="left"/>
      <w:pPr>
        <w:ind w:left="1195" w:hanging="368"/>
        <w:jc w:val="left"/>
      </w:pPr>
      <w:rPr>
        <w:rFonts w:hint="default"/>
        <w:lang w:val="en-GB" w:eastAsia="en-US" w:bidi="ar-SA"/>
      </w:rPr>
    </w:lvl>
    <w:lvl w:ilvl="1">
      <w:start w:val="2"/>
      <w:numFmt w:val="decimal"/>
      <w:lvlText w:val="%1.%2"/>
      <w:lvlJc w:val="left"/>
      <w:pPr>
        <w:ind w:left="1195" w:hanging="368"/>
        <w:jc w:val="left"/>
      </w:pPr>
      <w:rPr>
        <w:rFonts w:ascii="Arial" w:eastAsia="Arial" w:hAnsi="Arial" w:cs="Arial" w:hint="default"/>
        <w:b w:val="0"/>
        <w:bCs w:val="0"/>
        <w:i w:val="0"/>
        <w:iCs w:val="0"/>
        <w:spacing w:val="-1"/>
        <w:w w:val="100"/>
        <w:sz w:val="22"/>
        <w:szCs w:val="22"/>
        <w:lang w:val="en-GB" w:eastAsia="en-US" w:bidi="ar-SA"/>
      </w:rPr>
    </w:lvl>
    <w:lvl w:ilvl="2">
      <w:numFmt w:val="bullet"/>
      <w:lvlText w:val="o"/>
      <w:lvlJc w:val="left"/>
      <w:pPr>
        <w:ind w:left="1548" w:hanging="360"/>
      </w:pPr>
      <w:rPr>
        <w:rFonts w:ascii="Courier New" w:eastAsia="Courier New" w:hAnsi="Courier New" w:cs="Courier New" w:hint="default"/>
        <w:b w:val="0"/>
        <w:bCs w:val="0"/>
        <w:i w:val="0"/>
        <w:iCs w:val="0"/>
        <w:w w:val="100"/>
        <w:sz w:val="22"/>
        <w:szCs w:val="22"/>
        <w:lang w:val="en-GB" w:eastAsia="en-US" w:bidi="ar-SA"/>
      </w:rPr>
    </w:lvl>
    <w:lvl w:ilvl="3">
      <w:numFmt w:val="bullet"/>
      <w:lvlText w:val="•"/>
      <w:lvlJc w:val="left"/>
      <w:pPr>
        <w:ind w:left="2770" w:hanging="360"/>
      </w:pPr>
      <w:rPr>
        <w:rFonts w:hint="default"/>
        <w:lang w:val="en-GB" w:eastAsia="en-US" w:bidi="ar-SA"/>
      </w:rPr>
    </w:lvl>
    <w:lvl w:ilvl="4">
      <w:numFmt w:val="bullet"/>
      <w:lvlText w:val="•"/>
      <w:lvlJc w:val="left"/>
      <w:pPr>
        <w:ind w:left="3386" w:hanging="360"/>
      </w:pPr>
      <w:rPr>
        <w:rFonts w:hint="default"/>
        <w:lang w:val="en-GB" w:eastAsia="en-US" w:bidi="ar-SA"/>
      </w:rPr>
    </w:lvl>
    <w:lvl w:ilvl="5">
      <w:numFmt w:val="bullet"/>
      <w:lvlText w:val="•"/>
      <w:lvlJc w:val="left"/>
      <w:pPr>
        <w:ind w:left="4001" w:hanging="360"/>
      </w:pPr>
      <w:rPr>
        <w:rFonts w:hint="default"/>
        <w:lang w:val="en-GB" w:eastAsia="en-US" w:bidi="ar-SA"/>
      </w:rPr>
    </w:lvl>
    <w:lvl w:ilvl="6">
      <w:numFmt w:val="bullet"/>
      <w:lvlText w:val="•"/>
      <w:lvlJc w:val="left"/>
      <w:pPr>
        <w:ind w:left="4617" w:hanging="360"/>
      </w:pPr>
      <w:rPr>
        <w:rFonts w:hint="default"/>
        <w:lang w:val="en-GB" w:eastAsia="en-US" w:bidi="ar-SA"/>
      </w:rPr>
    </w:lvl>
    <w:lvl w:ilvl="7">
      <w:numFmt w:val="bullet"/>
      <w:lvlText w:val="•"/>
      <w:lvlJc w:val="left"/>
      <w:pPr>
        <w:ind w:left="5232" w:hanging="360"/>
      </w:pPr>
      <w:rPr>
        <w:rFonts w:hint="default"/>
        <w:lang w:val="en-GB" w:eastAsia="en-US" w:bidi="ar-SA"/>
      </w:rPr>
    </w:lvl>
    <w:lvl w:ilvl="8">
      <w:numFmt w:val="bullet"/>
      <w:lvlText w:val="•"/>
      <w:lvlJc w:val="left"/>
      <w:pPr>
        <w:ind w:left="5848" w:hanging="360"/>
      </w:pPr>
      <w:rPr>
        <w:rFonts w:hint="default"/>
        <w:lang w:val="en-GB" w:eastAsia="en-US" w:bidi="ar-SA"/>
      </w:rPr>
    </w:lvl>
  </w:abstractNum>
  <w:abstractNum w:abstractNumId="173">
    <w:nsid w:val="73C76D06"/>
    <w:multiLevelType w:val="hybridMultilevel"/>
    <w:tmpl w:val="942E2354"/>
    <w:lvl w:ilvl="0" w:tplc="B790B5D2">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E78C6BAE">
      <w:numFmt w:val="bullet"/>
      <w:lvlText w:val="•"/>
      <w:lvlJc w:val="left"/>
      <w:pPr>
        <w:ind w:left="1445" w:hanging="361"/>
      </w:pPr>
      <w:rPr>
        <w:rFonts w:hint="default"/>
        <w:lang w:val="en-GB" w:eastAsia="en-US" w:bidi="ar-SA"/>
      </w:rPr>
    </w:lvl>
    <w:lvl w:ilvl="2" w:tplc="92AE8642">
      <w:numFmt w:val="bullet"/>
      <w:lvlText w:val="•"/>
      <w:lvlJc w:val="left"/>
      <w:pPr>
        <w:ind w:left="2071" w:hanging="361"/>
      </w:pPr>
      <w:rPr>
        <w:rFonts w:hint="default"/>
        <w:lang w:val="en-GB" w:eastAsia="en-US" w:bidi="ar-SA"/>
      </w:rPr>
    </w:lvl>
    <w:lvl w:ilvl="3" w:tplc="17E866C4">
      <w:numFmt w:val="bullet"/>
      <w:lvlText w:val="•"/>
      <w:lvlJc w:val="left"/>
      <w:pPr>
        <w:ind w:left="2697" w:hanging="361"/>
      </w:pPr>
      <w:rPr>
        <w:rFonts w:hint="default"/>
        <w:lang w:val="en-GB" w:eastAsia="en-US" w:bidi="ar-SA"/>
      </w:rPr>
    </w:lvl>
    <w:lvl w:ilvl="4" w:tplc="DCF66720">
      <w:numFmt w:val="bullet"/>
      <w:lvlText w:val="•"/>
      <w:lvlJc w:val="left"/>
      <w:pPr>
        <w:ind w:left="3323" w:hanging="361"/>
      </w:pPr>
      <w:rPr>
        <w:rFonts w:hint="default"/>
        <w:lang w:val="en-GB" w:eastAsia="en-US" w:bidi="ar-SA"/>
      </w:rPr>
    </w:lvl>
    <w:lvl w:ilvl="5" w:tplc="B47EF800">
      <w:numFmt w:val="bullet"/>
      <w:lvlText w:val="•"/>
      <w:lvlJc w:val="left"/>
      <w:pPr>
        <w:ind w:left="3949" w:hanging="361"/>
      </w:pPr>
      <w:rPr>
        <w:rFonts w:hint="default"/>
        <w:lang w:val="en-GB" w:eastAsia="en-US" w:bidi="ar-SA"/>
      </w:rPr>
    </w:lvl>
    <w:lvl w:ilvl="6" w:tplc="DA4C3C84">
      <w:numFmt w:val="bullet"/>
      <w:lvlText w:val="•"/>
      <w:lvlJc w:val="left"/>
      <w:pPr>
        <w:ind w:left="4575" w:hanging="361"/>
      </w:pPr>
      <w:rPr>
        <w:rFonts w:hint="default"/>
        <w:lang w:val="en-GB" w:eastAsia="en-US" w:bidi="ar-SA"/>
      </w:rPr>
    </w:lvl>
    <w:lvl w:ilvl="7" w:tplc="0A76C1E0">
      <w:numFmt w:val="bullet"/>
      <w:lvlText w:val="•"/>
      <w:lvlJc w:val="left"/>
      <w:pPr>
        <w:ind w:left="5201" w:hanging="361"/>
      </w:pPr>
      <w:rPr>
        <w:rFonts w:hint="default"/>
        <w:lang w:val="en-GB" w:eastAsia="en-US" w:bidi="ar-SA"/>
      </w:rPr>
    </w:lvl>
    <w:lvl w:ilvl="8" w:tplc="2C004ECE">
      <w:numFmt w:val="bullet"/>
      <w:lvlText w:val="•"/>
      <w:lvlJc w:val="left"/>
      <w:pPr>
        <w:ind w:left="5827" w:hanging="361"/>
      </w:pPr>
      <w:rPr>
        <w:rFonts w:hint="default"/>
        <w:lang w:val="en-GB" w:eastAsia="en-US" w:bidi="ar-SA"/>
      </w:rPr>
    </w:lvl>
  </w:abstractNum>
  <w:abstractNum w:abstractNumId="174">
    <w:nsid w:val="744A0491"/>
    <w:multiLevelType w:val="hybridMultilevel"/>
    <w:tmpl w:val="9A5060C0"/>
    <w:lvl w:ilvl="0" w:tplc="09C416CE">
      <w:start w:val="1"/>
      <w:numFmt w:val="decimal"/>
      <w:lvlText w:val="%1."/>
      <w:lvlJc w:val="left"/>
      <w:pPr>
        <w:ind w:left="429" w:hanging="269"/>
        <w:jc w:val="left"/>
      </w:pPr>
      <w:rPr>
        <w:rFonts w:ascii="Arial" w:eastAsia="Arial" w:hAnsi="Arial" w:cs="Arial" w:hint="default"/>
        <w:b/>
        <w:bCs/>
        <w:i w:val="0"/>
        <w:iCs w:val="0"/>
        <w:color w:val="365F91"/>
        <w:w w:val="100"/>
        <w:sz w:val="24"/>
        <w:szCs w:val="24"/>
        <w:lang w:val="en-GB" w:eastAsia="en-US" w:bidi="ar-SA"/>
      </w:rPr>
    </w:lvl>
    <w:lvl w:ilvl="1" w:tplc="65969CBA">
      <w:start w:val="1"/>
      <w:numFmt w:val="decimal"/>
      <w:lvlText w:val="%2."/>
      <w:lvlJc w:val="left"/>
      <w:pPr>
        <w:ind w:left="1238" w:hanging="358"/>
        <w:jc w:val="left"/>
      </w:pPr>
      <w:rPr>
        <w:rFonts w:ascii="Arial" w:eastAsia="Arial" w:hAnsi="Arial" w:cs="Arial" w:hint="default"/>
        <w:b w:val="0"/>
        <w:bCs w:val="0"/>
        <w:i w:val="0"/>
        <w:iCs w:val="0"/>
        <w:spacing w:val="-1"/>
        <w:w w:val="100"/>
        <w:sz w:val="22"/>
        <w:szCs w:val="22"/>
        <w:lang w:val="en-GB" w:eastAsia="en-US" w:bidi="ar-SA"/>
      </w:rPr>
    </w:lvl>
    <w:lvl w:ilvl="2" w:tplc="1FE4BBB0">
      <w:start w:val="1"/>
      <w:numFmt w:val="lowerLetter"/>
      <w:lvlText w:val="%3)"/>
      <w:lvlJc w:val="left"/>
      <w:pPr>
        <w:ind w:left="1240" w:hanging="360"/>
        <w:jc w:val="left"/>
      </w:pPr>
      <w:rPr>
        <w:rFonts w:hint="default"/>
        <w:spacing w:val="-1"/>
        <w:w w:val="99"/>
        <w:lang w:val="en-GB" w:eastAsia="en-US" w:bidi="ar-SA"/>
      </w:rPr>
    </w:lvl>
    <w:lvl w:ilvl="3" w:tplc="FDD8053E">
      <w:numFmt w:val="bullet"/>
      <w:lvlText w:val="•"/>
      <w:lvlJc w:val="left"/>
      <w:pPr>
        <w:ind w:left="1600" w:hanging="360"/>
      </w:pPr>
      <w:rPr>
        <w:rFonts w:hint="default"/>
        <w:lang w:val="en-GB" w:eastAsia="en-US" w:bidi="ar-SA"/>
      </w:rPr>
    </w:lvl>
    <w:lvl w:ilvl="4" w:tplc="64709A20">
      <w:numFmt w:val="bullet"/>
      <w:lvlText w:val="•"/>
      <w:lvlJc w:val="left"/>
      <w:pPr>
        <w:ind w:left="2749" w:hanging="360"/>
      </w:pPr>
      <w:rPr>
        <w:rFonts w:hint="default"/>
        <w:lang w:val="en-GB" w:eastAsia="en-US" w:bidi="ar-SA"/>
      </w:rPr>
    </w:lvl>
    <w:lvl w:ilvl="5" w:tplc="5854EB14">
      <w:numFmt w:val="bullet"/>
      <w:lvlText w:val="•"/>
      <w:lvlJc w:val="left"/>
      <w:pPr>
        <w:ind w:left="3898" w:hanging="360"/>
      </w:pPr>
      <w:rPr>
        <w:rFonts w:hint="default"/>
        <w:lang w:val="en-GB" w:eastAsia="en-US" w:bidi="ar-SA"/>
      </w:rPr>
    </w:lvl>
    <w:lvl w:ilvl="6" w:tplc="DF9C2754">
      <w:numFmt w:val="bullet"/>
      <w:lvlText w:val="•"/>
      <w:lvlJc w:val="left"/>
      <w:pPr>
        <w:ind w:left="5048" w:hanging="360"/>
      </w:pPr>
      <w:rPr>
        <w:rFonts w:hint="default"/>
        <w:lang w:val="en-GB" w:eastAsia="en-US" w:bidi="ar-SA"/>
      </w:rPr>
    </w:lvl>
    <w:lvl w:ilvl="7" w:tplc="43CEBF90">
      <w:numFmt w:val="bullet"/>
      <w:lvlText w:val="•"/>
      <w:lvlJc w:val="left"/>
      <w:pPr>
        <w:ind w:left="6197" w:hanging="360"/>
      </w:pPr>
      <w:rPr>
        <w:rFonts w:hint="default"/>
        <w:lang w:val="en-GB" w:eastAsia="en-US" w:bidi="ar-SA"/>
      </w:rPr>
    </w:lvl>
    <w:lvl w:ilvl="8" w:tplc="6CBA8BF4">
      <w:numFmt w:val="bullet"/>
      <w:lvlText w:val="•"/>
      <w:lvlJc w:val="left"/>
      <w:pPr>
        <w:ind w:left="7347" w:hanging="360"/>
      </w:pPr>
      <w:rPr>
        <w:rFonts w:hint="default"/>
        <w:lang w:val="en-GB" w:eastAsia="en-US" w:bidi="ar-SA"/>
      </w:rPr>
    </w:lvl>
  </w:abstractNum>
  <w:abstractNum w:abstractNumId="175">
    <w:nsid w:val="752263E8"/>
    <w:multiLevelType w:val="hybridMultilevel"/>
    <w:tmpl w:val="29F27922"/>
    <w:lvl w:ilvl="0" w:tplc="B3CADF2E">
      <w:start w:val="95"/>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F888B3E">
      <w:numFmt w:val="bullet"/>
      <w:lvlText w:val="•"/>
      <w:lvlJc w:val="left"/>
      <w:pPr>
        <w:ind w:left="1612" w:hanging="552"/>
      </w:pPr>
      <w:rPr>
        <w:rFonts w:hint="default"/>
        <w:lang w:val="en-GB" w:eastAsia="en-US" w:bidi="ar-SA"/>
      </w:rPr>
    </w:lvl>
    <w:lvl w:ilvl="2" w:tplc="534A9830">
      <w:numFmt w:val="bullet"/>
      <w:lvlText w:val="•"/>
      <w:lvlJc w:val="left"/>
      <w:pPr>
        <w:ind w:left="2505" w:hanging="552"/>
      </w:pPr>
      <w:rPr>
        <w:rFonts w:hint="default"/>
        <w:lang w:val="en-GB" w:eastAsia="en-US" w:bidi="ar-SA"/>
      </w:rPr>
    </w:lvl>
    <w:lvl w:ilvl="3" w:tplc="FEA0E656">
      <w:numFmt w:val="bullet"/>
      <w:lvlText w:val="•"/>
      <w:lvlJc w:val="left"/>
      <w:pPr>
        <w:ind w:left="3397" w:hanging="552"/>
      </w:pPr>
      <w:rPr>
        <w:rFonts w:hint="default"/>
        <w:lang w:val="en-GB" w:eastAsia="en-US" w:bidi="ar-SA"/>
      </w:rPr>
    </w:lvl>
    <w:lvl w:ilvl="4" w:tplc="3754E1CC">
      <w:numFmt w:val="bullet"/>
      <w:lvlText w:val="•"/>
      <w:lvlJc w:val="left"/>
      <w:pPr>
        <w:ind w:left="4290" w:hanging="552"/>
      </w:pPr>
      <w:rPr>
        <w:rFonts w:hint="default"/>
        <w:lang w:val="en-GB" w:eastAsia="en-US" w:bidi="ar-SA"/>
      </w:rPr>
    </w:lvl>
    <w:lvl w:ilvl="5" w:tplc="F2F2CA58">
      <w:numFmt w:val="bullet"/>
      <w:lvlText w:val="•"/>
      <w:lvlJc w:val="left"/>
      <w:pPr>
        <w:ind w:left="5183" w:hanging="552"/>
      </w:pPr>
      <w:rPr>
        <w:rFonts w:hint="default"/>
        <w:lang w:val="en-GB" w:eastAsia="en-US" w:bidi="ar-SA"/>
      </w:rPr>
    </w:lvl>
    <w:lvl w:ilvl="6" w:tplc="434A043C">
      <w:numFmt w:val="bullet"/>
      <w:lvlText w:val="•"/>
      <w:lvlJc w:val="left"/>
      <w:pPr>
        <w:ind w:left="6075" w:hanging="552"/>
      </w:pPr>
      <w:rPr>
        <w:rFonts w:hint="default"/>
        <w:lang w:val="en-GB" w:eastAsia="en-US" w:bidi="ar-SA"/>
      </w:rPr>
    </w:lvl>
    <w:lvl w:ilvl="7" w:tplc="ABB2460C">
      <w:numFmt w:val="bullet"/>
      <w:lvlText w:val="•"/>
      <w:lvlJc w:val="left"/>
      <w:pPr>
        <w:ind w:left="6968" w:hanging="552"/>
      </w:pPr>
      <w:rPr>
        <w:rFonts w:hint="default"/>
        <w:lang w:val="en-GB" w:eastAsia="en-US" w:bidi="ar-SA"/>
      </w:rPr>
    </w:lvl>
    <w:lvl w:ilvl="8" w:tplc="BCA46F0C">
      <w:numFmt w:val="bullet"/>
      <w:lvlText w:val="•"/>
      <w:lvlJc w:val="left"/>
      <w:pPr>
        <w:ind w:left="7861" w:hanging="552"/>
      </w:pPr>
      <w:rPr>
        <w:rFonts w:hint="default"/>
        <w:lang w:val="en-GB" w:eastAsia="en-US" w:bidi="ar-SA"/>
      </w:rPr>
    </w:lvl>
  </w:abstractNum>
  <w:abstractNum w:abstractNumId="176">
    <w:nsid w:val="753D761A"/>
    <w:multiLevelType w:val="hybridMultilevel"/>
    <w:tmpl w:val="2E1670AE"/>
    <w:lvl w:ilvl="0" w:tplc="392466A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65AA8204">
      <w:numFmt w:val="bullet"/>
      <w:lvlText w:val="•"/>
      <w:lvlJc w:val="left"/>
      <w:pPr>
        <w:ind w:left="1445" w:hanging="361"/>
      </w:pPr>
      <w:rPr>
        <w:rFonts w:hint="default"/>
        <w:lang w:val="en-GB" w:eastAsia="en-US" w:bidi="ar-SA"/>
      </w:rPr>
    </w:lvl>
    <w:lvl w:ilvl="2" w:tplc="7CDC7EAC">
      <w:numFmt w:val="bullet"/>
      <w:lvlText w:val="•"/>
      <w:lvlJc w:val="left"/>
      <w:pPr>
        <w:ind w:left="2071" w:hanging="361"/>
      </w:pPr>
      <w:rPr>
        <w:rFonts w:hint="default"/>
        <w:lang w:val="en-GB" w:eastAsia="en-US" w:bidi="ar-SA"/>
      </w:rPr>
    </w:lvl>
    <w:lvl w:ilvl="3" w:tplc="FA7AD954">
      <w:numFmt w:val="bullet"/>
      <w:lvlText w:val="•"/>
      <w:lvlJc w:val="left"/>
      <w:pPr>
        <w:ind w:left="2697" w:hanging="361"/>
      </w:pPr>
      <w:rPr>
        <w:rFonts w:hint="default"/>
        <w:lang w:val="en-GB" w:eastAsia="en-US" w:bidi="ar-SA"/>
      </w:rPr>
    </w:lvl>
    <w:lvl w:ilvl="4" w:tplc="F8E06A32">
      <w:numFmt w:val="bullet"/>
      <w:lvlText w:val="•"/>
      <w:lvlJc w:val="left"/>
      <w:pPr>
        <w:ind w:left="3323" w:hanging="361"/>
      </w:pPr>
      <w:rPr>
        <w:rFonts w:hint="default"/>
        <w:lang w:val="en-GB" w:eastAsia="en-US" w:bidi="ar-SA"/>
      </w:rPr>
    </w:lvl>
    <w:lvl w:ilvl="5" w:tplc="778A6220">
      <w:numFmt w:val="bullet"/>
      <w:lvlText w:val="•"/>
      <w:lvlJc w:val="left"/>
      <w:pPr>
        <w:ind w:left="3949" w:hanging="361"/>
      </w:pPr>
      <w:rPr>
        <w:rFonts w:hint="default"/>
        <w:lang w:val="en-GB" w:eastAsia="en-US" w:bidi="ar-SA"/>
      </w:rPr>
    </w:lvl>
    <w:lvl w:ilvl="6" w:tplc="BBBA7B46">
      <w:numFmt w:val="bullet"/>
      <w:lvlText w:val="•"/>
      <w:lvlJc w:val="left"/>
      <w:pPr>
        <w:ind w:left="4575" w:hanging="361"/>
      </w:pPr>
      <w:rPr>
        <w:rFonts w:hint="default"/>
        <w:lang w:val="en-GB" w:eastAsia="en-US" w:bidi="ar-SA"/>
      </w:rPr>
    </w:lvl>
    <w:lvl w:ilvl="7" w:tplc="B0A064FA">
      <w:numFmt w:val="bullet"/>
      <w:lvlText w:val="•"/>
      <w:lvlJc w:val="left"/>
      <w:pPr>
        <w:ind w:left="5201" w:hanging="361"/>
      </w:pPr>
      <w:rPr>
        <w:rFonts w:hint="default"/>
        <w:lang w:val="en-GB" w:eastAsia="en-US" w:bidi="ar-SA"/>
      </w:rPr>
    </w:lvl>
    <w:lvl w:ilvl="8" w:tplc="28968BF6">
      <w:numFmt w:val="bullet"/>
      <w:lvlText w:val="•"/>
      <w:lvlJc w:val="left"/>
      <w:pPr>
        <w:ind w:left="5827" w:hanging="361"/>
      </w:pPr>
      <w:rPr>
        <w:rFonts w:hint="default"/>
        <w:lang w:val="en-GB" w:eastAsia="en-US" w:bidi="ar-SA"/>
      </w:rPr>
    </w:lvl>
  </w:abstractNum>
  <w:abstractNum w:abstractNumId="177">
    <w:nsid w:val="77611F09"/>
    <w:multiLevelType w:val="hybridMultilevel"/>
    <w:tmpl w:val="92F07CAA"/>
    <w:lvl w:ilvl="0" w:tplc="E8304178">
      <w:start w:val="103"/>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E460C3F0">
      <w:numFmt w:val="bullet"/>
      <w:lvlText w:val="•"/>
      <w:lvlJc w:val="left"/>
      <w:pPr>
        <w:ind w:left="1720" w:hanging="675"/>
      </w:pPr>
      <w:rPr>
        <w:rFonts w:hint="default"/>
        <w:lang w:val="en-GB" w:eastAsia="en-US" w:bidi="ar-SA"/>
      </w:rPr>
    </w:lvl>
    <w:lvl w:ilvl="2" w:tplc="52829BEE">
      <w:numFmt w:val="bullet"/>
      <w:lvlText w:val="•"/>
      <w:lvlJc w:val="left"/>
      <w:pPr>
        <w:ind w:left="2601" w:hanging="675"/>
      </w:pPr>
      <w:rPr>
        <w:rFonts w:hint="default"/>
        <w:lang w:val="en-GB" w:eastAsia="en-US" w:bidi="ar-SA"/>
      </w:rPr>
    </w:lvl>
    <w:lvl w:ilvl="3" w:tplc="665C549C">
      <w:numFmt w:val="bullet"/>
      <w:lvlText w:val="•"/>
      <w:lvlJc w:val="left"/>
      <w:pPr>
        <w:ind w:left="3481" w:hanging="675"/>
      </w:pPr>
      <w:rPr>
        <w:rFonts w:hint="default"/>
        <w:lang w:val="en-GB" w:eastAsia="en-US" w:bidi="ar-SA"/>
      </w:rPr>
    </w:lvl>
    <w:lvl w:ilvl="4" w:tplc="71A8A5FA">
      <w:numFmt w:val="bullet"/>
      <w:lvlText w:val="•"/>
      <w:lvlJc w:val="left"/>
      <w:pPr>
        <w:ind w:left="4362" w:hanging="675"/>
      </w:pPr>
      <w:rPr>
        <w:rFonts w:hint="default"/>
        <w:lang w:val="en-GB" w:eastAsia="en-US" w:bidi="ar-SA"/>
      </w:rPr>
    </w:lvl>
    <w:lvl w:ilvl="5" w:tplc="194027B0">
      <w:numFmt w:val="bullet"/>
      <w:lvlText w:val="•"/>
      <w:lvlJc w:val="left"/>
      <w:pPr>
        <w:ind w:left="5243" w:hanging="675"/>
      </w:pPr>
      <w:rPr>
        <w:rFonts w:hint="default"/>
        <w:lang w:val="en-GB" w:eastAsia="en-US" w:bidi="ar-SA"/>
      </w:rPr>
    </w:lvl>
    <w:lvl w:ilvl="6" w:tplc="D3865A62">
      <w:numFmt w:val="bullet"/>
      <w:lvlText w:val="•"/>
      <w:lvlJc w:val="left"/>
      <w:pPr>
        <w:ind w:left="6123" w:hanging="675"/>
      </w:pPr>
      <w:rPr>
        <w:rFonts w:hint="default"/>
        <w:lang w:val="en-GB" w:eastAsia="en-US" w:bidi="ar-SA"/>
      </w:rPr>
    </w:lvl>
    <w:lvl w:ilvl="7" w:tplc="E89EA3A8">
      <w:numFmt w:val="bullet"/>
      <w:lvlText w:val="•"/>
      <w:lvlJc w:val="left"/>
      <w:pPr>
        <w:ind w:left="7004" w:hanging="675"/>
      </w:pPr>
      <w:rPr>
        <w:rFonts w:hint="default"/>
        <w:lang w:val="en-GB" w:eastAsia="en-US" w:bidi="ar-SA"/>
      </w:rPr>
    </w:lvl>
    <w:lvl w:ilvl="8" w:tplc="E8DC0876">
      <w:numFmt w:val="bullet"/>
      <w:lvlText w:val="•"/>
      <w:lvlJc w:val="left"/>
      <w:pPr>
        <w:ind w:left="7885" w:hanging="675"/>
      </w:pPr>
      <w:rPr>
        <w:rFonts w:hint="default"/>
        <w:lang w:val="en-GB" w:eastAsia="en-US" w:bidi="ar-SA"/>
      </w:rPr>
    </w:lvl>
  </w:abstractNum>
  <w:abstractNum w:abstractNumId="178">
    <w:nsid w:val="779A28A5"/>
    <w:multiLevelType w:val="hybridMultilevel"/>
    <w:tmpl w:val="EE087304"/>
    <w:lvl w:ilvl="0" w:tplc="F2CC3340">
      <w:start w:val="5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81C0F78">
      <w:numFmt w:val="bullet"/>
      <w:lvlText w:val="•"/>
      <w:lvlJc w:val="left"/>
      <w:pPr>
        <w:ind w:left="1612" w:hanging="552"/>
      </w:pPr>
      <w:rPr>
        <w:rFonts w:hint="default"/>
        <w:lang w:val="en-GB" w:eastAsia="en-US" w:bidi="ar-SA"/>
      </w:rPr>
    </w:lvl>
    <w:lvl w:ilvl="2" w:tplc="F58CBE2A">
      <w:numFmt w:val="bullet"/>
      <w:lvlText w:val="•"/>
      <w:lvlJc w:val="left"/>
      <w:pPr>
        <w:ind w:left="2505" w:hanging="552"/>
      </w:pPr>
      <w:rPr>
        <w:rFonts w:hint="default"/>
        <w:lang w:val="en-GB" w:eastAsia="en-US" w:bidi="ar-SA"/>
      </w:rPr>
    </w:lvl>
    <w:lvl w:ilvl="3" w:tplc="F17A75F4">
      <w:numFmt w:val="bullet"/>
      <w:lvlText w:val="•"/>
      <w:lvlJc w:val="left"/>
      <w:pPr>
        <w:ind w:left="3397" w:hanging="552"/>
      </w:pPr>
      <w:rPr>
        <w:rFonts w:hint="default"/>
        <w:lang w:val="en-GB" w:eastAsia="en-US" w:bidi="ar-SA"/>
      </w:rPr>
    </w:lvl>
    <w:lvl w:ilvl="4" w:tplc="962456C2">
      <w:numFmt w:val="bullet"/>
      <w:lvlText w:val="•"/>
      <w:lvlJc w:val="left"/>
      <w:pPr>
        <w:ind w:left="4290" w:hanging="552"/>
      </w:pPr>
      <w:rPr>
        <w:rFonts w:hint="default"/>
        <w:lang w:val="en-GB" w:eastAsia="en-US" w:bidi="ar-SA"/>
      </w:rPr>
    </w:lvl>
    <w:lvl w:ilvl="5" w:tplc="A28C4960">
      <w:numFmt w:val="bullet"/>
      <w:lvlText w:val="•"/>
      <w:lvlJc w:val="left"/>
      <w:pPr>
        <w:ind w:left="5183" w:hanging="552"/>
      </w:pPr>
      <w:rPr>
        <w:rFonts w:hint="default"/>
        <w:lang w:val="en-GB" w:eastAsia="en-US" w:bidi="ar-SA"/>
      </w:rPr>
    </w:lvl>
    <w:lvl w:ilvl="6" w:tplc="3C528B74">
      <w:numFmt w:val="bullet"/>
      <w:lvlText w:val="•"/>
      <w:lvlJc w:val="left"/>
      <w:pPr>
        <w:ind w:left="6075" w:hanging="552"/>
      </w:pPr>
      <w:rPr>
        <w:rFonts w:hint="default"/>
        <w:lang w:val="en-GB" w:eastAsia="en-US" w:bidi="ar-SA"/>
      </w:rPr>
    </w:lvl>
    <w:lvl w:ilvl="7" w:tplc="83F4B1B2">
      <w:numFmt w:val="bullet"/>
      <w:lvlText w:val="•"/>
      <w:lvlJc w:val="left"/>
      <w:pPr>
        <w:ind w:left="6968" w:hanging="552"/>
      </w:pPr>
      <w:rPr>
        <w:rFonts w:hint="default"/>
        <w:lang w:val="en-GB" w:eastAsia="en-US" w:bidi="ar-SA"/>
      </w:rPr>
    </w:lvl>
    <w:lvl w:ilvl="8" w:tplc="8F9CEC6E">
      <w:numFmt w:val="bullet"/>
      <w:lvlText w:val="•"/>
      <w:lvlJc w:val="left"/>
      <w:pPr>
        <w:ind w:left="7861" w:hanging="552"/>
      </w:pPr>
      <w:rPr>
        <w:rFonts w:hint="default"/>
        <w:lang w:val="en-GB" w:eastAsia="en-US" w:bidi="ar-SA"/>
      </w:rPr>
    </w:lvl>
  </w:abstractNum>
  <w:abstractNum w:abstractNumId="179">
    <w:nsid w:val="7846657B"/>
    <w:multiLevelType w:val="hybridMultilevel"/>
    <w:tmpl w:val="EC08AC8C"/>
    <w:lvl w:ilvl="0" w:tplc="EED87AD8">
      <w:start w:val="97"/>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47E48D64">
      <w:numFmt w:val="bullet"/>
      <w:lvlText w:val="•"/>
      <w:lvlJc w:val="left"/>
      <w:pPr>
        <w:ind w:left="1612" w:hanging="552"/>
      </w:pPr>
      <w:rPr>
        <w:rFonts w:hint="default"/>
        <w:lang w:val="en-GB" w:eastAsia="en-US" w:bidi="ar-SA"/>
      </w:rPr>
    </w:lvl>
    <w:lvl w:ilvl="2" w:tplc="A0E046E8">
      <w:numFmt w:val="bullet"/>
      <w:lvlText w:val="•"/>
      <w:lvlJc w:val="left"/>
      <w:pPr>
        <w:ind w:left="2505" w:hanging="552"/>
      </w:pPr>
      <w:rPr>
        <w:rFonts w:hint="default"/>
        <w:lang w:val="en-GB" w:eastAsia="en-US" w:bidi="ar-SA"/>
      </w:rPr>
    </w:lvl>
    <w:lvl w:ilvl="3" w:tplc="9CB663E4">
      <w:numFmt w:val="bullet"/>
      <w:lvlText w:val="•"/>
      <w:lvlJc w:val="left"/>
      <w:pPr>
        <w:ind w:left="3397" w:hanging="552"/>
      </w:pPr>
      <w:rPr>
        <w:rFonts w:hint="default"/>
        <w:lang w:val="en-GB" w:eastAsia="en-US" w:bidi="ar-SA"/>
      </w:rPr>
    </w:lvl>
    <w:lvl w:ilvl="4" w:tplc="A8C624DE">
      <w:numFmt w:val="bullet"/>
      <w:lvlText w:val="•"/>
      <w:lvlJc w:val="left"/>
      <w:pPr>
        <w:ind w:left="4290" w:hanging="552"/>
      </w:pPr>
      <w:rPr>
        <w:rFonts w:hint="default"/>
        <w:lang w:val="en-GB" w:eastAsia="en-US" w:bidi="ar-SA"/>
      </w:rPr>
    </w:lvl>
    <w:lvl w:ilvl="5" w:tplc="D6D670E6">
      <w:numFmt w:val="bullet"/>
      <w:lvlText w:val="•"/>
      <w:lvlJc w:val="left"/>
      <w:pPr>
        <w:ind w:left="5183" w:hanging="552"/>
      </w:pPr>
      <w:rPr>
        <w:rFonts w:hint="default"/>
        <w:lang w:val="en-GB" w:eastAsia="en-US" w:bidi="ar-SA"/>
      </w:rPr>
    </w:lvl>
    <w:lvl w:ilvl="6" w:tplc="7FDA5CEE">
      <w:numFmt w:val="bullet"/>
      <w:lvlText w:val="•"/>
      <w:lvlJc w:val="left"/>
      <w:pPr>
        <w:ind w:left="6075" w:hanging="552"/>
      </w:pPr>
      <w:rPr>
        <w:rFonts w:hint="default"/>
        <w:lang w:val="en-GB" w:eastAsia="en-US" w:bidi="ar-SA"/>
      </w:rPr>
    </w:lvl>
    <w:lvl w:ilvl="7" w:tplc="6E202324">
      <w:numFmt w:val="bullet"/>
      <w:lvlText w:val="•"/>
      <w:lvlJc w:val="left"/>
      <w:pPr>
        <w:ind w:left="6968" w:hanging="552"/>
      </w:pPr>
      <w:rPr>
        <w:rFonts w:hint="default"/>
        <w:lang w:val="en-GB" w:eastAsia="en-US" w:bidi="ar-SA"/>
      </w:rPr>
    </w:lvl>
    <w:lvl w:ilvl="8" w:tplc="9FAE76D2">
      <w:numFmt w:val="bullet"/>
      <w:lvlText w:val="•"/>
      <w:lvlJc w:val="left"/>
      <w:pPr>
        <w:ind w:left="7861" w:hanging="552"/>
      </w:pPr>
      <w:rPr>
        <w:rFonts w:hint="default"/>
        <w:lang w:val="en-GB" w:eastAsia="en-US" w:bidi="ar-SA"/>
      </w:rPr>
    </w:lvl>
  </w:abstractNum>
  <w:abstractNum w:abstractNumId="180">
    <w:nsid w:val="799A4F63"/>
    <w:multiLevelType w:val="hybridMultilevel"/>
    <w:tmpl w:val="B3703CB2"/>
    <w:lvl w:ilvl="0" w:tplc="CCFEC33E">
      <w:start w:val="131"/>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BBF40B46">
      <w:numFmt w:val="bullet"/>
      <w:lvlText w:val="•"/>
      <w:lvlJc w:val="left"/>
      <w:pPr>
        <w:ind w:left="1720" w:hanging="675"/>
      </w:pPr>
      <w:rPr>
        <w:rFonts w:hint="default"/>
        <w:lang w:val="en-GB" w:eastAsia="en-US" w:bidi="ar-SA"/>
      </w:rPr>
    </w:lvl>
    <w:lvl w:ilvl="2" w:tplc="FBEEA08C">
      <w:numFmt w:val="bullet"/>
      <w:lvlText w:val="•"/>
      <w:lvlJc w:val="left"/>
      <w:pPr>
        <w:ind w:left="2601" w:hanging="675"/>
      </w:pPr>
      <w:rPr>
        <w:rFonts w:hint="default"/>
        <w:lang w:val="en-GB" w:eastAsia="en-US" w:bidi="ar-SA"/>
      </w:rPr>
    </w:lvl>
    <w:lvl w:ilvl="3" w:tplc="941C75A0">
      <w:numFmt w:val="bullet"/>
      <w:lvlText w:val="•"/>
      <w:lvlJc w:val="left"/>
      <w:pPr>
        <w:ind w:left="3481" w:hanging="675"/>
      </w:pPr>
      <w:rPr>
        <w:rFonts w:hint="default"/>
        <w:lang w:val="en-GB" w:eastAsia="en-US" w:bidi="ar-SA"/>
      </w:rPr>
    </w:lvl>
    <w:lvl w:ilvl="4" w:tplc="007A84F2">
      <w:numFmt w:val="bullet"/>
      <w:lvlText w:val="•"/>
      <w:lvlJc w:val="left"/>
      <w:pPr>
        <w:ind w:left="4362" w:hanging="675"/>
      </w:pPr>
      <w:rPr>
        <w:rFonts w:hint="default"/>
        <w:lang w:val="en-GB" w:eastAsia="en-US" w:bidi="ar-SA"/>
      </w:rPr>
    </w:lvl>
    <w:lvl w:ilvl="5" w:tplc="A536B4DC">
      <w:numFmt w:val="bullet"/>
      <w:lvlText w:val="•"/>
      <w:lvlJc w:val="left"/>
      <w:pPr>
        <w:ind w:left="5243" w:hanging="675"/>
      </w:pPr>
      <w:rPr>
        <w:rFonts w:hint="default"/>
        <w:lang w:val="en-GB" w:eastAsia="en-US" w:bidi="ar-SA"/>
      </w:rPr>
    </w:lvl>
    <w:lvl w:ilvl="6" w:tplc="F9EC9A8A">
      <w:numFmt w:val="bullet"/>
      <w:lvlText w:val="•"/>
      <w:lvlJc w:val="left"/>
      <w:pPr>
        <w:ind w:left="6123" w:hanging="675"/>
      </w:pPr>
      <w:rPr>
        <w:rFonts w:hint="default"/>
        <w:lang w:val="en-GB" w:eastAsia="en-US" w:bidi="ar-SA"/>
      </w:rPr>
    </w:lvl>
    <w:lvl w:ilvl="7" w:tplc="4EF0CCEC">
      <w:numFmt w:val="bullet"/>
      <w:lvlText w:val="•"/>
      <w:lvlJc w:val="left"/>
      <w:pPr>
        <w:ind w:left="7004" w:hanging="675"/>
      </w:pPr>
      <w:rPr>
        <w:rFonts w:hint="default"/>
        <w:lang w:val="en-GB" w:eastAsia="en-US" w:bidi="ar-SA"/>
      </w:rPr>
    </w:lvl>
    <w:lvl w:ilvl="8" w:tplc="15C6A4B2">
      <w:numFmt w:val="bullet"/>
      <w:lvlText w:val="•"/>
      <w:lvlJc w:val="left"/>
      <w:pPr>
        <w:ind w:left="7885" w:hanging="675"/>
      </w:pPr>
      <w:rPr>
        <w:rFonts w:hint="default"/>
        <w:lang w:val="en-GB" w:eastAsia="en-US" w:bidi="ar-SA"/>
      </w:rPr>
    </w:lvl>
  </w:abstractNum>
  <w:abstractNum w:abstractNumId="181">
    <w:nsid w:val="79B15ABE"/>
    <w:multiLevelType w:val="hybridMultilevel"/>
    <w:tmpl w:val="D638C694"/>
    <w:lvl w:ilvl="0" w:tplc="D6180BF6">
      <w:start w:val="103"/>
      <w:numFmt w:val="decimal"/>
      <w:lvlText w:val="%1"/>
      <w:lvlJc w:val="left"/>
      <w:pPr>
        <w:ind w:left="834" w:hanging="675"/>
        <w:jc w:val="left"/>
      </w:pPr>
      <w:rPr>
        <w:rFonts w:ascii="Arial" w:eastAsia="Arial" w:hAnsi="Arial" w:cs="Arial" w:hint="default"/>
        <w:b w:val="0"/>
        <w:bCs w:val="0"/>
        <w:i w:val="0"/>
        <w:iCs w:val="0"/>
        <w:spacing w:val="-1"/>
        <w:w w:val="100"/>
        <w:sz w:val="22"/>
        <w:szCs w:val="22"/>
        <w:lang w:val="en-GB" w:eastAsia="en-US" w:bidi="ar-SA"/>
      </w:rPr>
    </w:lvl>
    <w:lvl w:ilvl="1" w:tplc="4E76647A">
      <w:numFmt w:val="bullet"/>
      <w:lvlText w:val="•"/>
      <w:lvlJc w:val="left"/>
      <w:pPr>
        <w:ind w:left="1720" w:hanging="675"/>
      </w:pPr>
      <w:rPr>
        <w:rFonts w:hint="default"/>
        <w:lang w:val="en-GB" w:eastAsia="en-US" w:bidi="ar-SA"/>
      </w:rPr>
    </w:lvl>
    <w:lvl w:ilvl="2" w:tplc="0CCEA782">
      <w:numFmt w:val="bullet"/>
      <w:lvlText w:val="•"/>
      <w:lvlJc w:val="left"/>
      <w:pPr>
        <w:ind w:left="2601" w:hanging="675"/>
      </w:pPr>
      <w:rPr>
        <w:rFonts w:hint="default"/>
        <w:lang w:val="en-GB" w:eastAsia="en-US" w:bidi="ar-SA"/>
      </w:rPr>
    </w:lvl>
    <w:lvl w:ilvl="3" w:tplc="97901E78">
      <w:numFmt w:val="bullet"/>
      <w:lvlText w:val="•"/>
      <w:lvlJc w:val="left"/>
      <w:pPr>
        <w:ind w:left="3481" w:hanging="675"/>
      </w:pPr>
      <w:rPr>
        <w:rFonts w:hint="default"/>
        <w:lang w:val="en-GB" w:eastAsia="en-US" w:bidi="ar-SA"/>
      </w:rPr>
    </w:lvl>
    <w:lvl w:ilvl="4" w:tplc="5C36FEB0">
      <w:numFmt w:val="bullet"/>
      <w:lvlText w:val="•"/>
      <w:lvlJc w:val="left"/>
      <w:pPr>
        <w:ind w:left="4362" w:hanging="675"/>
      </w:pPr>
      <w:rPr>
        <w:rFonts w:hint="default"/>
        <w:lang w:val="en-GB" w:eastAsia="en-US" w:bidi="ar-SA"/>
      </w:rPr>
    </w:lvl>
    <w:lvl w:ilvl="5" w:tplc="42401BE2">
      <w:numFmt w:val="bullet"/>
      <w:lvlText w:val="•"/>
      <w:lvlJc w:val="left"/>
      <w:pPr>
        <w:ind w:left="5243" w:hanging="675"/>
      </w:pPr>
      <w:rPr>
        <w:rFonts w:hint="default"/>
        <w:lang w:val="en-GB" w:eastAsia="en-US" w:bidi="ar-SA"/>
      </w:rPr>
    </w:lvl>
    <w:lvl w:ilvl="6" w:tplc="0AB2CE08">
      <w:numFmt w:val="bullet"/>
      <w:lvlText w:val="•"/>
      <w:lvlJc w:val="left"/>
      <w:pPr>
        <w:ind w:left="6123" w:hanging="675"/>
      </w:pPr>
      <w:rPr>
        <w:rFonts w:hint="default"/>
        <w:lang w:val="en-GB" w:eastAsia="en-US" w:bidi="ar-SA"/>
      </w:rPr>
    </w:lvl>
    <w:lvl w:ilvl="7" w:tplc="99C831FA">
      <w:numFmt w:val="bullet"/>
      <w:lvlText w:val="•"/>
      <w:lvlJc w:val="left"/>
      <w:pPr>
        <w:ind w:left="7004" w:hanging="675"/>
      </w:pPr>
      <w:rPr>
        <w:rFonts w:hint="default"/>
        <w:lang w:val="en-GB" w:eastAsia="en-US" w:bidi="ar-SA"/>
      </w:rPr>
    </w:lvl>
    <w:lvl w:ilvl="8" w:tplc="AD3A15D8">
      <w:numFmt w:val="bullet"/>
      <w:lvlText w:val="•"/>
      <w:lvlJc w:val="left"/>
      <w:pPr>
        <w:ind w:left="7885" w:hanging="675"/>
      </w:pPr>
      <w:rPr>
        <w:rFonts w:hint="default"/>
        <w:lang w:val="en-GB" w:eastAsia="en-US" w:bidi="ar-SA"/>
      </w:rPr>
    </w:lvl>
  </w:abstractNum>
  <w:abstractNum w:abstractNumId="182">
    <w:nsid w:val="79B85993"/>
    <w:multiLevelType w:val="hybridMultilevel"/>
    <w:tmpl w:val="3D80C62A"/>
    <w:lvl w:ilvl="0" w:tplc="D5327474">
      <w:start w:val="8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258A82AA">
      <w:numFmt w:val="bullet"/>
      <w:lvlText w:val="•"/>
      <w:lvlJc w:val="left"/>
      <w:pPr>
        <w:ind w:left="1612" w:hanging="552"/>
      </w:pPr>
      <w:rPr>
        <w:rFonts w:hint="default"/>
        <w:lang w:val="en-GB" w:eastAsia="en-US" w:bidi="ar-SA"/>
      </w:rPr>
    </w:lvl>
    <w:lvl w:ilvl="2" w:tplc="19E24F28">
      <w:numFmt w:val="bullet"/>
      <w:lvlText w:val="•"/>
      <w:lvlJc w:val="left"/>
      <w:pPr>
        <w:ind w:left="2505" w:hanging="552"/>
      </w:pPr>
      <w:rPr>
        <w:rFonts w:hint="default"/>
        <w:lang w:val="en-GB" w:eastAsia="en-US" w:bidi="ar-SA"/>
      </w:rPr>
    </w:lvl>
    <w:lvl w:ilvl="3" w:tplc="26389DBC">
      <w:numFmt w:val="bullet"/>
      <w:lvlText w:val="•"/>
      <w:lvlJc w:val="left"/>
      <w:pPr>
        <w:ind w:left="3397" w:hanging="552"/>
      </w:pPr>
      <w:rPr>
        <w:rFonts w:hint="default"/>
        <w:lang w:val="en-GB" w:eastAsia="en-US" w:bidi="ar-SA"/>
      </w:rPr>
    </w:lvl>
    <w:lvl w:ilvl="4" w:tplc="B57843D2">
      <w:numFmt w:val="bullet"/>
      <w:lvlText w:val="•"/>
      <w:lvlJc w:val="left"/>
      <w:pPr>
        <w:ind w:left="4290" w:hanging="552"/>
      </w:pPr>
      <w:rPr>
        <w:rFonts w:hint="default"/>
        <w:lang w:val="en-GB" w:eastAsia="en-US" w:bidi="ar-SA"/>
      </w:rPr>
    </w:lvl>
    <w:lvl w:ilvl="5" w:tplc="489C1DEC">
      <w:numFmt w:val="bullet"/>
      <w:lvlText w:val="•"/>
      <w:lvlJc w:val="left"/>
      <w:pPr>
        <w:ind w:left="5183" w:hanging="552"/>
      </w:pPr>
      <w:rPr>
        <w:rFonts w:hint="default"/>
        <w:lang w:val="en-GB" w:eastAsia="en-US" w:bidi="ar-SA"/>
      </w:rPr>
    </w:lvl>
    <w:lvl w:ilvl="6" w:tplc="6A384A7C">
      <w:numFmt w:val="bullet"/>
      <w:lvlText w:val="•"/>
      <w:lvlJc w:val="left"/>
      <w:pPr>
        <w:ind w:left="6075" w:hanging="552"/>
      </w:pPr>
      <w:rPr>
        <w:rFonts w:hint="default"/>
        <w:lang w:val="en-GB" w:eastAsia="en-US" w:bidi="ar-SA"/>
      </w:rPr>
    </w:lvl>
    <w:lvl w:ilvl="7" w:tplc="C7800458">
      <w:numFmt w:val="bullet"/>
      <w:lvlText w:val="•"/>
      <w:lvlJc w:val="left"/>
      <w:pPr>
        <w:ind w:left="6968" w:hanging="552"/>
      </w:pPr>
      <w:rPr>
        <w:rFonts w:hint="default"/>
        <w:lang w:val="en-GB" w:eastAsia="en-US" w:bidi="ar-SA"/>
      </w:rPr>
    </w:lvl>
    <w:lvl w:ilvl="8" w:tplc="FA9E0C88">
      <w:numFmt w:val="bullet"/>
      <w:lvlText w:val="•"/>
      <w:lvlJc w:val="left"/>
      <w:pPr>
        <w:ind w:left="7861" w:hanging="552"/>
      </w:pPr>
      <w:rPr>
        <w:rFonts w:hint="default"/>
        <w:lang w:val="en-GB" w:eastAsia="en-US" w:bidi="ar-SA"/>
      </w:rPr>
    </w:lvl>
  </w:abstractNum>
  <w:abstractNum w:abstractNumId="183">
    <w:nsid w:val="7A7F2681"/>
    <w:multiLevelType w:val="hybridMultilevel"/>
    <w:tmpl w:val="AA3EAC58"/>
    <w:lvl w:ilvl="0" w:tplc="362E131E">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B0645BE8">
      <w:numFmt w:val="bullet"/>
      <w:lvlText w:val="•"/>
      <w:lvlJc w:val="left"/>
      <w:pPr>
        <w:ind w:left="1445" w:hanging="361"/>
      </w:pPr>
      <w:rPr>
        <w:rFonts w:hint="default"/>
        <w:lang w:val="en-GB" w:eastAsia="en-US" w:bidi="ar-SA"/>
      </w:rPr>
    </w:lvl>
    <w:lvl w:ilvl="2" w:tplc="53F433C4">
      <w:numFmt w:val="bullet"/>
      <w:lvlText w:val="•"/>
      <w:lvlJc w:val="left"/>
      <w:pPr>
        <w:ind w:left="2071" w:hanging="361"/>
      </w:pPr>
      <w:rPr>
        <w:rFonts w:hint="default"/>
        <w:lang w:val="en-GB" w:eastAsia="en-US" w:bidi="ar-SA"/>
      </w:rPr>
    </w:lvl>
    <w:lvl w:ilvl="3" w:tplc="4F1C7B14">
      <w:numFmt w:val="bullet"/>
      <w:lvlText w:val="•"/>
      <w:lvlJc w:val="left"/>
      <w:pPr>
        <w:ind w:left="2697" w:hanging="361"/>
      </w:pPr>
      <w:rPr>
        <w:rFonts w:hint="default"/>
        <w:lang w:val="en-GB" w:eastAsia="en-US" w:bidi="ar-SA"/>
      </w:rPr>
    </w:lvl>
    <w:lvl w:ilvl="4" w:tplc="48DEF6DC">
      <w:numFmt w:val="bullet"/>
      <w:lvlText w:val="•"/>
      <w:lvlJc w:val="left"/>
      <w:pPr>
        <w:ind w:left="3323" w:hanging="361"/>
      </w:pPr>
      <w:rPr>
        <w:rFonts w:hint="default"/>
        <w:lang w:val="en-GB" w:eastAsia="en-US" w:bidi="ar-SA"/>
      </w:rPr>
    </w:lvl>
    <w:lvl w:ilvl="5" w:tplc="ED36EBE2">
      <w:numFmt w:val="bullet"/>
      <w:lvlText w:val="•"/>
      <w:lvlJc w:val="left"/>
      <w:pPr>
        <w:ind w:left="3949" w:hanging="361"/>
      </w:pPr>
      <w:rPr>
        <w:rFonts w:hint="default"/>
        <w:lang w:val="en-GB" w:eastAsia="en-US" w:bidi="ar-SA"/>
      </w:rPr>
    </w:lvl>
    <w:lvl w:ilvl="6" w:tplc="F85C665A">
      <w:numFmt w:val="bullet"/>
      <w:lvlText w:val="•"/>
      <w:lvlJc w:val="left"/>
      <w:pPr>
        <w:ind w:left="4575" w:hanging="361"/>
      </w:pPr>
      <w:rPr>
        <w:rFonts w:hint="default"/>
        <w:lang w:val="en-GB" w:eastAsia="en-US" w:bidi="ar-SA"/>
      </w:rPr>
    </w:lvl>
    <w:lvl w:ilvl="7" w:tplc="E548A44C">
      <w:numFmt w:val="bullet"/>
      <w:lvlText w:val="•"/>
      <w:lvlJc w:val="left"/>
      <w:pPr>
        <w:ind w:left="5201" w:hanging="361"/>
      </w:pPr>
      <w:rPr>
        <w:rFonts w:hint="default"/>
        <w:lang w:val="en-GB" w:eastAsia="en-US" w:bidi="ar-SA"/>
      </w:rPr>
    </w:lvl>
    <w:lvl w:ilvl="8" w:tplc="84264FF8">
      <w:numFmt w:val="bullet"/>
      <w:lvlText w:val="•"/>
      <w:lvlJc w:val="left"/>
      <w:pPr>
        <w:ind w:left="5827" w:hanging="361"/>
      </w:pPr>
      <w:rPr>
        <w:rFonts w:hint="default"/>
        <w:lang w:val="en-GB" w:eastAsia="en-US" w:bidi="ar-SA"/>
      </w:rPr>
    </w:lvl>
  </w:abstractNum>
  <w:abstractNum w:abstractNumId="184">
    <w:nsid w:val="7C627C96"/>
    <w:multiLevelType w:val="hybridMultilevel"/>
    <w:tmpl w:val="CC9E6944"/>
    <w:lvl w:ilvl="0" w:tplc="F078ED98">
      <w:start w:val="38"/>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943668A2">
      <w:numFmt w:val="bullet"/>
      <w:lvlText w:val="•"/>
      <w:lvlJc w:val="left"/>
      <w:pPr>
        <w:ind w:left="1612" w:hanging="552"/>
      </w:pPr>
      <w:rPr>
        <w:rFonts w:hint="default"/>
        <w:lang w:val="en-GB" w:eastAsia="en-US" w:bidi="ar-SA"/>
      </w:rPr>
    </w:lvl>
    <w:lvl w:ilvl="2" w:tplc="A27E699A">
      <w:numFmt w:val="bullet"/>
      <w:lvlText w:val="•"/>
      <w:lvlJc w:val="left"/>
      <w:pPr>
        <w:ind w:left="2505" w:hanging="552"/>
      </w:pPr>
      <w:rPr>
        <w:rFonts w:hint="default"/>
        <w:lang w:val="en-GB" w:eastAsia="en-US" w:bidi="ar-SA"/>
      </w:rPr>
    </w:lvl>
    <w:lvl w:ilvl="3" w:tplc="B81E070A">
      <w:numFmt w:val="bullet"/>
      <w:lvlText w:val="•"/>
      <w:lvlJc w:val="left"/>
      <w:pPr>
        <w:ind w:left="3397" w:hanging="552"/>
      </w:pPr>
      <w:rPr>
        <w:rFonts w:hint="default"/>
        <w:lang w:val="en-GB" w:eastAsia="en-US" w:bidi="ar-SA"/>
      </w:rPr>
    </w:lvl>
    <w:lvl w:ilvl="4" w:tplc="7AE88852">
      <w:numFmt w:val="bullet"/>
      <w:lvlText w:val="•"/>
      <w:lvlJc w:val="left"/>
      <w:pPr>
        <w:ind w:left="4290" w:hanging="552"/>
      </w:pPr>
      <w:rPr>
        <w:rFonts w:hint="default"/>
        <w:lang w:val="en-GB" w:eastAsia="en-US" w:bidi="ar-SA"/>
      </w:rPr>
    </w:lvl>
    <w:lvl w:ilvl="5" w:tplc="51A2087E">
      <w:numFmt w:val="bullet"/>
      <w:lvlText w:val="•"/>
      <w:lvlJc w:val="left"/>
      <w:pPr>
        <w:ind w:left="5183" w:hanging="552"/>
      </w:pPr>
      <w:rPr>
        <w:rFonts w:hint="default"/>
        <w:lang w:val="en-GB" w:eastAsia="en-US" w:bidi="ar-SA"/>
      </w:rPr>
    </w:lvl>
    <w:lvl w:ilvl="6" w:tplc="0F8CAB36">
      <w:numFmt w:val="bullet"/>
      <w:lvlText w:val="•"/>
      <w:lvlJc w:val="left"/>
      <w:pPr>
        <w:ind w:left="6075" w:hanging="552"/>
      </w:pPr>
      <w:rPr>
        <w:rFonts w:hint="default"/>
        <w:lang w:val="en-GB" w:eastAsia="en-US" w:bidi="ar-SA"/>
      </w:rPr>
    </w:lvl>
    <w:lvl w:ilvl="7" w:tplc="DE1A4E96">
      <w:numFmt w:val="bullet"/>
      <w:lvlText w:val="•"/>
      <w:lvlJc w:val="left"/>
      <w:pPr>
        <w:ind w:left="6968" w:hanging="552"/>
      </w:pPr>
      <w:rPr>
        <w:rFonts w:hint="default"/>
        <w:lang w:val="en-GB" w:eastAsia="en-US" w:bidi="ar-SA"/>
      </w:rPr>
    </w:lvl>
    <w:lvl w:ilvl="8" w:tplc="62466CC6">
      <w:numFmt w:val="bullet"/>
      <w:lvlText w:val="•"/>
      <w:lvlJc w:val="left"/>
      <w:pPr>
        <w:ind w:left="7861" w:hanging="552"/>
      </w:pPr>
      <w:rPr>
        <w:rFonts w:hint="default"/>
        <w:lang w:val="en-GB" w:eastAsia="en-US" w:bidi="ar-SA"/>
      </w:rPr>
    </w:lvl>
  </w:abstractNum>
  <w:abstractNum w:abstractNumId="185">
    <w:nsid w:val="7CDC5FA9"/>
    <w:multiLevelType w:val="hybridMultilevel"/>
    <w:tmpl w:val="33E2EC6A"/>
    <w:lvl w:ilvl="0" w:tplc="529CA846">
      <w:numFmt w:val="bullet"/>
      <w:lvlText w:val=""/>
      <w:lvlJc w:val="left"/>
      <w:pPr>
        <w:ind w:left="466" w:hanging="360"/>
      </w:pPr>
      <w:rPr>
        <w:rFonts w:ascii="Symbol" w:eastAsia="Symbol" w:hAnsi="Symbol" w:cs="Symbol" w:hint="default"/>
        <w:b w:val="0"/>
        <w:bCs w:val="0"/>
        <w:i w:val="0"/>
        <w:iCs w:val="0"/>
        <w:w w:val="99"/>
        <w:sz w:val="20"/>
        <w:szCs w:val="20"/>
        <w:lang w:val="en-GB" w:eastAsia="en-US" w:bidi="ar-SA"/>
      </w:rPr>
    </w:lvl>
    <w:lvl w:ilvl="1" w:tplc="13ECB960">
      <w:numFmt w:val="bullet"/>
      <w:lvlText w:val="•"/>
      <w:lvlJc w:val="left"/>
      <w:pPr>
        <w:ind w:left="810" w:hanging="360"/>
      </w:pPr>
      <w:rPr>
        <w:rFonts w:hint="default"/>
        <w:lang w:val="en-GB" w:eastAsia="en-US" w:bidi="ar-SA"/>
      </w:rPr>
    </w:lvl>
    <w:lvl w:ilvl="2" w:tplc="3AE84B48">
      <w:numFmt w:val="bullet"/>
      <w:lvlText w:val="•"/>
      <w:lvlJc w:val="left"/>
      <w:pPr>
        <w:ind w:left="1160" w:hanging="360"/>
      </w:pPr>
      <w:rPr>
        <w:rFonts w:hint="default"/>
        <w:lang w:val="en-GB" w:eastAsia="en-US" w:bidi="ar-SA"/>
      </w:rPr>
    </w:lvl>
    <w:lvl w:ilvl="3" w:tplc="672A241E">
      <w:numFmt w:val="bullet"/>
      <w:lvlText w:val="•"/>
      <w:lvlJc w:val="left"/>
      <w:pPr>
        <w:ind w:left="1510" w:hanging="360"/>
      </w:pPr>
      <w:rPr>
        <w:rFonts w:hint="default"/>
        <w:lang w:val="en-GB" w:eastAsia="en-US" w:bidi="ar-SA"/>
      </w:rPr>
    </w:lvl>
    <w:lvl w:ilvl="4" w:tplc="F6FA9CAC">
      <w:numFmt w:val="bullet"/>
      <w:lvlText w:val="•"/>
      <w:lvlJc w:val="left"/>
      <w:pPr>
        <w:ind w:left="1860" w:hanging="360"/>
      </w:pPr>
      <w:rPr>
        <w:rFonts w:hint="default"/>
        <w:lang w:val="en-GB" w:eastAsia="en-US" w:bidi="ar-SA"/>
      </w:rPr>
    </w:lvl>
    <w:lvl w:ilvl="5" w:tplc="06B00388">
      <w:numFmt w:val="bullet"/>
      <w:lvlText w:val="•"/>
      <w:lvlJc w:val="left"/>
      <w:pPr>
        <w:ind w:left="2210" w:hanging="360"/>
      </w:pPr>
      <w:rPr>
        <w:rFonts w:hint="default"/>
        <w:lang w:val="en-GB" w:eastAsia="en-US" w:bidi="ar-SA"/>
      </w:rPr>
    </w:lvl>
    <w:lvl w:ilvl="6" w:tplc="DA4E6BF4">
      <w:numFmt w:val="bullet"/>
      <w:lvlText w:val="•"/>
      <w:lvlJc w:val="left"/>
      <w:pPr>
        <w:ind w:left="2560" w:hanging="360"/>
      </w:pPr>
      <w:rPr>
        <w:rFonts w:hint="default"/>
        <w:lang w:val="en-GB" w:eastAsia="en-US" w:bidi="ar-SA"/>
      </w:rPr>
    </w:lvl>
    <w:lvl w:ilvl="7" w:tplc="D0445546">
      <w:numFmt w:val="bullet"/>
      <w:lvlText w:val="•"/>
      <w:lvlJc w:val="left"/>
      <w:pPr>
        <w:ind w:left="2910" w:hanging="360"/>
      </w:pPr>
      <w:rPr>
        <w:rFonts w:hint="default"/>
        <w:lang w:val="en-GB" w:eastAsia="en-US" w:bidi="ar-SA"/>
      </w:rPr>
    </w:lvl>
    <w:lvl w:ilvl="8" w:tplc="D9341F76">
      <w:numFmt w:val="bullet"/>
      <w:lvlText w:val="•"/>
      <w:lvlJc w:val="left"/>
      <w:pPr>
        <w:ind w:left="3260" w:hanging="360"/>
      </w:pPr>
      <w:rPr>
        <w:rFonts w:hint="default"/>
        <w:lang w:val="en-GB" w:eastAsia="en-US" w:bidi="ar-SA"/>
      </w:rPr>
    </w:lvl>
  </w:abstractNum>
  <w:abstractNum w:abstractNumId="186">
    <w:nsid w:val="7E210987"/>
    <w:multiLevelType w:val="hybridMultilevel"/>
    <w:tmpl w:val="4FD63E28"/>
    <w:lvl w:ilvl="0" w:tplc="002287E4">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AE64C66A">
      <w:numFmt w:val="bullet"/>
      <w:lvlText w:val="•"/>
      <w:lvlJc w:val="left"/>
      <w:pPr>
        <w:ind w:left="1445" w:hanging="361"/>
      </w:pPr>
      <w:rPr>
        <w:rFonts w:hint="default"/>
        <w:lang w:val="en-GB" w:eastAsia="en-US" w:bidi="ar-SA"/>
      </w:rPr>
    </w:lvl>
    <w:lvl w:ilvl="2" w:tplc="673E5272">
      <w:numFmt w:val="bullet"/>
      <w:lvlText w:val="•"/>
      <w:lvlJc w:val="left"/>
      <w:pPr>
        <w:ind w:left="2071" w:hanging="361"/>
      </w:pPr>
      <w:rPr>
        <w:rFonts w:hint="default"/>
        <w:lang w:val="en-GB" w:eastAsia="en-US" w:bidi="ar-SA"/>
      </w:rPr>
    </w:lvl>
    <w:lvl w:ilvl="3" w:tplc="72A0EC38">
      <w:numFmt w:val="bullet"/>
      <w:lvlText w:val="•"/>
      <w:lvlJc w:val="left"/>
      <w:pPr>
        <w:ind w:left="2697" w:hanging="361"/>
      </w:pPr>
      <w:rPr>
        <w:rFonts w:hint="default"/>
        <w:lang w:val="en-GB" w:eastAsia="en-US" w:bidi="ar-SA"/>
      </w:rPr>
    </w:lvl>
    <w:lvl w:ilvl="4" w:tplc="E4D678F6">
      <w:numFmt w:val="bullet"/>
      <w:lvlText w:val="•"/>
      <w:lvlJc w:val="left"/>
      <w:pPr>
        <w:ind w:left="3323" w:hanging="361"/>
      </w:pPr>
      <w:rPr>
        <w:rFonts w:hint="default"/>
        <w:lang w:val="en-GB" w:eastAsia="en-US" w:bidi="ar-SA"/>
      </w:rPr>
    </w:lvl>
    <w:lvl w:ilvl="5" w:tplc="E7207D2C">
      <w:numFmt w:val="bullet"/>
      <w:lvlText w:val="•"/>
      <w:lvlJc w:val="left"/>
      <w:pPr>
        <w:ind w:left="3949" w:hanging="361"/>
      </w:pPr>
      <w:rPr>
        <w:rFonts w:hint="default"/>
        <w:lang w:val="en-GB" w:eastAsia="en-US" w:bidi="ar-SA"/>
      </w:rPr>
    </w:lvl>
    <w:lvl w:ilvl="6" w:tplc="7D244FB4">
      <w:numFmt w:val="bullet"/>
      <w:lvlText w:val="•"/>
      <w:lvlJc w:val="left"/>
      <w:pPr>
        <w:ind w:left="4575" w:hanging="361"/>
      </w:pPr>
      <w:rPr>
        <w:rFonts w:hint="default"/>
        <w:lang w:val="en-GB" w:eastAsia="en-US" w:bidi="ar-SA"/>
      </w:rPr>
    </w:lvl>
    <w:lvl w:ilvl="7" w:tplc="289AF5A2">
      <w:numFmt w:val="bullet"/>
      <w:lvlText w:val="•"/>
      <w:lvlJc w:val="left"/>
      <w:pPr>
        <w:ind w:left="5201" w:hanging="361"/>
      </w:pPr>
      <w:rPr>
        <w:rFonts w:hint="default"/>
        <w:lang w:val="en-GB" w:eastAsia="en-US" w:bidi="ar-SA"/>
      </w:rPr>
    </w:lvl>
    <w:lvl w:ilvl="8" w:tplc="EF82F94A">
      <w:numFmt w:val="bullet"/>
      <w:lvlText w:val="•"/>
      <w:lvlJc w:val="left"/>
      <w:pPr>
        <w:ind w:left="5827" w:hanging="361"/>
      </w:pPr>
      <w:rPr>
        <w:rFonts w:hint="default"/>
        <w:lang w:val="en-GB" w:eastAsia="en-US" w:bidi="ar-SA"/>
      </w:rPr>
    </w:lvl>
  </w:abstractNum>
  <w:abstractNum w:abstractNumId="187">
    <w:nsid w:val="7E3C2025"/>
    <w:multiLevelType w:val="hybridMultilevel"/>
    <w:tmpl w:val="A0D6A57C"/>
    <w:lvl w:ilvl="0" w:tplc="06B84062">
      <w:start w:val="94"/>
      <w:numFmt w:val="decimal"/>
      <w:lvlText w:val="%1"/>
      <w:lvlJc w:val="left"/>
      <w:pPr>
        <w:ind w:left="712" w:hanging="552"/>
        <w:jc w:val="left"/>
      </w:pPr>
      <w:rPr>
        <w:rFonts w:ascii="Arial" w:eastAsia="Arial" w:hAnsi="Arial" w:cs="Arial" w:hint="default"/>
        <w:b w:val="0"/>
        <w:bCs w:val="0"/>
        <w:i w:val="0"/>
        <w:iCs w:val="0"/>
        <w:spacing w:val="-1"/>
        <w:w w:val="100"/>
        <w:sz w:val="22"/>
        <w:szCs w:val="22"/>
        <w:lang w:val="en-GB" w:eastAsia="en-US" w:bidi="ar-SA"/>
      </w:rPr>
    </w:lvl>
    <w:lvl w:ilvl="1" w:tplc="529E0388">
      <w:numFmt w:val="bullet"/>
      <w:lvlText w:val="•"/>
      <w:lvlJc w:val="left"/>
      <w:pPr>
        <w:ind w:left="1612" w:hanging="552"/>
      </w:pPr>
      <w:rPr>
        <w:rFonts w:hint="default"/>
        <w:lang w:val="en-GB" w:eastAsia="en-US" w:bidi="ar-SA"/>
      </w:rPr>
    </w:lvl>
    <w:lvl w:ilvl="2" w:tplc="F5E25FC0">
      <w:numFmt w:val="bullet"/>
      <w:lvlText w:val="•"/>
      <w:lvlJc w:val="left"/>
      <w:pPr>
        <w:ind w:left="2505" w:hanging="552"/>
      </w:pPr>
      <w:rPr>
        <w:rFonts w:hint="default"/>
        <w:lang w:val="en-GB" w:eastAsia="en-US" w:bidi="ar-SA"/>
      </w:rPr>
    </w:lvl>
    <w:lvl w:ilvl="3" w:tplc="CB003B80">
      <w:numFmt w:val="bullet"/>
      <w:lvlText w:val="•"/>
      <w:lvlJc w:val="left"/>
      <w:pPr>
        <w:ind w:left="3397" w:hanging="552"/>
      </w:pPr>
      <w:rPr>
        <w:rFonts w:hint="default"/>
        <w:lang w:val="en-GB" w:eastAsia="en-US" w:bidi="ar-SA"/>
      </w:rPr>
    </w:lvl>
    <w:lvl w:ilvl="4" w:tplc="0D5AB81E">
      <w:numFmt w:val="bullet"/>
      <w:lvlText w:val="•"/>
      <w:lvlJc w:val="left"/>
      <w:pPr>
        <w:ind w:left="4290" w:hanging="552"/>
      </w:pPr>
      <w:rPr>
        <w:rFonts w:hint="default"/>
        <w:lang w:val="en-GB" w:eastAsia="en-US" w:bidi="ar-SA"/>
      </w:rPr>
    </w:lvl>
    <w:lvl w:ilvl="5" w:tplc="E0805362">
      <w:numFmt w:val="bullet"/>
      <w:lvlText w:val="•"/>
      <w:lvlJc w:val="left"/>
      <w:pPr>
        <w:ind w:left="5183" w:hanging="552"/>
      </w:pPr>
      <w:rPr>
        <w:rFonts w:hint="default"/>
        <w:lang w:val="en-GB" w:eastAsia="en-US" w:bidi="ar-SA"/>
      </w:rPr>
    </w:lvl>
    <w:lvl w:ilvl="6" w:tplc="30383C3C">
      <w:numFmt w:val="bullet"/>
      <w:lvlText w:val="•"/>
      <w:lvlJc w:val="left"/>
      <w:pPr>
        <w:ind w:left="6075" w:hanging="552"/>
      </w:pPr>
      <w:rPr>
        <w:rFonts w:hint="default"/>
        <w:lang w:val="en-GB" w:eastAsia="en-US" w:bidi="ar-SA"/>
      </w:rPr>
    </w:lvl>
    <w:lvl w:ilvl="7" w:tplc="55AC0706">
      <w:numFmt w:val="bullet"/>
      <w:lvlText w:val="•"/>
      <w:lvlJc w:val="left"/>
      <w:pPr>
        <w:ind w:left="6968" w:hanging="552"/>
      </w:pPr>
      <w:rPr>
        <w:rFonts w:hint="default"/>
        <w:lang w:val="en-GB" w:eastAsia="en-US" w:bidi="ar-SA"/>
      </w:rPr>
    </w:lvl>
    <w:lvl w:ilvl="8" w:tplc="DF22A22C">
      <w:numFmt w:val="bullet"/>
      <w:lvlText w:val="•"/>
      <w:lvlJc w:val="left"/>
      <w:pPr>
        <w:ind w:left="7861" w:hanging="552"/>
      </w:pPr>
      <w:rPr>
        <w:rFonts w:hint="default"/>
        <w:lang w:val="en-GB" w:eastAsia="en-US" w:bidi="ar-SA"/>
      </w:rPr>
    </w:lvl>
  </w:abstractNum>
  <w:abstractNum w:abstractNumId="188">
    <w:nsid w:val="7E973A1A"/>
    <w:multiLevelType w:val="hybridMultilevel"/>
    <w:tmpl w:val="5312421E"/>
    <w:lvl w:ilvl="0" w:tplc="C68C5C84">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966AC662">
      <w:numFmt w:val="bullet"/>
      <w:lvlText w:val="•"/>
      <w:lvlJc w:val="left"/>
      <w:pPr>
        <w:ind w:left="1445" w:hanging="361"/>
      </w:pPr>
      <w:rPr>
        <w:rFonts w:hint="default"/>
        <w:lang w:val="en-GB" w:eastAsia="en-US" w:bidi="ar-SA"/>
      </w:rPr>
    </w:lvl>
    <w:lvl w:ilvl="2" w:tplc="4D6CC12A">
      <w:numFmt w:val="bullet"/>
      <w:lvlText w:val="•"/>
      <w:lvlJc w:val="left"/>
      <w:pPr>
        <w:ind w:left="2071" w:hanging="361"/>
      </w:pPr>
      <w:rPr>
        <w:rFonts w:hint="default"/>
        <w:lang w:val="en-GB" w:eastAsia="en-US" w:bidi="ar-SA"/>
      </w:rPr>
    </w:lvl>
    <w:lvl w:ilvl="3" w:tplc="086C9AE6">
      <w:numFmt w:val="bullet"/>
      <w:lvlText w:val="•"/>
      <w:lvlJc w:val="left"/>
      <w:pPr>
        <w:ind w:left="2697" w:hanging="361"/>
      </w:pPr>
      <w:rPr>
        <w:rFonts w:hint="default"/>
        <w:lang w:val="en-GB" w:eastAsia="en-US" w:bidi="ar-SA"/>
      </w:rPr>
    </w:lvl>
    <w:lvl w:ilvl="4" w:tplc="132851F4">
      <w:numFmt w:val="bullet"/>
      <w:lvlText w:val="•"/>
      <w:lvlJc w:val="left"/>
      <w:pPr>
        <w:ind w:left="3323" w:hanging="361"/>
      </w:pPr>
      <w:rPr>
        <w:rFonts w:hint="default"/>
        <w:lang w:val="en-GB" w:eastAsia="en-US" w:bidi="ar-SA"/>
      </w:rPr>
    </w:lvl>
    <w:lvl w:ilvl="5" w:tplc="6F487DAE">
      <w:numFmt w:val="bullet"/>
      <w:lvlText w:val="•"/>
      <w:lvlJc w:val="left"/>
      <w:pPr>
        <w:ind w:left="3949" w:hanging="361"/>
      </w:pPr>
      <w:rPr>
        <w:rFonts w:hint="default"/>
        <w:lang w:val="en-GB" w:eastAsia="en-US" w:bidi="ar-SA"/>
      </w:rPr>
    </w:lvl>
    <w:lvl w:ilvl="6" w:tplc="06901A04">
      <w:numFmt w:val="bullet"/>
      <w:lvlText w:val="•"/>
      <w:lvlJc w:val="left"/>
      <w:pPr>
        <w:ind w:left="4575" w:hanging="361"/>
      </w:pPr>
      <w:rPr>
        <w:rFonts w:hint="default"/>
        <w:lang w:val="en-GB" w:eastAsia="en-US" w:bidi="ar-SA"/>
      </w:rPr>
    </w:lvl>
    <w:lvl w:ilvl="7" w:tplc="790E6946">
      <w:numFmt w:val="bullet"/>
      <w:lvlText w:val="•"/>
      <w:lvlJc w:val="left"/>
      <w:pPr>
        <w:ind w:left="5201" w:hanging="361"/>
      </w:pPr>
      <w:rPr>
        <w:rFonts w:hint="default"/>
        <w:lang w:val="en-GB" w:eastAsia="en-US" w:bidi="ar-SA"/>
      </w:rPr>
    </w:lvl>
    <w:lvl w:ilvl="8" w:tplc="3092D1C8">
      <w:numFmt w:val="bullet"/>
      <w:lvlText w:val="•"/>
      <w:lvlJc w:val="left"/>
      <w:pPr>
        <w:ind w:left="5827" w:hanging="361"/>
      </w:pPr>
      <w:rPr>
        <w:rFonts w:hint="default"/>
        <w:lang w:val="en-GB" w:eastAsia="en-US" w:bidi="ar-SA"/>
      </w:rPr>
    </w:lvl>
  </w:abstractNum>
  <w:num w:numId="1">
    <w:abstractNumId w:val="68"/>
  </w:num>
  <w:num w:numId="2">
    <w:abstractNumId w:val="131"/>
  </w:num>
  <w:num w:numId="3">
    <w:abstractNumId w:val="98"/>
  </w:num>
  <w:num w:numId="4">
    <w:abstractNumId w:val="76"/>
  </w:num>
  <w:num w:numId="5">
    <w:abstractNumId w:val="58"/>
  </w:num>
  <w:num w:numId="6">
    <w:abstractNumId w:val="158"/>
  </w:num>
  <w:num w:numId="7">
    <w:abstractNumId w:val="103"/>
  </w:num>
  <w:num w:numId="8">
    <w:abstractNumId w:val="77"/>
  </w:num>
  <w:num w:numId="9">
    <w:abstractNumId w:val="112"/>
  </w:num>
  <w:num w:numId="10">
    <w:abstractNumId w:val="28"/>
  </w:num>
  <w:num w:numId="11">
    <w:abstractNumId w:val="148"/>
  </w:num>
  <w:num w:numId="12">
    <w:abstractNumId w:val="12"/>
  </w:num>
  <w:num w:numId="13">
    <w:abstractNumId w:val="47"/>
  </w:num>
  <w:num w:numId="14">
    <w:abstractNumId w:val="149"/>
  </w:num>
  <w:num w:numId="15">
    <w:abstractNumId w:val="3"/>
  </w:num>
  <w:num w:numId="16">
    <w:abstractNumId w:val="37"/>
  </w:num>
  <w:num w:numId="17">
    <w:abstractNumId w:val="129"/>
  </w:num>
  <w:num w:numId="18">
    <w:abstractNumId w:val="43"/>
  </w:num>
  <w:num w:numId="19">
    <w:abstractNumId w:val="145"/>
  </w:num>
  <w:num w:numId="20">
    <w:abstractNumId w:val="104"/>
  </w:num>
  <w:num w:numId="21">
    <w:abstractNumId w:val="2"/>
  </w:num>
  <w:num w:numId="22">
    <w:abstractNumId w:val="64"/>
  </w:num>
  <w:num w:numId="23">
    <w:abstractNumId w:val="62"/>
  </w:num>
  <w:num w:numId="24">
    <w:abstractNumId w:val="117"/>
  </w:num>
  <w:num w:numId="25">
    <w:abstractNumId w:val="55"/>
  </w:num>
  <w:num w:numId="26">
    <w:abstractNumId w:val="114"/>
  </w:num>
  <w:num w:numId="27">
    <w:abstractNumId w:val="54"/>
  </w:num>
  <w:num w:numId="28">
    <w:abstractNumId w:val="144"/>
  </w:num>
  <w:num w:numId="29">
    <w:abstractNumId w:val="38"/>
  </w:num>
  <w:num w:numId="30">
    <w:abstractNumId w:val="93"/>
  </w:num>
  <w:num w:numId="31">
    <w:abstractNumId w:val="137"/>
  </w:num>
  <w:num w:numId="32">
    <w:abstractNumId w:val="185"/>
  </w:num>
  <w:num w:numId="33">
    <w:abstractNumId w:val="50"/>
  </w:num>
  <w:num w:numId="34">
    <w:abstractNumId w:val="142"/>
  </w:num>
  <w:num w:numId="35">
    <w:abstractNumId w:val="8"/>
  </w:num>
  <w:num w:numId="36">
    <w:abstractNumId w:val="36"/>
  </w:num>
  <w:num w:numId="37">
    <w:abstractNumId w:val="51"/>
  </w:num>
  <w:num w:numId="38">
    <w:abstractNumId w:val="71"/>
  </w:num>
  <w:num w:numId="39">
    <w:abstractNumId w:val="159"/>
  </w:num>
  <w:num w:numId="40">
    <w:abstractNumId w:val="155"/>
  </w:num>
  <w:num w:numId="41">
    <w:abstractNumId w:val="122"/>
  </w:num>
  <w:num w:numId="42">
    <w:abstractNumId w:val="73"/>
  </w:num>
  <w:num w:numId="43">
    <w:abstractNumId w:val="21"/>
  </w:num>
  <w:num w:numId="44">
    <w:abstractNumId w:val="65"/>
  </w:num>
  <w:num w:numId="45">
    <w:abstractNumId w:val="56"/>
  </w:num>
  <w:num w:numId="46">
    <w:abstractNumId w:val="81"/>
  </w:num>
  <w:num w:numId="47">
    <w:abstractNumId w:val="156"/>
  </w:num>
  <w:num w:numId="48">
    <w:abstractNumId w:val="115"/>
  </w:num>
  <w:num w:numId="49">
    <w:abstractNumId w:val="90"/>
  </w:num>
  <w:num w:numId="50">
    <w:abstractNumId w:val="69"/>
  </w:num>
  <w:num w:numId="51">
    <w:abstractNumId w:val="187"/>
  </w:num>
  <w:num w:numId="52">
    <w:abstractNumId w:val="0"/>
  </w:num>
  <w:num w:numId="53">
    <w:abstractNumId w:val="41"/>
  </w:num>
  <w:num w:numId="54">
    <w:abstractNumId w:val="87"/>
  </w:num>
  <w:num w:numId="55">
    <w:abstractNumId w:val="111"/>
  </w:num>
  <w:num w:numId="56">
    <w:abstractNumId w:val="130"/>
  </w:num>
  <w:num w:numId="57">
    <w:abstractNumId w:val="116"/>
  </w:num>
  <w:num w:numId="58">
    <w:abstractNumId w:val="7"/>
  </w:num>
  <w:num w:numId="59">
    <w:abstractNumId w:val="57"/>
  </w:num>
  <w:num w:numId="60">
    <w:abstractNumId w:val="74"/>
  </w:num>
  <w:num w:numId="61">
    <w:abstractNumId w:val="147"/>
  </w:num>
  <w:num w:numId="62">
    <w:abstractNumId w:val="86"/>
  </w:num>
  <w:num w:numId="63">
    <w:abstractNumId w:val="1"/>
  </w:num>
  <w:num w:numId="64">
    <w:abstractNumId w:val="108"/>
  </w:num>
  <w:num w:numId="65">
    <w:abstractNumId w:val="33"/>
  </w:num>
  <w:num w:numId="66">
    <w:abstractNumId w:val="152"/>
  </w:num>
  <w:num w:numId="67">
    <w:abstractNumId w:val="126"/>
  </w:num>
  <w:num w:numId="68">
    <w:abstractNumId w:val="135"/>
  </w:num>
  <w:num w:numId="69">
    <w:abstractNumId w:val="175"/>
  </w:num>
  <w:num w:numId="70">
    <w:abstractNumId w:val="97"/>
  </w:num>
  <w:num w:numId="71">
    <w:abstractNumId w:val="39"/>
  </w:num>
  <w:num w:numId="72">
    <w:abstractNumId w:val="141"/>
  </w:num>
  <w:num w:numId="73">
    <w:abstractNumId w:val="150"/>
  </w:num>
  <w:num w:numId="74">
    <w:abstractNumId w:val="17"/>
  </w:num>
  <w:num w:numId="75">
    <w:abstractNumId w:val="110"/>
  </w:num>
  <w:num w:numId="76">
    <w:abstractNumId w:val="83"/>
  </w:num>
  <w:num w:numId="77">
    <w:abstractNumId w:val="143"/>
  </w:num>
  <w:num w:numId="78">
    <w:abstractNumId w:val="23"/>
  </w:num>
  <w:num w:numId="79">
    <w:abstractNumId w:val="11"/>
  </w:num>
  <w:num w:numId="80">
    <w:abstractNumId w:val="180"/>
  </w:num>
  <w:num w:numId="81">
    <w:abstractNumId w:val="127"/>
  </w:num>
  <w:num w:numId="82">
    <w:abstractNumId w:val="75"/>
  </w:num>
  <w:num w:numId="83">
    <w:abstractNumId w:val="40"/>
  </w:num>
  <w:num w:numId="84">
    <w:abstractNumId w:val="177"/>
  </w:num>
  <w:num w:numId="85">
    <w:abstractNumId w:val="179"/>
  </w:num>
  <w:num w:numId="86">
    <w:abstractNumId w:val="182"/>
  </w:num>
  <w:num w:numId="87">
    <w:abstractNumId w:val="18"/>
  </w:num>
  <w:num w:numId="88">
    <w:abstractNumId w:val="138"/>
  </w:num>
  <w:num w:numId="89">
    <w:abstractNumId w:val="53"/>
  </w:num>
  <w:num w:numId="90">
    <w:abstractNumId w:val="178"/>
  </w:num>
  <w:num w:numId="91">
    <w:abstractNumId w:val="154"/>
  </w:num>
  <w:num w:numId="92">
    <w:abstractNumId w:val="67"/>
  </w:num>
  <w:num w:numId="93">
    <w:abstractNumId w:val="169"/>
  </w:num>
  <w:num w:numId="94">
    <w:abstractNumId w:val="132"/>
  </w:num>
  <w:num w:numId="95">
    <w:abstractNumId w:val="5"/>
  </w:num>
  <w:num w:numId="96">
    <w:abstractNumId w:val="162"/>
  </w:num>
  <w:num w:numId="97">
    <w:abstractNumId w:val="19"/>
  </w:num>
  <w:num w:numId="98">
    <w:abstractNumId w:val="99"/>
  </w:num>
  <w:num w:numId="99">
    <w:abstractNumId w:val="9"/>
  </w:num>
  <w:num w:numId="100">
    <w:abstractNumId w:val="61"/>
  </w:num>
  <w:num w:numId="101">
    <w:abstractNumId w:val="85"/>
  </w:num>
  <w:num w:numId="102">
    <w:abstractNumId w:val="92"/>
  </w:num>
  <w:num w:numId="103">
    <w:abstractNumId w:val="119"/>
  </w:num>
  <w:num w:numId="104">
    <w:abstractNumId w:val="136"/>
  </w:num>
  <w:num w:numId="105">
    <w:abstractNumId w:val="15"/>
  </w:num>
  <w:num w:numId="106">
    <w:abstractNumId w:val="29"/>
  </w:num>
  <w:num w:numId="107">
    <w:abstractNumId w:val="184"/>
  </w:num>
  <w:num w:numId="108">
    <w:abstractNumId w:val="89"/>
  </w:num>
  <w:num w:numId="109">
    <w:abstractNumId w:val="171"/>
  </w:num>
  <w:num w:numId="110">
    <w:abstractNumId w:val="105"/>
  </w:num>
  <w:num w:numId="111">
    <w:abstractNumId w:val="166"/>
  </w:num>
  <w:num w:numId="112">
    <w:abstractNumId w:val="42"/>
  </w:num>
  <w:num w:numId="113">
    <w:abstractNumId w:val="94"/>
  </w:num>
  <w:num w:numId="114">
    <w:abstractNumId w:val="48"/>
  </w:num>
  <w:num w:numId="115">
    <w:abstractNumId w:val="181"/>
  </w:num>
  <w:num w:numId="116">
    <w:abstractNumId w:val="82"/>
  </w:num>
  <w:num w:numId="117">
    <w:abstractNumId w:val="80"/>
  </w:num>
  <w:num w:numId="118">
    <w:abstractNumId w:val="123"/>
  </w:num>
  <w:num w:numId="119">
    <w:abstractNumId w:val="72"/>
  </w:num>
  <w:num w:numId="120">
    <w:abstractNumId w:val="45"/>
  </w:num>
  <w:num w:numId="121">
    <w:abstractNumId w:val="60"/>
  </w:num>
  <w:num w:numId="122">
    <w:abstractNumId w:val="95"/>
  </w:num>
  <w:num w:numId="123">
    <w:abstractNumId w:val="44"/>
  </w:num>
  <w:num w:numId="124">
    <w:abstractNumId w:val="66"/>
  </w:num>
  <w:num w:numId="125">
    <w:abstractNumId w:val="167"/>
  </w:num>
  <w:num w:numId="126">
    <w:abstractNumId w:val="63"/>
  </w:num>
  <w:num w:numId="127">
    <w:abstractNumId w:val="16"/>
  </w:num>
  <w:num w:numId="128">
    <w:abstractNumId w:val="34"/>
  </w:num>
  <w:num w:numId="129">
    <w:abstractNumId w:val="125"/>
  </w:num>
  <w:num w:numId="130">
    <w:abstractNumId w:val="151"/>
  </w:num>
  <w:num w:numId="131">
    <w:abstractNumId w:val="106"/>
  </w:num>
  <w:num w:numId="132">
    <w:abstractNumId w:val="109"/>
  </w:num>
  <w:num w:numId="133">
    <w:abstractNumId w:val="161"/>
  </w:num>
  <w:num w:numId="134">
    <w:abstractNumId w:val="20"/>
  </w:num>
  <w:num w:numId="135">
    <w:abstractNumId w:val="30"/>
  </w:num>
  <w:num w:numId="136">
    <w:abstractNumId w:val="170"/>
  </w:num>
  <w:num w:numId="137">
    <w:abstractNumId w:val="70"/>
  </w:num>
  <w:num w:numId="138">
    <w:abstractNumId w:val="52"/>
  </w:num>
  <w:num w:numId="139">
    <w:abstractNumId w:val="84"/>
  </w:num>
  <w:num w:numId="140">
    <w:abstractNumId w:val="78"/>
  </w:num>
  <w:num w:numId="141">
    <w:abstractNumId w:val="79"/>
  </w:num>
  <w:num w:numId="142">
    <w:abstractNumId w:val="13"/>
  </w:num>
  <w:num w:numId="143">
    <w:abstractNumId w:val="134"/>
  </w:num>
  <w:num w:numId="144">
    <w:abstractNumId w:val="100"/>
  </w:num>
  <w:num w:numId="145">
    <w:abstractNumId w:val="102"/>
  </w:num>
  <w:num w:numId="146">
    <w:abstractNumId w:val="133"/>
  </w:num>
  <w:num w:numId="147">
    <w:abstractNumId w:val="164"/>
  </w:num>
  <w:num w:numId="148">
    <w:abstractNumId w:val="31"/>
  </w:num>
  <w:num w:numId="149">
    <w:abstractNumId w:val="24"/>
  </w:num>
  <w:num w:numId="150">
    <w:abstractNumId w:val="35"/>
  </w:num>
  <w:num w:numId="151">
    <w:abstractNumId w:val="163"/>
  </w:num>
  <w:num w:numId="152">
    <w:abstractNumId w:val="176"/>
  </w:num>
  <w:num w:numId="153">
    <w:abstractNumId w:val="173"/>
  </w:num>
  <w:num w:numId="154">
    <w:abstractNumId w:val="128"/>
  </w:num>
  <w:num w:numId="155">
    <w:abstractNumId w:val="153"/>
  </w:num>
  <w:num w:numId="156">
    <w:abstractNumId w:val="160"/>
  </w:num>
  <w:num w:numId="157">
    <w:abstractNumId w:val="27"/>
  </w:num>
  <w:num w:numId="158">
    <w:abstractNumId w:val="157"/>
  </w:num>
  <w:num w:numId="159">
    <w:abstractNumId w:val="96"/>
  </w:num>
  <w:num w:numId="160">
    <w:abstractNumId w:val="124"/>
  </w:num>
  <w:num w:numId="161">
    <w:abstractNumId w:val="172"/>
  </w:num>
  <w:num w:numId="162">
    <w:abstractNumId w:val="139"/>
  </w:num>
  <w:num w:numId="163">
    <w:abstractNumId w:val="113"/>
  </w:num>
  <w:num w:numId="164">
    <w:abstractNumId w:val="168"/>
  </w:num>
  <w:num w:numId="165">
    <w:abstractNumId w:val="146"/>
  </w:num>
  <w:num w:numId="166">
    <w:abstractNumId w:val="118"/>
  </w:num>
  <w:num w:numId="167">
    <w:abstractNumId w:val="188"/>
  </w:num>
  <w:num w:numId="168">
    <w:abstractNumId w:val="121"/>
  </w:num>
  <w:num w:numId="169">
    <w:abstractNumId w:val="140"/>
  </w:num>
  <w:num w:numId="170">
    <w:abstractNumId w:val="186"/>
  </w:num>
  <w:num w:numId="171">
    <w:abstractNumId w:val="25"/>
  </w:num>
  <w:num w:numId="172">
    <w:abstractNumId w:val="101"/>
  </w:num>
  <w:num w:numId="173">
    <w:abstractNumId w:val="6"/>
  </w:num>
  <w:num w:numId="174">
    <w:abstractNumId w:val="107"/>
  </w:num>
  <w:num w:numId="175">
    <w:abstractNumId w:val="183"/>
  </w:num>
  <w:num w:numId="176">
    <w:abstractNumId w:val="59"/>
  </w:num>
  <w:num w:numId="177">
    <w:abstractNumId w:val="91"/>
  </w:num>
  <w:num w:numId="178">
    <w:abstractNumId w:val="10"/>
  </w:num>
  <w:num w:numId="179">
    <w:abstractNumId w:val="120"/>
  </w:num>
  <w:num w:numId="180">
    <w:abstractNumId w:val="4"/>
  </w:num>
  <w:num w:numId="181">
    <w:abstractNumId w:val="26"/>
  </w:num>
  <w:num w:numId="182">
    <w:abstractNumId w:val="46"/>
  </w:num>
  <w:num w:numId="183">
    <w:abstractNumId w:val="49"/>
  </w:num>
  <w:num w:numId="184">
    <w:abstractNumId w:val="165"/>
  </w:num>
  <w:num w:numId="185">
    <w:abstractNumId w:val="32"/>
  </w:num>
  <w:num w:numId="186">
    <w:abstractNumId w:val="14"/>
  </w:num>
  <w:num w:numId="187">
    <w:abstractNumId w:val="22"/>
  </w:num>
  <w:num w:numId="188">
    <w:abstractNumId w:val="174"/>
  </w:num>
  <w:num w:numId="189">
    <w:abstractNumId w:val="8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32386"/>
    <w:rsid w:val="00432386"/>
    <w:rsid w:val="00BE015C"/>
    <w:rsid w:val="00BE5F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rPr>
  </w:style>
  <w:style w:type="paragraph" w:styleId="Titre1">
    <w:name w:val="heading 1"/>
    <w:basedOn w:val="Normal"/>
    <w:uiPriority w:val="1"/>
    <w:qFormat/>
    <w:pPr>
      <w:ind w:left="160"/>
      <w:outlineLvl w:val="0"/>
    </w:pPr>
    <w:rPr>
      <w:b/>
      <w:bCs/>
      <w:sz w:val="24"/>
      <w:szCs w:val="24"/>
    </w:rPr>
  </w:style>
  <w:style w:type="paragraph" w:styleId="Titre2">
    <w:name w:val="heading 2"/>
    <w:basedOn w:val="Normal"/>
    <w:uiPriority w:val="1"/>
    <w:qFormat/>
    <w:pPr>
      <w:ind w:left="1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8"/>
      <w:ind w:left="160"/>
    </w:pPr>
  </w:style>
  <w:style w:type="paragraph" w:styleId="TM2">
    <w:name w:val="toc 2"/>
    <w:basedOn w:val="Normal"/>
    <w:uiPriority w:val="1"/>
    <w:qFormat/>
    <w:pPr>
      <w:spacing w:before="138"/>
      <w:ind w:left="381"/>
    </w:pPr>
  </w:style>
  <w:style w:type="paragraph" w:styleId="Corpsdetexte">
    <w:name w:val="Body Text"/>
    <w:basedOn w:val="Normal"/>
    <w:uiPriority w:val="1"/>
    <w:qFormat/>
    <w:pPr>
      <w:spacing w:before="37"/>
      <w:ind w:left="160"/>
    </w:pPr>
  </w:style>
  <w:style w:type="paragraph" w:styleId="Titre">
    <w:name w:val="Title"/>
    <w:basedOn w:val="Normal"/>
    <w:uiPriority w:val="1"/>
    <w:qFormat/>
    <w:pPr>
      <w:spacing w:before="56"/>
      <w:ind w:left="160" w:right="545"/>
    </w:pPr>
    <w:rPr>
      <w:b/>
      <w:bCs/>
      <w:sz w:val="44"/>
      <w:szCs w:val="44"/>
    </w:rPr>
  </w:style>
  <w:style w:type="paragraph" w:styleId="Paragraphedeliste">
    <w:name w:val="List Paragraph"/>
    <w:basedOn w:val="Normal"/>
    <w:uiPriority w:val="1"/>
    <w:qFormat/>
    <w:pPr>
      <w:spacing w:before="37"/>
      <w:ind w:left="712" w:hanging="553"/>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E5F99"/>
    <w:rPr>
      <w:rFonts w:ascii="Tahoma" w:hAnsi="Tahoma" w:cs="Tahoma"/>
      <w:sz w:val="16"/>
      <w:szCs w:val="16"/>
    </w:rPr>
  </w:style>
  <w:style w:type="character" w:customStyle="1" w:styleId="TextedebullesCar">
    <w:name w:val="Texte de bulles Car"/>
    <w:basedOn w:val="Policepardfaut"/>
    <w:link w:val="Textedebulles"/>
    <w:uiPriority w:val="99"/>
    <w:semiHidden/>
    <w:rsid w:val="00BE5F99"/>
    <w:rPr>
      <w:rFonts w:ascii="Tahoma" w:eastAsia="Arial"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rPr>
  </w:style>
  <w:style w:type="paragraph" w:styleId="Titre1">
    <w:name w:val="heading 1"/>
    <w:basedOn w:val="Normal"/>
    <w:uiPriority w:val="1"/>
    <w:qFormat/>
    <w:pPr>
      <w:ind w:left="160"/>
      <w:outlineLvl w:val="0"/>
    </w:pPr>
    <w:rPr>
      <w:b/>
      <w:bCs/>
      <w:sz w:val="24"/>
      <w:szCs w:val="24"/>
    </w:rPr>
  </w:style>
  <w:style w:type="paragraph" w:styleId="Titre2">
    <w:name w:val="heading 2"/>
    <w:basedOn w:val="Normal"/>
    <w:uiPriority w:val="1"/>
    <w:qFormat/>
    <w:pPr>
      <w:ind w:left="1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8"/>
      <w:ind w:left="160"/>
    </w:pPr>
  </w:style>
  <w:style w:type="paragraph" w:styleId="TM2">
    <w:name w:val="toc 2"/>
    <w:basedOn w:val="Normal"/>
    <w:uiPriority w:val="1"/>
    <w:qFormat/>
    <w:pPr>
      <w:spacing w:before="138"/>
      <w:ind w:left="381"/>
    </w:pPr>
  </w:style>
  <w:style w:type="paragraph" w:styleId="Corpsdetexte">
    <w:name w:val="Body Text"/>
    <w:basedOn w:val="Normal"/>
    <w:uiPriority w:val="1"/>
    <w:qFormat/>
    <w:pPr>
      <w:spacing w:before="37"/>
      <w:ind w:left="160"/>
    </w:pPr>
  </w:style>
  <w:style w:type="paragraph" w:styleId="Titre">
    <w:name w:val="Title"/>
    <w:basedOn w:val="Normal"/>
    <w:uiPriority w:val="1"/>
    <w:qFormat/>
    <w:pPr>
      <w:spacing w:before="56"/>
      <w:ind w:left="160" w:right="545"/>
    </w:pPr>
    <w:rPr>
      <w:b/>
      <w:bCs/>
      <w:sz w:val="44"/>
      <w:szCs w:val="44"/>
    </w:rPr>
  </w:style>
  <w:style w:type="paragraph" w:styleId="Paragraphedeliste">
    <w:name w:val="List Paragraph"/>
    <w:basedOn w:val="Normal"/>
    <w:uiPriority w:val="1"/>
    <w:qFormat/>
    <w:pPr>
      <w:spacing w:before="37"/>
      <w:ind w:left="712" w:hanging="553"/>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E5F99"/>
    <w:rPr>
      <w:rFonts w:ascii="Tahoma" w:hAnsi="Tahoma" w:cs="Tahoma"/>
      <w:sz w:val="16"/>
      <w:szCs w:val="16"/>
    </w:rPr>
  </w:style>
  <w:style w:type="character" w:customStyle="1" w:styleId="TextedebullesCar">
    <w:name w:val="Texte de bulles Car"/>
    <w:basedOn w:val="Policepardfaut"/>
    <w:link w:val="Textedebulles"/>
    <w:uiPriority w:val="99"/>
    <w:semiHidden/>
    <w:rsid w:val="00BE5F99"/>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word/theme/theme11.xml" Id="rId324" /><Relationship Type="http://schemas.openxmlformats.org/officeDocument/2006/relationships/webSettings" Target="/word/webSettings.xml" Id="rId5" /><Relationship Type="http://schemas.openxmlformats.org/officeDocument/2006/relationships/footer" Target="/word/footer31.xml" Id="rId304" /><Relationship Type="http://schemas.openxmlformats.org/officeDocument/2006/relationships/footnotes" Target="/word/footnotes.xml" Id="rId6" /><Relationship Type="http://schemas.openxmlformats.org/officeDocument/2006/relationships/footer" Target="/word/footer42.xml" Id="rId305" /><Relationship Type="http://schemas.openxmlformats.org/officeDocument/2006/relationships/endnotes" Target="/word/endnotes.xml" Id="rId7" /><Relationship Type="http://schemas.openxmlformats.org/officeDocument/2006/relationships/footer" Target="/word/footer53.xml" Id="rId306" /><Relationship Type="http://schemas.openxmlformats.org/officeDocument/2006/relationships/footer" Target="/word/footer14.xml" Id="rId14" /><Relationship Type="http://schemas.microsoft.com/office/2007/relationships/stylesWithEffects" Target="/word/stylesWithEffects.xml" Id="rId3" /><Relationship Type="http://schemas.openxmlformats.org/officeDocument/2006/relationships/image" Target="/word/media/image3.png" Id="rId256" /><Relationship Type="http://schemas.openxmlformats.org/officeDocument/2006/relationships/fontTable" Target="/word/fontTable.xml" Id="rId323" /><Relationship Type="http://schemas.openxmlformats.org/officeDocument/2006/relationships/footer" Target="/word/footer25.xml" Id="rId262" /><Relationship Type="http://schemas.openxmlformats.org/officeDocument/2006/relationships/settings" Target="/word/settings.xml" Id="rId4" /><Relationship Type="http://schemas.openxmlformats.org/officeDocument/2006/relationships/numbering" Target="/word/numbering.xml" Id="rId1" /><Relationship Type="http://schemas.openxmlformats.org/officeDocument/2006/relationships/image" Target="/word/media/image12.png" Id="rId254" /><Relationship Type="http://schemas.openxmlformats.org/officeDocument/2006/relationships/styles" Target="/word/styles.xml" Id="rId2" /><Relationship Type="http://schemas.openxmlformats.org/officeDocument/2006/relationships/image" Target="/word/media/image23.png" Id="rId255" /><Relationship Type="http://schemas.openxmlformats.org/officeDocument/2006/relationships/hyperlink" Target="https://www.sciencedirect.com/science/article/abs/pii/S1743609515336171?via%3Dihub" TargetMode="External" Id="rId117" /><Relationship Type="http://schemas.openxmlformats.org/officeDocument/2006/relationships/hyperlink" Target="https://europepmc.org/article/med/27845262" TargetMode="External" Id="rId299" /><Relationship Type="http://schemas.openxmlformats.org/officeDocument/2006/relationships/hyperlink" Target="https://europepmc.org/article/med/27845262" TargetMode="External" Id="rId303" /><Relationship Type="http://schemas.openxmlformats.org/officeDocument/2006/relationships/hyperlink" Target="https://link.springer.com/article/10.1007/s10508-020-01660-8" TargetMode="External" Id="rId21" /><Relationship Type="http://schemas.openxmlformats.org/officeDocument/2006/relationships/hyperlink" Target="https://www.sciencedirect.com/science/article/abs/pii/S174360951534443X" TargetMode="External" Id="rId42" /><Relationship Type="http://schemas.openxmlformats.org/officeDocument/2006/relationships/hyperlink" Target="https://www.sciencedirect.com/science/article/abs/pii/S174360951534443X" TargetMode="External" Id="rId63" /><Relationship Type="http://schemas.openxmlformats.org/officeDocument/2006/relationships/hyperlink" Target="https://www.sciencedirect.com/science/article/abs/pii/S1743609515336171?via%3Dihub" TargetMode="External" Id="rId84" /><Relationship Type="http://schemas.openxmlformats.org/officeDocument/2006/relationships/hyperlink" Target="https://www.sciencedirect.com/science/article/abs/pii/S174360951534443X" TargetMode="External" Id="rId138" /><Relationship Type="http://schemas.openxmlformats.org/officeDocument/2006/relationships/hyperlink" Target="https://www.sciencedirect.com/science/article/abs/pii/S8756328216303337?via%3Dihub" TargetMode="External" Id="rId159" /><Relationship Type="http://schemas.openxmlformats.org/officeDocument/2006/relationships/hyperlink" Target="https://www.sciencedirect.com/science/article/abs/pii/S1743609515336171?via%3Dihub" TargetMode="External" Id="rId170" /><Relationship Type="http://schemas.openxmlformats.org/officeDocument/2006/relationships/hyperlink" Target="https://www.sciencedirect.com/science/article/abs/pii/S1743609515336171?via%3Dihub" TargetMode="External" Id="rId191" /><Relationship Type="http://schemas.openxmlformats.org/officeDocument/2006/relationships/hyperlink" Target="https://www.sciencedirect.com/science/article/abs/pii/S0306453015000943?via%3Dihub" TargetMode="External" Id="rId205" /><Relationship Type="http://schemas.openxmlformats.org/officeDocument/2006/relationships/hyperlink" Target="https://www.sciencedirect.com/science/article/abs/pii/S1743609515336171?via%3Dihub" TargetMode="External" Id="rId226" /><Relationship Type="http://schemas.openxmlformats.org/officeDocument/2006/relationships/hyperlink" Target="https://www.sciencedirect.com/science/article/abs/pii/S1743609515336171?via%3Dihub" TargetMode="External" Id="rId247" /><Relationship Type="http://schemas.openxmlformats.org/officeDocument/2006/relationships/hyperlink" Target="https://www.sciencedirect.com/science/article/abs/pii/S0022347613013644?via%3Dihub" TargetMode="External" Id="rId107" /><Relationship Type="http://schemas.openxmlformats.org/officeDocument/2006/relationships/hyperlink" Target="https://www.sciencedirect.com/science/article/abs/pii/S1743609515336171?via%3Dihub" TargetMode="External" Id="rId268" /><Relationship Type="http://schemas.openxmlformats.org/officeDocument/2006/relationships/hyperlink" Target="https://www.sciencedirect.com/science/article/abs/pii/S1743609516302193?via%3Dihub" TargetMode="External" Id="rId289" /><Relationship Type="http://schemas.openxmlformats.org/officeDocument/2006/relationships/hyperlink" Target="https://www.gov.uk/government/organisations/medicines-and-healthcare-products-regulatory-agency" TargetMode="External" Id="rId11" /><Relationship Type="http://schemas.openxmlformats.org/officeDocument/2006/relationships/hyperlink" Target="https://www.who.int/health-topics/gender" TargetMode="External" Id="rId32" /><Relationship Type="http://schemas.openxmlformats.org/officeDocument/2006/relationships/hyperlink" Target="https://www.sciencedirect.com/science/article/abs/pii/S1743609515336171?via%3Dihub" TargetMode="External" Id="rId53" /><Relationship Type="http://schemas.openxmlformats.org/officeDocument/2006/relationships/hyperlink" Target="https://academic.oup.com/jcem/article/100/2/E270/2814818" TargetMode="External" Id="rId74" /><Relationship Type="http://schemas.openxmlformats.org/officeDocument/2006/relationships/hyperlink" Target="https://www.sciencedirect.com/science/article/abs/pii/S174360951534443X" TargetMode="External" Id="rId128" /><Relationship Type="http://schemas.openxmlformats.org/officeDocument/2006/relationships/hyperlink" Target="https://academic.oup.com/jcem/article/100/2/E270/2814818" TargetMode="External" Id="rId149" /><Relationship Type="http://schemas.openxmlformats.org/officeDocument/2006/relationships/hyperlink" Target="https://doi.org/10.1016/j.psyneuen.2015.03.007" TargetMode="External" Id="rId314" /><Relationship Type="http://schemas.openxmlformats.org/officeDocument/2006/relationships/hyperlink" Target="https://www.sciencedirect.com/science/article/abs/pii/S8756328216303337?via%3Dihub" TargetMode="External" Id="rId95" /><Relationship Type="http://schemas.openxmlformats.org/officeDocument/2006/relationships/hyperlink" Target="https://www.degruyter.com/view/journals/jpem/32/10/article-p1077.xml" TargetMode="External" Id="rId160" /><Relationship Type="http://schemas.openxmlformats.org/officeDocument/2006/relationships/hyperlink" Target="https://www.sciencedirect.com/science/article/abs/pii/S8756328216303337?via%3Dihub" TargetMode="External" Id="rId181" /><Relationship Type="http://schemas.openxmlformats.org/officeDocument/2006/relationships/hyperlink" Target="https://www.sciencedirect.com/science/article/abs/pii/S0022347613013644?via%3Dihub" TargetMode="External" Id="rId216" /><Relationship Type="http://schemas.openxmlformats.org/officeDocument/2006/relationships/hyperlink" Target="https://www.sciencedirect.com/science/article/abs/pii/S1743609515336171?via%3Dihub" TargetMode="External" Id="rId237" /><Relationship Type="http://schemas.openxmlformats.org/officeDocument/2006/relationships/hyperlink" Target="https://link.springer.com/article/10.1007/s10508-020-01660-8" TargetMode="External" Id="rId258" /><Relationship Type="http://schemas.openxmlformats.org/officeDocument/2006/relationships/hyperlink" Target="https://www.sciencedirect.com/science/article/abs/pii/S0022347613013644" TargetMode="External" Id="rId279" /><Relationship Type="http://schemas.openxmlformats.org/officeDocument/2006/relationships/hyperlink" Target="https://www.degruyter.com/view/journals/jpem/32/10/article-p1077.xml" TargetMode="External" Id="rId22" /><Relationship Type="http://schemas.openxmlformats.org/officeDocument/2006/relationships/hyperlink" Target="https://link.springer.com/article/10.1007/s10508-020-01660-8" TargetMode="External" Id="rId43" /><Relationship Type="http://schemas.openxmlformats.org/officeDocument/2006/relationships/hyperlink" Target="https://www.sciencedirect.com/science/article/abs/pii/S1743609515336171?via%3Dihub" TargetMode="External" Id="rId64" /><Relationship Type="http://schemas.openxmlformats.org/officeDocument/2006/relationships/hyperlink" Target="https://www.sciencedirect.com/science/article/abs/pii/S1743609515336171?via%3Dihub" TargetMode="External" Id="rId118" /><Relationship Type="http://schemas.openxmlformats.org/officeDocument/2006/relationships/hyperlink" Target="https://www.sciencedirect.com/science/article/abs/pii/S1743609515336171?via%3Dihub" TargetMode="External" Id="rId139" /><Relationship Type="http://schemas.openxmlformats.org/officeDocument/2006/relationships/hyperlink" Target="https://www.sciencedirect.com/science/article/abs/pii/S1743609516302193?via%3Dihub" TargetMode="External" Id="rId290" /><Relationship Type="http://schemas.openxmlformats.org/officeDocument/2006/relationships/hyperlink" Target="https://www.sciencedirect.com/science/article/abs/pii/S1743609516302193?via%3Dihub" TargetMode="External" Id="rId85" /><Relationship Type="http://schemas.openxmlformats.org/officeDocument/2006/relationships/hyperlink" Target="https://www.sciencedirect.com/science/article/abs/pii/S8756328216303337?via%3Dihub" TargetMode="External" Id="rId150" /><Relationship Type="http://schemas.openxmlformats.org/officeDocument/2006/relationships/hyperlink" Target="https://www.sciencedirect.com/science/article/abs/pii/S1743609515336171?via%3Dihub" TargetMode="External" Id="rId171" /><Relationship Type="http://schemas.openxmlformats.org/officeDocument/2006/relationships/hyperlink" Target="https://www.sciencedirect.com/science/article/abs/pii/S1743609515336171?via%3Dihub" TargetMode="External" Id="rId192" /><Relationship Type="http://schemas.openxmlformats.org/officeDocument/2006/relationships/hyperlink" Target="https://www.sciencedirect.com/science/article/abs/pii/S1743609516302193?via%3Dihub" TargetMode="External" Id="rId206" /><Relationship Type="http://schemas.openxmlformats.org/officeDocument/2006/relationships/hyperlink" Target="https://www.sciencedirect.com/science/article/abs/pii/S174360951534443X" TargetMode="External" Id="rId227" /><Relationship Type="http://schemas.openxmlformats.org/officeDocument/2006/relationships/hyperlink" Target="https://www.degruyter.com/view/journals/jpem/32/10/article-p1077.xml" TargetMode="External" Id="rId248" /><Relationship Type="http://schemas.openxmlformats.org/officeDocument/2006/relationships/hyperlink" Target="https://www.sciencedirect.com/science/article/abs/pii/S1743609515336171?via%3Dihub" TargetMode="External" Id="rId269" /><Relationship Type="http://schemas.openxmlformats.org/officeDocument/2006/relationships/hyperlink" Target="https://www.gov.uk/government/organisations/medicines-and-healthcare-products-regulatory-agency" TargetMode="External" Id="rId12" /><Relationship Type="http://schemas.openxmlformats.org/officeDocument/2006/relationships/hyperlink" Target="https://www.sciencedirect.com/science/article/abs/pii/S1743609515336171?via%3Dihub" TargetMode="External" Id="rId33" /><Relationship Type="http://schemas.openxmlformats.org/officeDocument/2006/relationships/hyperlink" Target="https://www.sciencedirect.com/science/article/abs/pii/S0022347613013644?via%3Dihub" TargetMode="External" Id="rId108" /><Relationship Type="http://schemas.openxmlformats.org/officeDocument/2006/relationships/hyperlink" Target="https://www.sciencedirect.com/science/article/abs/pii/S1743609515336171?via%3Dihub" TargetMode="External" Id="rId129" /><Relationship Type="http://schemas.openxmlformats.org/officeDocument/2006/relationships/hyperlink" Target="https://academic.oup.com/jcem/article/100/2/E270/2814818" TargetMode="External" Id="rId280" /><Relationship Type="http://schemas.openxmlformats.org/officeDocument/2006/relationships/hyperlink" Target="https://doi.org/10.1016/j.psyneuen.2015.03.007" TargetMode="External" Id="rId315" /><Relationship Type="http://schemas.openxmlformats.org/officeDocument/2006/relationships/hyperlink" Target="https://www.sciencedirect.com/science/article/abs/pii/S1743609515336171?via%3Dihub" TargetMode="External" Id="rId54" /><Relationship Type="http://schemas.openxmlformats.org/officeDocument/2006/relationships/hyperlink" Target="https://www.sciencedirect.com/science/article/abs/pii/S1743609516302193?via%3Dihub" TargetMode="External" Id="rId75" /><Relationship Type="http://schemas.openxmlformats.org/officeDocument/2006/relationships/hyperlink" Target="https://www.sciencedirect.com/science/article/abs/pii/S174360951534443X" TargetMode="External" Id="rId96" /><Relationship Type="http://schemas.openxmlformats.org/officeDocument/2006/relationships/hyperlink" Target="https://www.sciencedirect.com/science/article/abs/pii/S0022347613013644?via%3Dihub" TargetMode="External" Id="rId140" /><Relationship Type="http://schemas.openxmlformats.org/officeDocument/2006/relationships/hyperlink" Target="https://academic.oup.com/jcem/article/100/2/E270/2814818" TargetMode="External" Id="rId161" /><Relationship Type="http://schemas.openxmlformats.org/officeDocument/2006/relationships/hyperlink" Target="https://www.degruyter.com/view/journals/jpem/32/10/article-p1077.xml" TargetMode="External" Id="rId182" /><Relationship Type="http://schemas.openxmlformats.org/officeDocument/2006/relationships/hyperlink" Target="https://www.sciencedirect.com/science/article/abs/pii/S174360951534443X" TargetMode="External" Id="rId217" /><Relationship Type="http://schemas.openxmlformats.org/officeDocument/2006/relationships/hyperlink" Target="https://link.springer.com/article/10.1007/s10508-020-01660-8" TargetMode="External" Id="rId238" /><Relationship Type="http://schemas.openxmlformats.org/officeDocument/2006/relationships/hyperlink" Target="https://link.springer.com/article/10.1007/s10508-020-01660-8" TargetMode="External" Id="rId259" /><Relationship Type="http://schemas.openxmlformats.org/officeDocument/2006/relationships/hyperlink" Target="https://www.sciencedirect.com/science/article/abs/pii/S0022347613013644?via%3Dihub" TargetMode="External" Id="rId23" /><Relationship Type="http://schemas.openxmlformats.org/officeDocument/2006/relationships/hyperlink" Target="https://www.sciencedirect.com/science/article/abs/pii/S1743609515336171?via%3Dihub" TargetMode="External" Id="rId119" /><Relationship Type="http://schemas.openxmlformats.org/officeDocument/2006/relationships/hyperlink" Target="https://www.sciencedirect.com/science/article/abs/pii/S1743609515336171?via%3Dihub" TargetMode="External" Id="rId270" /><Relationship Type="http://schemas.openxmlformats.org/officeDocument/2006/relationships/hyperlink" Target="https://www.sciencedirect.com/science/article/abs/pii/S1743609516302193?via%3Dihub" TargetMode="External" Id="rId291" /><Relationship Type="http://schemas.openxmlformats.org/officeDocument/2006/relationships/hyperlink" Target="https://www.sciencedirect.com/science/article/abs/pii/S0022347613013644?via%3Dihub" TargetMode="External" Id="rId44" /><Relationship Type="http://schemas.openxmlformats.org/officeDocument/2006/relationships/hyperlink" Target="https://www.sciencedirect.com/science/article/abs/pii/S1743609515336171?via%3Dihub" TargetMode="External" Id="rId65" /><Relationship Type="http://schemas.openxmlformats.org/officeDocument/2006/relationships/hyperlink" Target="https://link.springer.com/article/10.1007/s10508-020-01660-8" TargetMode="External" Id="rId86" /><Relationship Type="http://schemas.openxmlformats.org/officeDocument/2006/relationships/hyperlink" Target="https://www.sciencedirect.com/science/article/abs/pii/S174360951534443X" TargetMode="External" Id="rId130" /><Relationship Type="http://schemas.openxmlformats.org/officeDocument/2006/relationships/hyperlink" Target="https://www.sciencedirect.com/science/article/abs/pii/S8756328216303337?via%3Dihub" TargetMode="External" Id="rId151" /><Relationship Type="http://schemas.openxmlformats.org/officeDocument/2006/relationships/hyperlink" Target="https://www.sciencedirect.com/science/article/abs/pii/S1743609515336171?via%3Dihub" TargetMode="External" Id="rId172" /><Relationship Type="http://schemas.openxmlformats.org/officeDocument/2006/relationships/hyperlink" Target="https://www.sciencedirect.com/science/article/abs/pii/S1743609515336171?via%3Dihub" TargetMode="External" Id="rId193" /><Relationship Type="http://schemas.openxmlformats.org/officeDocument/2006/relationships/hyperlink" Target="https://www.sciencedirect.com/science/article/abs/pii/S174360951534443X" TargetMode="External" Id="rId207" /><Relationship Type="http://schemas.openxmlformats.org/officeDocument/2006/relationships/hyperlink" Target="https://www.sciencedirect.com/science/article/abs/pii/S1743609515336171?via%3Dihub" TargetMode="External" Id="rId228" /><Relationship Type="http://schemas.openxmlformats.org/officeDocument/2006/relationships/hyperlink" Target="https://www.sciencedirect.com/science/article/abs/pii/S0022347613013644?via%3Dihub" TargetMode="External" Id="rId249" /><Relationship Type="http://schemas.openxmlformats.org/officeDocument/2006/relationships/hyperlink" Target="https://www.nice.org.uk/" TargetMode="External" Id="rId13" /><Relationship Type="http://schemas.openxmlformats.org/officeDocument/2006/relationships/hyperlink" Target="https://academic.oup.com/jcem/article/100/2/E270/2814818" TargetMode="External" Id="rId109" /><Relationship Type="http://schemas.openxmlformats.org/officeDocument/2006/relationships/hyperlink" Target="https://link.springer.com/article/10.1007/s10508-020-01660-8" TargetMode="External" Id="rId260" /><Relationship Type="http://schemas.openxmlformats.org/officeDocument/2006/relationships/hyperlink" Target="https://academic.oup.com/jcem/article/100/2/E270/2814818" TargetMode="External" Id="rId281" /><Relationship Type="http://schemas.openxmlformats.org/officeDocument/2006/relationships/hyperlink" Target="https://doi.org/10.1016/j.psyneuen.2015.03.007" TargetMode="External" Id="rId316" /><Relationship Type="http://schemas.openxmlformats.org/officeDocument/2006/relationships/hyperlink" Target="https://www.sciencedirect.com/science/article/abs/pii/S1743609515336171?via%3Dihub" TargetMode="External" Id="rId34" /><Relationship Type="http://schemas.openxmlformats.org/officeDocument/2006/relationships/hyperlink" Target="https://www.sciencedirect.com/science/article/abs/pii/S174360951534443X" TargetMode="External" Id="rId55" /><Relationship Type="http://schemas.openxmlformats.org/officeDocument/2006/relationships/hyperlink" Target="https://www.sciencedirect.com/science/article/abs/pii/S0306453015000943?via%3Dihub" TargetMode="External" Id="rId76" /><Relationship Type="http://schemas.openxmlformats.org/officeDocument/2006/relationships/hyperlink" Target="https://www.sciencedirect.com/science/article/abs/pii/S1743609515336171?via%3Dihub" TargetMode="External" Id="rId97" /><Relationship Type="http://schemas.openxmlformats.org/officeDocument/2006/relationships/hyperlink" Target="https://www.sciencedirect.com/science/article/abs/pii/S1743609515336171?via%3Dihub" TargetMode="External" Id="rId120" /><Relationship Type="http://schemas.openxmlformats.org/officeDocument/2006/relationships/hyperlink" Target="https://www.sciencedirect.com/science/article/abs/pii/S0306453015000943?via%3Dihub" TargetMode="External" Id="rId141" /><Relationship Type="http://schemas.openxmlformats.org/officeDocument/2006/relationships/hyperlink" Target="https://www.sciencedirect.com/science/article/abs/pii/S0306453015000943?via%3Dihub" TargetMode="External" Id="rId162" /><Relationship Type="http://schemas.openxmlformats.org/officeDocument/2006/relationships/hyperlink" Target="https://academic.oup.com/jcem/article/100/2/E270/2814818" TargetMode="External" Id="rId183" /><Relationship Type="http://schemas.openxmlformats.org/officeDocument/2006/relationships/hyperlink" Target="https://www.sciencedirect.com/science/article/abs/pii/S1743609515336171?via%3Dihub" TargetMode="External" Id="rId218" /><Relationship Type="http://schemas.openxmlformats.org/officeDocument/2006/relationships/hyperlink" Target="https://www.sciencedirect.com/science/article/abs/pii/S0022347613013644?via%3Dihub" TargetMode="External" Id="rId239" /><Relationship Type="http://schemas.openxmlformats.org/officeDocument/2006/relationships/hyperlink" Target="https://academic.oup.com/jcem/article/100/2/E270/2814818" TargetMode="External" Id="rId250" /><Relationship Type="http://schemas.openxmlformats.org/officeDocument/2006/relationships/hyperlink" Target="https://www.degruyter.com/view/journals/jpem/32/10/article-p1077.xml" TargetMode="External" Id="rId271" /><Relationship Type="http://schemas.openxmlformats.org/officeDocument/2006/relationships/hyperlink" Target="https://www.sciencedirect.com/science/article/abs/pii/S0306453015000943" TargetMode="External" Id="rId292" /><Relationship Type="http://schemas.openxmlformats.org/officeDocument/2006/relationships/hyperlink" Target="https://www.sciencedirect.com/science/article/abs/pii/S0022347613013644?via%3Dihub" TargetMode="External" Id="rId24" /><Relationship Type="http://schemas.openxmlformats.org/officeDocument/2006/relationships/hyperlink" Target="https://www.degruyter.com/view/journals/jpem/32/10/article-p1077.xml" TargetMode="External" Id="rId45" /><Relationship Type="http://schemas.openxmlformats.org/officeDocument/2006/relationships/hyperlink" Target="https://www.sciencedirect.com/science/article/abs/pii/S1743609515336171?via%3Dihub" TargetMode="External" Id="rId66" /><Relationship Type="http://schemas.openxmlformats.org/officeDocument/2006/relationships/hyperlink" Target="https://academic.oup.com/jcem/article/100/2/E270/2814818" TargetMode="External" Id="rId87" /><Relationship Type="http://schemas.openxmlformats.org/officeDocument/2006/relationships/hyperlink" Target="https://www.sciencedirect.com/science/article/abs/pii/S1743609516302193?via%3Dihub" TargetMode="External" Id="rId110" /><Relationship Type="http://schemas.openxmlformats.org/officeDocument/2006/relationships/hyperlink" Target="https://www.sciencedirect.com/science/article/abs/pii/S1743609515336171?via%3Dihub" TargetMode="External" Id="rId131" /><Relationship Type="http://schemas.openxmlformats.org/officeDocument/2006/relationships/hyperlink" Target="https://www.degruyter.com/view/journals/jpem/32/10/article-p1077.xml" TargetMode="External" Id="rId152" /><Relationship Type="http://schemas.openxmlformats.org/officeDocument/2006/relationships/hyperlink" Target="https://www.sciencedirect.com/science/article/abs/pii/S1743609515336171?via%3Dihub" TargetMode="External" Id="rId173" /><Relationship Type="http://schemas.openxmlformats.org/officeDocument/2006/relationships/hyperlink" Target="https://www.sciencedirect.com/science/article/abs/pii/S1743609515336171?via%3Dihub" TargetMode="External" Id="rId194" /><Relationship Type="http://schemas.openxmlformats.org/officeDocument/2006/relationships/hyperlink" Target="https://academic.oup.com/jcem/article/100/2/E270/2814818" TargetMode="External" Id="rId208" /><Relationship Type="http://schemas.openxmlformats.org/officeDocument/2006/relationships/hyperlink" Target="https://www.sciencedirect.com/science/article/abs/pii/S0306453015000943?via%3Dihub" TargetMode="External" Id="rId229" /><Relationship Type="http://schemas.openxmlformats.org/officeDocument/2006/relationships/hyperlink" Target="https://www.nice.org.uk/Glossary?letter=O" TargetMode="External" Id="rId19" /><Relationship Type="http://schemas.openxmlformats.org/officeDocument/2006/relationships/hyperlink" Target="https://www.sciencedirect.com/science/article/abs/pii/S1743609515336171?via%3Dihub" TargetMode="External" Id="rId224" /><Relationship Type="http://schemas.openxmlformats.org/officeDocument/2006/relationships/hyperlink" Target="https://www.degruyter.com/view/journals/jpem/32/10/article-p1077.xml" TargetMode="External" Id="rId240" /><Relationship Type="http://schemas.openxmlformats.org/officeDocument/2006/relationships/hyperlink" Target="https://www.sciencedirect.com/science/article/abs/pii/S174360951534443X" TargetMode="External" Id="rId245" /><Relationship Type="http://schemas.openxmlformats.org/officeDocument/2006/relationships/hyperlink" Target="https://link.springer.com/article/10.1007/s10508-020-01660-8" TargetMode="External" Id="rId261" /><Relationship Type="http://schemas.openxmlformats.org/officeDocument/2006/relationships/hyperlink" Target="https://www.sciencedirect.com/science/article/abs/pii/S174360951534443X?via%3Dihub" TargetMode="External" Id="rId266" /><Relationship Type="http://schemas.openxmlformats.org/officeDocument/2006/relationships/hyperlink" Target="https://www.sciencedirect.com/science/article/abs/pii/S1743609516302193?via%3Dihub" TargetMode="External" Id="rId287" /><Relationship Type="http://schemas.openxmlformats.org/officeDocument/2006/relationships/hyperlink" Target="https://www.sciencedirect.com/science/article/abs/pii/S0306453015000943?via%3Dihub" TargetMode="External" Id="rId30" /><Relationship Type="http://schemas.openxmlformats.org/officeDocument/2006/relationships/hyperlink" Target="https://www.sciencedirect.com/science/article/abs/pii/S1743609515336171?via%3Dihub" TargetMode="External" Id="rId35" /><Relationship Type="http://schemas.openxmlformats.org/officeDocument/2006/relationships/hyperlink" Target="https://www.sciencedirect.com/science/article/abs/pii/S1743609515336171?via%3Dihub" TargetMode="External" Id="rId56" /><Relationship Type="http://schemas.openxmlformats.org/officeDocument/2006/relationships/hyperlink" Target="https://www.sciencedirect.com/science/article/abs/pii/S8756328216303337?via%3Dihub" TargetMode="External" Id="rId77" /><Relationship Type="http://schemas.openxmlformats.org/officeDocument/2006/relationships/hyperlink" Target="https://link.springer.com/article/10.1007/s10508-020-01660-8" TargetMode="External" Id="rId100" /><Relationship Type="http://schemas.openxmlformats.org/officeDocument/2006/relationships/hyperlink" Target="https://www.degruyter.com/view/journals/jpem/32/10/article-p1077.xml" TargetMode="External" Id="rId105" /><Relationship Type="http://schemas.openxmlformats.org/officeDocument/2006/relationships/hyperlink" Target="https://www.sciencedirect.com/science/article/abs/pii/S1743609515336171?via%3Dihub" TargetMode="External" Id="rId126" /><Relationship Type="http://schemas.openxmlformats.org/officeDocument/2006/relationships/hyperlink" Target="https://www.sciencedirect.com/science/article/abs/pii/S8756328216303337?via%3Dihub" TargetMode="External" Id="rId147" /><Relationship Type="http://schemas.openxmlformats.org/officeDocument/2006/relationships/hyperlink" Target="https://www.sciencedirect.com/science/article/abs/pii/S174360951534443X" TargetMode="External" Id="rId168" /><Relationship Type="http://schemas.openxmlformats.org/officeDocument/2006/relationships/hyperlink" Target="https://academic.oup.com/jcem/article/100/2/E270/2814818" TargetMode="External" Id="rId282" /><Relationship Type="http://schemas.openxmlformats.org/officeDocument/2006/relationships/hyperlink" Target="https://doi.org/10.1016/j.jpeds.2013.10.068" TargetMode="External" Id="rId312" /><Relationship Type="http://schemas.openxmlformats.org/officeDocument/2006/relationships/hyperlink" Target="https://icd.who.int/" TargetMode="External" Id="rId317" /><Relationship Type="http://schemas.openxmlformats.org/officeDocument/2006/relationships/hyperlink" Target="https://www.medicines.org.uk/emc" TargetMode="External" Id="rId8" /><Relationship Type="http://schemas.openxmlformats.org/officeDocument/2006/relationships/hyperlink" Target="https://www.sciencedirect.com/science/article/abs/pii/S174360951534443X" TargetMode="External" Id="rId51" /><Relationship Type="http://schemas.openxmlformats.org/officeDocument/2006/relationships/hyperlink" Target="https://www.sciencedirect.com/science/article/abs/pii/S1743609516302193?via%3Dihub" TargetMode="External" Id="rId72" /><Relationship Type="http://schemas.openxmlformats.org/officeDocument/2006/relationships/hyperlink" Target="https://academic.oup.com/jcem/article/100/2/E270/2814818" TargetMode="External" Id="rId93" /><Relationship Type="http://schemas.openxmlformats.org/officeDocument/2006/relationships/hyperlink" Target="https://www.sciencedirect.com/science/article/abs/pii/S1743609516302193?via%3Dihub" TargetMode="External" Id="rId98" /><Relationship Type="http://schemas.openxmlformats.org/officeDocument/2006/relationships/hyperlink" Target="https://www.sciencedirect.com/science/article/abs/pii/S1743609515336171?via%3Dihub" TargetMode="External" Id="rId121" /><Relationship Type="http://schemas.openxmlformats.org/officeDocument/2006/relationships/hyperlink" Target="https://link.springer.com/article/10.1007/s10508-020-01660-8" TargetMode="External" Id="rId142" /><Relationship Type="http://schemas.openxmlformats.org/officeDocument/2006/relationships/hyperlink" Target="https://www.sciencedirect.com/science/article/abs/pii/S1743609516302193?via%3Dihub" TargetMode="External" Id="rId163" /><Relationship Type="http://schemas.openxmlformats.org/officeDocument/2006/relationships/hyperlink" Target="https://www.sciencedirect.com/science/article/abs/pii/S8756328216303337?via%3Dihub" TargetMode="External" Id="rId184" /><Relationship Type="http://schemas.openxmlformats.org/officeDocument/2006/relationships/hyperlink" Target="https://www.sciencedirect.com/science/article/abs/pii/S174360951534443X" TargetMode="External" Id="rId189" /><Relationship Type="http://schemas.openxmlformats.org/officeDocument/2006/relationships/hyperlink" Target="https://www.sciencedirect.com/science/article/abs/pii/S1743609515336171?via%3Dihub" TargetMode="External" Id="rId219" /><Relationship Type="http://schemas.openxmlformats.org/officeDocument/2006/relationships/hyperlink" Target="https://www.degruyter.com/view/journals/jpem/32/10/article-p1077.xml" TargetMode="External" Id="rId214" /><Relationship Type="http://schemas.openxmlformats.org/officeDocument/2006/relationships/hyperlink" Target="https://www.sciencedirect.com/science/article/abs/pii/S174360951534443X" TargetMode="External" Id="rId230" /><Relationship Type="http://schemas.openxmlformats.org/officeDocument/2006/relationships/hyperlink" Target="https://www.sciencedirect.com/science/article/abs/pii/S0306453015000943?via%3Dihub" TargetMode="External" Id="rId235" /><Relationship Type="http://schemas.openxmlformats.org/officeDocument/2006/relationships/hyperlink" Target="https://www.sciencedirect.com/science/article/abs/pii/S1743609516302193?via%3Dihub" TargetMode="External" Id="rId251" /><Relationship Type="http://schemas.openxmlformats.org/officeDocument/2006/relationships/hyperlink" Target="https://www.sciencedirect.com/science/article/abs/pii/S0022347613013644" TargetMode="External" Id="rId277" /><Relationship Type="http://schemas.openxmlformats.org/officeDocument/2006/relationships/hyperlink" Target="https://europepmc.org/article/med/27845262" TargetMode="External" Id="rId298" /><Relationship Type="http://schemas.openxmlformats.org/officeDocument/2006/relationships/hyperlink" Target="https://academic.oup.com/jcem/article/100/2/E270/2814818" TargetMode="External" Id="rId25" /><Relationship Type="http://schemas.openxmlformats.org/officeDocument/2006/relationships/hyperlink" Target="https://academic.oup.com/jcem/article/100/2/E270/2814818" TargetMode="External" Id="rId46" /><Relationship Type="http://schemas.openxmlformats.org/officeDocument/2006/relationships/hyperlink" Target="https://www.sciencedirect.com/science/article/abs/pii/S174360951534443X" TargetMode="External" Id="rId67" /><Relationship Type="http://schemas.openxmlformats.org/officeDocument/2006/relationships/hyperlink" Target="https://www.sciencedirect.com/science/article/abs/pii/S1743609515336171?via%3Dihub" TargetMode="External" Id="rId116" /><Relationship Type="http://schemas.openxmlformats.org/officeDocument/2006/relationships/hyperlink" Target="https://link.springer.com/article/10.1007/s10508-020-01660-8" TargetMode="External" Id="rId137" /><Relationship Type="http://schemas.openxmlformats.org/officeDocument/2006/relationships/hyperlink" Target="https://academic.oup.com/jcem/article/100/2/E270/2814818" TargetMode="External" Id="rId158" /><Relationship Type="http://schemas.openxmlformats.org/officeDocument/2006/relationships/hyperlink" Target="https://www.degruyter.com/view/journals/jpem/32/10/article-p1077.xml" TargetMode="External" Id="rId272" /><Relationship Type="http://schemas.openxmlformats.org/officeDocument/2006/relationships/hyperlink" Target="https://www.sciencedirect.com/science/article/abs/pii/S0306453015000943" TargetMode="External" Id="rId293" /><Relationship Type="http://schemas.openxmlformats.org/officeDocument/2006/relationships/hyperlink" Target="https://europepmc.org/article/med/27845262" TargetMode="External" Id="rId302" /><Relationship Type="http://schemas.openxmlformats.org/officeDocument/2006/relationships/hyperlink" Target="https://doi.org/10.1007/s10508-020-01660-8" TargetMode="External" Id="rId307" /><Relationship Type="http://schemas.openxmlformats.org/officeDocument/2006/relationships/hyperlink" Target="https://www.england.nhs.uk/wp-content/uploads/2017/04/gender-development-service-children-adolescents.pdf" TargetMode="External" Id="rId20" /><Relationship Type="http://schemas.openxmlformats.org/officeDocument/2006/relationships/hyperlink" Target="https://link.springer.com/article/10.1007/s10508-020-01660-8" TargetMode="External" Id="rId41" /><Relationship Type="http://schemas.openxmlformats.org/officeDocument/2006/relationships/hyperlink" Target="https://www.sciencedirect.com/science/article/abs/pii/S1743609515336171?via%3Dihub" TargetMode="External" Id="rId62" /><Relationship Type="http://schemas.openxmlformats.org/officeDocument/2006/relationships/hyperlink" Target="https://www.sciencedirect.com/science/article/abs/pii/S174360951534443X" TargetMode="External" Id="rId83" /><Relationship Type="http://schemas.openxmlformats.org/officeDocument/2006/relationships/hyperlink" Target="https://www.sciencedirect.com/science/article/abs/pii/S0306453015000943?via%3Dihub" TargetMode="External" Id="rId88" /><Relationship Type="http://schemas.openxmlformats.org/officeDocument/2006/relationships/hyperlink" Target="https://www.sciencedirect.com/science/article/abs/pii/S1743609516302193?via%3Dihub" TargetMode="External" Id="rId111" /><Relationship Type="http://schemas.openxmlformats.org/officeDocument/2006/relationships/hyperlink" Target="https://www.sciencedirect.com/science/article/abs/pii/S0306453015000943?via%3Dihub" TargetMode="External" Id="rId132" /><Relationship Type="http://schemas.openxmlformats.org/officeDocument/2006/relationships/hyperlink" Target="https://academic.oup.com/jcem/article/100/2/E270/2814818" TargetMode="External" Id="rId153" /><Relationship Type="http://schemas.openxmlformats.org/officeDocument/2006/relationships/hyperlink" Target="https://www.sciencedirect.com/science/article/abs/pii/S1743609515336171?via%3Dihub" TargetMode="External" Id="rId174" /><Relationship Type="http://schemas.openxmlformats.org/officeDocument/2006/relationships/hyperlink" Target="https://academic.oup.com/jcem/article/100/2/E270/2814818" TargetMode="External" Id="rId179" /><Relationship Type="http://schemas.openxmlformats.org/officeDocument/2006/relationships/hyperlink" Target="https://www.sciencedirect.com/science/article/abs/pii/S1743609515336171?via%3Dihub" TargetMode="External" Id="rId195" /><Relationship Type="http://schemas.openxmlformats.org/officeDocument/2006/relationships/hyperlink" Target="https://www.sciencedirect.com/science/article/abs/pii/S1743609516302193?via%3Dihub" TargetMode="External" Id="rId209" /><Relationship Type="http://schemas.openxmlformats.org/officeDocument/2006/relationships/hyperlink" Target="https://www.sciencedirect.com/science/article/abs/pii/S1743609515336171?via%3Dihub" TargetMode="External" Id="rId190" /><Relationship Type="http://schemas.openxmlformats.org/officeDocument/2006/relationships/hyperlink" Target="https://www.sciencedirect.com/science/article/abs/pii/S8756328216303337?via%3Dihub" TargetMode="External" Id="rId204" /><Relationship Type="http://schemas.openxmlformats.org/officeDocument/2006/relationships/hyperlink" Target="https://www.sciencedirect.com/science/article/abs/pii/S0306453015000943?via%3Dihub" TargetMode="External" Id="rId220" /><Relationship Type="http://schemas.openxmlformats.org/officeDocument/2006/relationships/hyperlink" Target="https://www.sciencedirect.com/science/article/abs/pii/S1743609515336171?via%3Dihub" TargetMode="External" Id="rId225" /><Relationship Type="http://schemas.openxmlformats.org/officeDocument/2006/relationships/hyperlink" Target="https://academic.oup.com/jcem/article/100/2/E270/2814818" TargetMode="External" Id="rId241" /><Relationship Type="http://schemas.openxmlformats.org/officeDocument/2006/relationships/hyperlink" Target="https://www.sciencedirect.com/science/article/abs/pii/S174360951534443X" TargetMode="External" Id="rId246" /><Relationship Type="http://schemas.openxmlformats.org/officeDocument/2006/relationships/hyperlink" Target="https://www.sciencedirect.com/science/article/abs/pii/S1743609515336171?via%3Dihub" TargetMode="External" Id="rId267" /><Relationship Type="http://schemas.openxmlformats.org/officeDocument/2006/relationships/hyperlink" Target="https://www.sciencedirect.com/science/article/abs/pii/S1743609516302193?via%3Dihub" TargetMode="External" Id="rId288" /><Relationship Type="http://schemas.openxmlformats.org/officeDocument/2006/relationships/hyperlink" Target="https://icd.who.int/browse11/l-m/en%23/http%3a%2f%2fid.who.int%2ficd%2fentity%2f411470068" TargetMode="External" Id="rId15" /><Relationship Type="http://schemas.openxmlformats.org/officeDocument/2006/relationships/hyperlink" Target="https://www.sciencedirect.com/science/article/abs/pii/S1743609515336171?via%3Dihub" TargetMode="External" Id="rId36" /><Relationship Type="http://schemas.openxmlformats.org/officeDocument/2006/relationships/hyperlink" Target="https://www.degruyter.com/view/journals/jpem/32/10/article-p1077.xml" TargetMode="External" Id="rId57" /><Relationship Type="http://schemas.openxmlformats.org/officeDocument/2006/relationships/hyperlink" Target="https://www.degruyter.com/view/journals/jpem/32/10/article-p1077.xml" TargetMode="External" Id="rId106" /><Relationship Type="http://schemas.openxmlformats.org/officeDocument/2006/relationships/hyperlink" Target="https://www.sciencedirect.com/science/article/abs/pii/S174360951534443X" TargetMode="External" Id="rId127" /><Relationship Type="http://schemas.openxmlformats.org/officeDocument/2006/relationships/hyperlink" Target="https://academic.oup.com/jcem/article/100/2/E270/2814818" TargetMode="External" Id="rId283" /><Relationship Type="http://schemas.openxmlformats.org/officeDocument/2006/relationships/hyperlink" Target="https://doi.org/10.1016/j.jpeds.2013.10.068" TargetMode="External" Id="rId313" /><Relationship Type="http://schemas.openxmlformats.org/officeDocument/2006/relationships/hyperlink" Target="http://www.psychiatry.org/patients-families/gender-dysphoria/what-is-gender-dysphoria" TargetMode="External" Id="rId318" /><Relationship Type="http://schemas.openxmlformats.org/officeDocument/2006/relationships/hyperlink" Target="https://bnf.nice.org.uk/" TargetMode="External" Id="rId10" /><Relationship Type="http://schemas.openxmlformats.org/officeDocument/2006/relationships/hyperlink" Target="https://www.who.int/health-topics/gender" TargetMode="External" Id="rId31" /><Relationship Type="http://schemas.openxmlformats.org/officeDocument/2006/relationships/hyperlink" Target="https://www.sciencedirect.com/science/article/abs/pii/S1743609515336171?via%3Dihub" TargetMode="External" Id="rId52" /><Relationship Type="http://schemas.openxmlformats.org/officeDocument/2006/relationships/hyperlink" Target="https://www.sciencedirect.com/science/article/abs/pii/S174360951534443X" TargetMode="External" Id="rId73" /><Relationship Type="http://schemas.openxmlformats.org/officeDocument/2006/relationships/hyperlink" Target="https://link.springer.com/article/10.1007/s10508-020-01660-8" TargetMode="External" Id="rId78" /><Relationship Type="http://schemas.openxmlformats.org/officeDocument/2006/relationships/hyperlink" Target="https://academic.oup.com/jcem/article/100/2/E270/2814818" TargetMode="External" Id="rId94" /><Relationship Type="http://schemas.openxmlformats.org/officeDocument/2006/relationships/hyperlink" Target="https://www.sciencedirect.com/science/article/abs/pii/S0306453015000943?via%3Dihub" TargetMode="External" Id="rId99" /><Relationship Type="http://schemas.openxmlformats.org/officeDocument/2006/relationships/hyperlink" Target="https://www.sciencedirect.com/science/article/abs/pii/S174360951534443X" TargetMode="External" Id="rId101" /><Relationship Type="http://schemas.openxmlformats.org/officeDocument/2006/relationships/hyperlink" Target="https://www.sciencedirect.com/science/article/abs/pii/S1743609515336171?via%3Dihub" TargetMode="External" Id="rId122" /><Relationship Type="http://schemas.openxmlformats.org/officeDocument/2006/relationships/hyperlink" Target="https://www.sciencedirect.com/science/article/abs/pii/S0022347613013644?via%3Dihub" TargetMode="External" Id="rId143" /><Relationship Type="http://schemas.openxmlformats.org/officeDocument/2006/relationships/hyperlink" Target="https://www.degruyter.com/view/journals/jpem/32/10/article-p1077.xml" TargetMode="External" Id="rId148" /><Relationship Type="http://schemas.openxmlformats.org/officeDocument/2006/relationships/hyperlink" Target="https://www.sciencedirect.com/science/article/abs/pii/S1743609516302193?via%3Dihub" TargetMode="External" Id="rId164" /><Relationship Type="http://schemas.openxmlformats.org/officeDocument/2006/relationships/hyperlink" Target="https://www.sciencedirect.com/science/article/abs/pii/S174360951534443X" TargetMode="External" Id="rId169" /><Relationship Type="http://schemas.openxmlformats.org/officeDocument/2006/relationships/hyperlink" Target="https://www.sciencedirect.com/science/article/abs/pii/S0306453015000943?via%3Dihub" TargetMode="External" Id="rId185" /><Relationship Type="http://schemas.openxmlformats.org/officeDocument/2006/relationships/hyperlink" Target="https://www.medicines.org.uk/emc" TargetMode="External" Id="rId9" /><Relationship Type="http://schemas.openxmlformats.org/officeDocument/2006/relationships/hyperlink" Target="https://academic.oup.com/jcem/article/100/2/E270/2814818" TargetMode="External" Id="rId180" /><Relationship Type="http://schemas.openxmlformats.org/officeDocument/2006/relationships/hyperlink" Target="https://www.sciencedirect.com/science/article/abs/pii/S0306453015000943?via%3Dihub" TargetMode="External" Id="rId210" /><Relationship Type="http://schemas.openxmlformats.org/officeDocument/2006/relationships/hyperlink" Target="https://www.sciencedirect.com/science/article/abs/pii/S0022347613013644?via%3Dihub" TargetMode="External" Id="rId215" /><Relationship Type="http://schemas.openxmlformats.org/officeDocument/2006/relationships/hyperlink" Target="https://www.sciencedirect.com/science/article/abs/pii/S174360951534443X" TargetMode="External" Id="rId236" /><Relationship Type="http://schemas.openxmlformats.org/officeDocument/2006/relationships/hyperlink" Target="https://link.springer.com/article/10.1007/s10508-020-01660-8" TargetMode="External" Id="rId257" /><Relationship Type="http://schemas.openxmlformats.org/officeDocument/2006/relationships/hyperlink" Target="https://www.sciencedirect.com/science/article/abs/pii/S0022347613013644" TargetMode="External" Id="rId278" /><Relationship Type="http://schemas.openxmlformats.org/officeDocument/2006/relationships/hyperlink" Target="https://www.sciencedirect.com/science/article/abs/pii/S8756328216303337?via%3Dihub" TargetMode="External" Id="rId26" /><Relationship Type="http://schemas.openxmlformats.org/officeDocument/2006/relationships/hyperlink" Target="https://www.sciencedirect.com/science/article/abs/pii/S1743609515336171?via%3Dihub" TargetMode="External" Id="rId231" /><Relationship Type="http://schemas.openxmlformats.org/officeDocument/2006/relationships/hyperlink" Target="https://www.sciencedirect.com/science/article/abs/pii/S0306453015000943?via%3Dihub" TargetMode="External" Id="rId252" /><Relationship Type="http://schemas.openxmlformats.org/officeDocument/2006/relationships/hyperlink" Target="https://www.degruyter.com/view/journals/jpem/32/10/article-p1077.xml" TargetMode="External" Id="rId273" /><Relationship Type="http://schemas.openxmlformats.org/officeDocument/2006/relationships/hyperlink" Target="https://www.sciencedirect.com/science/article/abs/pii/S0306453015000943" TargetMode="External" Id="rId294" /><Relationship Type="http://schemas.openxmlformats.org/officeDocument/2006/relationships/hyperlink" Target="https://doi.org/10.1007/s10508-020-01660-8" TargetMode="External" Id="rId308" /><Relationship Type="http://schemas.openxmlformats.org/officeDocument/2006/relationships/hyperlink" Target="https://www.sciencedirect.com/science/article/abs/pii/S8756328216303337?via%3Dihub" TargetMode="External" Id="rId47" /><Relationship Type="http://schemas.openxmlformats.org/officeDocument/2006/relationships/hyperlink" Target="https://www.degruyter.com/view/journals/jpem/32/10/article-p1077.xml" TargetMode="External" Id="rId68" /><Relationship Type="http://schemas.openxmlformats.org/officeDocument/2006/relationships/hyperlink" Target="https://www.sciencedirect.com/science/article/abs/pii/S1743609515336171?via%3Dihub" TargetMode="External" Id="rId89" /><Relationship Type="http://schemas.openxmlformats.org/officeDocument/2006/relationships/hyperlink" Target="https://www.sciencedirect.com/science/article/abs/pii/S0306453015000943?via%3Dihub" TargetMode="External" Id="rId112" /><Relationship Type="http://schemas.openxmlformats.org/officeDocument/2006/relationships/hyperlink" Target="https://www.sciencedirect.com/science/article/abs/pii/S1743609515336171?via%3Dihub" TargetMode="External" Id="rId133" /><Relationship Type="http://schemas.openxmlformats.org/officeDocument/2006/relationships/hyperlink" Target="https://www.degruyter.com/view/journals/jpem/32/10/article-p1077.xml" TargetMode="External" Id="rId154" /><Relationship Type="http://schemas.openxmlformats.org/officeDocument/2006/relationships/hyperlink" Target="https://www.sciencedirect.com/science/article/abs/pii/S1743609515336171?via%3Dihub" TargetMode="External" Id="rId175" /><Relationship Type="http://schemas.openxmlformats.org/officeDocument/2006/relationships/hyperlink" Target="https://www.sciencedirect.com/science/article/abs/pii/S174360951534443X" TargetMode="External" Id="rId196" /><Relationship Type="http://schemas.openxmlformats.org/officeDocument/2006/relationships/hyperlink" Target="https://www.sciencedirect.com/science/article/abs/pii/S8756328216303337?via%3Dihub" TargetMode="External" Id="rId200" /><Relationship Type="http://schemas.openxmlformats.org/officeDocument/2006/relationships/hyperlink" Target="https://www.psychiatry.org/patients-families/gender-dysphoria/what-is-gender-dysphoria" TargetMode="External" Id="rId16" /><Relationship Type="http://schemas.openxmlformats.org/officeDocument/2006/relationships/hyperlink" Target="https://www.sciencedirect.com/science/article/abs/pii/S1743609515336171?via%3Dihub" TargetMode="External" Id="rId221" /><Relationship Type="http://schemas.openxmlformats.org/officeDocument/2006/relationships/hyperlink" Target="https://www.sciencedirect.com/science/article/abs/pii/S8756328216303337?via%3Dihub" TargetMode="External" Id="rId242" /><Relationship Type="http://schemas.openxmlformats.org/officeDocument/2006/relationships/hyperlink" Target="https://www.sciencedirect.com/science/article/abs/pii/S174360951534443X?via%3Dihub" TargetMode="External" Id="rId263" /><Relationship Type="http://schemas.openxmlformats.org/officeDocument/2006/relationships/hyperlink" Target="https://academic.oup.com/jcem/article/100/2/E270/2814818" TargetMode="External" Id="rId284" /><Relationship Type="http://schemas.openxmlformats.org/officeDocument/2006/relationships/hyperlink" Target="http://www.psychiatry.org/patients-families/gender-dysphoria/what-is-gender-dysphoria" TargetMode="External" Id="rId319" /><Relationship Type="http://schemas.openxmlformats.org/officeDocument/2006/relationships/hyperlink" Target="https://www.sciencedirect.com/science/article/abs/pii/S1743609515336171?via%3Dihub" TargetMode="External" Id="rId37" /><Relationship Type="http://schemas.openxmlformats.org/officeDocument/2006/relationships/hyperlink" Target="https://academic.oup.com/jcem/article/100/2/E270/2814818" TargetMode="External" Id="rId58" /><Relationship Type="http://schemas.openxmlformats.org/officeDocument/2006/relationships/hyperlink" Target="https://www.degruyter.com/view/journals/jpem/32/10/article-p1077.xml" TargetMode="External" Id="rId79" /><Relationship Type="http://schemas.openxmlformats.org/officeDocument/2006/relationships/hyperlink" Target="https://www.sciencedirect.com/science/article/abs/pii/S174360951534443X" TargetMode="External" Id="rId102" /><Relationship Type="http://schemas.openxmlformats.org/officeDocument/2006/relationships/hyperlink" Target="https://www.sciencedirect.com/science/article/abs/pii/S1743609515336171?via%3Dihub" TargetMode="External" Id="rId123" /><Relationship Type="http://schemas.openxmlformats.org/officeDocument/2006/relationships/hyperlink" Target="https://www.degruyter.com/view/journals/jpem/32/10/article-p1077.xml" TargetMode="External" Id="rId144" /><Relationship Type="http://schemas.openxmlformats.org/officeDocument/2006/relationships/hyperlink" Target="https://link.springer.com/article/10.1007/s10508-020-01660-8" TargetMode="External" Id="rId90" /><Relationship Type="http://schemas.openxmlformats.org/officeDocument/2006/relationships/hyperlink" Target="https://www.sciencedirect.com/science/article/abs/pii/S0022347613013644?via%3Dihub" TargetMode="External" Id="rId165" /><Relationship Type="http://schemas.openxmlformats.org/officeDocument/2006/relationships/hyperlink" Target="https://www.sciencedirect.com/science/article/abs/pii/S1743609516302193?via%3Dihub" TargetMode="External" Id="rId186" /><Relationship Type="http://schemas.openxmlformats.org/officeDocument/2006/relationships/hyperlink" Target="https://www.sciencedirect.com/science/article/abs/pii/S8756328216303337?via%3Dihub" TargetMode="External" Id="rId211" /><Relationship Type="http://schemas.openxmlformats.org/officeDocument/2006/relationships/hyperlink" Target="https://www.sciencedirect.com/science/article/abs/pii/S1743609515336171?via%3Dihub" TargetMode="External" Id="rId232" /><Relationship Type="http://schemas.openxmlformats.org/officeDocument/2006/relationships/hyperlink" Target="https://www.sciencedirect.com/science/article/abs/pii/S8756328216303337?via%3Dihub" TargetMode="External" Id="rId253" /><Relationship Type="http://schemas.openxmlformats.org/officeDocument/2006/relationships/hyperlink" Target="https://www.degruyter.com/view/journals/jpem/32/10/article-p1077.xml" TargetMode="External" Id="rId274" /><Relationship Type="http://schemas.openxmlformats.org/officeDocument/2006/relationships/hyperlink" Target="https://www.sciencedirect.com/science/article/abs/pii/S0306453015000943" TargetMode="External" Id="rId295" /><Relationship Type="http://schemas.openxmlformats.org/officeDocument/2006/relationships/hyperlink" Target="https://doi.org/10.1111/jsm.13034" TargetMode="External" Id="rId309" /><Relationship Type="http://schemas.openxmlformats.org/officeDocument/2006/relationships/hyperlink" Target="https://www.sciencedirect.com/science/article/abs/pii/S174360951534443X" TargetMode="External" Id="rId27" /><Relationship Type="http://schemas.openxmlformats.org/officeDocument/2006/relationships/hyperlink" Target="https://www.sciencedirect.com/science/article/abs/pii/S0306453015000943?via%3Dihub" TargetMode="External" Id="rId48" /><Relationship Type="http://schemas.openxmlformats.org/officeDocument/2006/relationships/hyperlink" Target="https://academic.oup.com/jcem/article/100/2/E270/2814818" TargetMode="External" Id="rId69" /><Relationship Type="http://schemas.openxmlformats.org/officeDocument/2006/relationships/hyperlink" Target="https://www.sciencedirect.com/science/article/abs/pii/S0306453015000943?via%3Dihub" TargetMode="External" Id="rId113" /><Relationship Type="http://schemas.openxmlformats.org/officeDocument/2006/relationships/hyperlink" Target="https://www.sciencedirect.com/science/article/abs/pii/S0306453015000943?via%3Dihub" TargetMode="External" Id="rId134" /><Relationship Type="http://schemas.openxmlformats.org/officeDocument/2006/relationships/hyperlink" Target="http://www.england.nhs.uk/wp-content/uploads/2017/04/gender-development-service-children-adolescents.pdf" TargetMode="External" Id="rId320" /><Relationship Type="http://schemas.openxmlformats.org/officeDocument/2006/relationships/hyperlink" Target="https://www.degruyter.com/view/journals/jpem/32/10/article-p1077.xml" TargetMode="External" Id="rId80" /><Relationship Type="http://schemas.openxmlformats.org/officeDocument/2006/relationships/hyperlink" Target="https://academic.oup.com/jcem/article/100/2/E270/2814818" TargetMode="External" Id="rId155" /><Relationship Type="http://schemas.openxmlformats.org/officeDocument/2006/relationships/hyperlink" Target="https://www.sciencedirect.com/science/article/abs/pii/S174360951534443X" TargetMode="External" Id="rId176" /><Relationship Type="http://schemas.openxmlformats.org/officeDocument/2006/relationships/hyperlink" Target="https://www.degruyter.com/view/journals/jpem/32/10/article-p1077.xml" TargetMode="External" Id="rId197" /><Relationship Type="http://schemas.openxmlformats.org/officeDocument/2006/relationships/hyperlink" Target="https://www.degruyter.com/view/journals/jpem/32/10/article-p1077.xml" TargetMode="External" Id="rId201" /><Relationship Type="http://schemas.openxmlformats.org/officeDocument/2006/relationships/hyperlink" Target="https://www.sciencedirect.com/science/article/abs/pii/S1743609515336171?via%3Dihub" TargetMode="External" Id="rId222" /><Relationship Type="http://schemas.openxmlformats.org/officeDocument/2006/relationships/hyperlink" Target="https://www.sciencedirect.com/science/article/abs/pii/S8756328216303337?via%3Dihub" TargetMode="External" Id="rId243" /><Relationship Type="http://schemas.openxmlformats.org/officeDocument/2006/relationships/hyperlink" Target="https://www.sciencedirect.com/science/article/abs/pii/S174360951534443X?via%3Dihub" TargetMode="External" Id="rId264" /><Relationship Type="http://schemas.openxmlformats.org/officeDocument/2006/relationships/hyperlink" Target="https://academic.oup.com/jcem/article/100/2/E270/2814818" TargetMode="External" Id="rId285" /><Relationship Type="http://schemas.openxmlformats.org/officeDocument/2006/relationships/hyperlink" Target="https://www.psychiatry.org/patients-families/gender-dysphoria/what-is-gender-dysphoria" TargetMode="External" Id="rId17" /><Relationship Type="http://schemas.openxmlformats.org/officeDocument/2006/relationships/hyperlink" Target="https://www.sciencedirect.com/science/article/abs/pii/S1743609515336171?via%3Dihub" TargetMode="External" Id="rId38" /><Relationship Type="http://schemas.openxmlformats.org/officeDocument/2006/relationships/hyperlink" Target="https://www.sciencedirect.com/science/article/abs/pii/S8756328216303337?via%3Dihub" TargetMode="External" Id="rId59" /><Relationship Type="http://schemas.openxmlformats.org/officeDocument/2006/relationships/hyperlink" Target="https://www.sciencedirect.com/science/article/abs/pii/S1743609515336171?via%3Dihub" TargetMode="External" Id="rId103" /><Relationship Type="http://schemas.openxmlformats.org/officeDocument/2006/relationships/hyperlink" Target="https://www.sciencedirect.com/science/article/abs/pii/S1743609515336171?via%3Dihub" TargetMode="External" Id="rId124" /><Relationship Type="http://schemas.openxmlformats.org/officeDocument/2006/relationships/hyperlink" Target="https://doi.org/10.1111/j.1743-6109.2010.01943.x" TargetMode="External" Id="rId310" /><Relationship Type="http://schemas.openxmlformats.org/officeDocument/2006/relationships/hyperlink" Target="https://www.sciencedirect.com/science/article/abs/pii/S8756328216303337?via%3Dihub" TargetMode="External" Id="rId70" /><Relationship Type="http://schemas.openxmlformats.org/officeDocument/2006/relationships/hyperlink" Target="https://www.degruyter.com/view/journals/jpem/32/10/article-p1077.xml" TargetMode="External" Id="rId91" /><Relationship Type="http://schemas.openxmlformats.org/officeDocument/2006/relationships/hyperlink" Target="https://academic.oup.com/jcem/article/100/2/E270/2814818" TargetMode="External" Id="rId145" /><Relationship Type="http://schemas.openxmlformats.org/officeDocument/2006/relationships/hyperlink" Target="https://www.sciencedirect.com/science/article/abs/pii/S1743609515336171?via%3Dihub" TargetMode="External" Id="rId166" /><Relationship Type="http://schemas.openxmlformats.org/officeDocument/2006/relationships/hyperlink" Target="https://www.sciencedirect.com/science/article/abs/pii/S1743609515336171?via%3Dihub" TargetMode="External" Id="rId187" /><Relationship Type="http://schemas.openxmlformats.org/officeDocument/2006/relationships/hyperlink" Target="https://link.springer.com/article/10.1007/s10508-020-01660-8" TargetMode="External" Id="rId212" /><Relationship Type="http://schemas.openxmlformats.org/officeDocument/2006/relationships/hyperlink" Target="https://www.sciencedirect.com/science/article/abs/pii/S1743609515336171?via%3Dihub" TargetMode="External" Id="rId233" /><Relationship Type="http://schemas.openxmlformats.org/officeDocument/2006/relationships/hyperlink" Target="https://www.sciencedirect.com/science/article/abs/pii/S1743609515336171?via%3Dihub" TargetMode="External" Id="rId28" /><Relationship Type="http://schemas.openxmlformats.org/officeDocument/2006/relationships/hyperlink" Target="https://www.sciencedirect.com/science/article/abs/pii/S1743609516302193?via%3Dihub" TargetMode="External" Id="rId49" /><Relationship Type="http://schemas.openxmlformats.org/officeDocument/2006/relationships/hyperlink" Target="https://www.sciencedirect.com/science/article/abs/pii/S8756328216303337?via%3Dihub" TargetMode="External" Id="rId114" /><Relationship Type="http://schemas.openxmlformats.org/officeDocument/2006/relationships/hyperlink" Target="https://www.degruyter.com/view/journals/jpem/32/10/article-p1077.xml" TargetMode="External" Id="rId275" /><Relationship Type="http://schemas.openxmlformats.org/officeDocument/2006/relationships/hyperlink" Target="https://www.sciencedirect.com/science/article/abs/pii/S0306453015000943" TargetMode="External" Id="rId296" /><Relationship Type="http://schemas.openxmlformats.org/officeDocument/2006/relationships/hyperlink" Target="https://europepmc.org/article/med/27845262" TargetMode="External" Id="rId300" /><Relationship Type="http://schemas.openxmlformats.org/officeDocument/2006/relationships/hyperlink" Target="https://www.sciencedirect.com/science/article/abs/pii/S0306453015000943?via%3Dihub" TargetMode="External" Id="rId60" /><Relationship Type="http://schemas.openxmlformats.org/officeDocument/2006/relationships/hyperlink" Target="https://www.sciencedirect.com/science/article/abs/pii/S0022347613013644?via%3Dihub" TargetMode="External" Id="rId81" /><Relationship Type="http://schemas.openxmlformats.org/officeDocument/2006/relationships/hyperlink" Target="https://link.springer.com/article/10.1007/s10508-020-01660-8" TargetMode="External" Id="rId135" /><Relationship Type="http://schemas.openxmlformats.org/officeDocument/2006/relationships/hyperlink" Target="https://academic.oup.com/jcem/article/100/2/E270/2814818" TargetMode="External" Id="rId156" /><Relationship Type="http://schemas.openxmlformats.org/officeDocument/2006/relationships/hyperlink" Target="https://www.sciencedirect.com/science/article/abs/pii/S174360951534443X" TargetMode="External" Id="rId177" /><Relationship Type="http://schemas.openxmlformats.org/officeDocument/2006/relationships/hyperlink" Target="https://academic.oup.com/jcem/article/100/2/E270/2814818" TargetMode="External" Id="rId198" /><Relationship Type="http://schemas.openxmlformats.org/officeDocument/2006/relationships/hyperlink" Target="http://www.england.nhs.uk/wp-content/uploads/2017/04/gender-development-service-children-adolescents.pdf" TargetMode="External" Id="rId321" /><Relationship Type="http://schemas.openxmlformats.org/officeDocument/2006/relationships/hyperlink" Target="https://academic.oup.com/jcem/article/100/2/E270/2814818" TargetMode="External" Id="rId202" /><Relationship Type="http://schemas.openxmlformats.org/officeDocument/2006/relationships/hyperlink" Target="https://www.sciencedirect.com/science/article/abs/pii/S1743609515336171?via%3Dihub" TargetMode="External" Id="rId223" /><Relationship Type="http://schemas.openxmlformats.org/officeDocument/2006/relationships/hyperlink" Target="https://link.springer.com/article/10.1007/s10508-020-01660-8" TargetMode="External" Id="rId244" /><Relationship Type="http://schemas.openxmlformats.org/officeDocument/2006/relationships/hyperlink" Target="https://www.nice.org.uk/Glossary?letter=O" TargetMode="External" Id="rId18" /><Relationship Type="http://schemas.openxmlformats.org/officeDocument/2006/relationships/hyperlink" Target="https://www.sciencedirect.com/science/article/abs/pii/S174360951534443X" TargetMode="External" Id="rId39" /><Relationship Type="http://schemas.openxmlformats.org/officeDocument/2006/relationships/hyperlink" Target="https://www.sciencedirect.com/science/article/abs/pii/S174360951534443X?via%3Dihub" TargetMode="External" Id="rId265" /><Relationship Type="http://schemas.openxmlformats.org/officeDocument/2006/relationships/hyperlink" Target="https://www.sciencedirect.com/science/article/abs/pii/S1743609516302193?via%3Dihub" TargetMode="External" Id="rId286" /><Relationship Type="http://schemas.openxmlformats.org/officeDocument/2006/relationships/hyperlink" Target="https://www.sciencedirect.com/science/article/abs/pii/S0022347613013644?via%3Dihub" TargetMode="External" Id="rId50" /><Relationship Type="http://schemas.openxmlformats.org/officeDocument/2006/relationships/hyperlink" Target="https://www.sciencedirect.com/science/article/abs/pii/S1743609515336171?via%3Dihub" TargetMode="External" Id="rId104" /><Relationship Type="http://schemas.openxmlformats.org/officeDocument/2006/relationships/hyperlink" Target="https://www.sciencedirect.com/science/article/abs/pii/S1743609515336171?via%3Dihub" TargetMode="External" Id="rId125" /><Relationship Type="http://schemas.openxmlformats.org/officeDocument/2006/relationships/hyperlink" Target="https://academic.oup.com/jcem/article/100/2/E270/2814818" TargetMode="External" Id="rId146" /><Relationship Type="http://schemas.openxmlformats.org/officeDocument/2006/relationships/hyperlink" Target="https://www.sciencedirect.com/science/article/abs/pii/S1743609515336171?via%3Dihub" TargetMode="External" Id="rId167" /><Relationship Type="http://schemas.openxmlformats.org/officeDocument/2006/relationships/hyperlink" Target="https://www.sciencedirect.com/science/article/abs/pii/S1743609515336171?via%3Dihub" TargetMode="External" Id="rId188" /><Relationship Type="http://schemas.openxmlformats.org/officeDocument/2006/relationships/hyperlink" Target="https://doi.org/10.1111/j.1743-6109.2010.01943.x" TargetMode="External" Id="rId311" /><Relationship Type="http://schemas.openxmlformats.org/officeDocument/2006/relationships/hyperlink" Target="https://www.sciencedirect.com/science/article/abs/pii/S0306453015000943?via%3Dihub" TargetMode="External" Id="rId71" /><Relationship Type="http://schemas.openxmlformats.org/officeDocument/2006/relationships/hyperlink" Target="https://www.sciencedirect.com/science/article/abs/pii/S0022347613013644?via%3Dihub" TargetMode="External" Id="rId92" /><Relationship Type="http://schemas.openxmlformats.org/officeDocument/2006/relationships/hyperlink" Target="https://www.sciencedirect.com/science/article/abs/pii/S1743609515336171?via%3Dihub" TargetMode="External" Id="rId213" /><Relationship Type="http://schemas.openxmlformats.org/officeDocument/2006/relationships/hyperlink" Target="https://www.sciencedirect.com/science/article/abs/pii/S0306453015000943?via%3Dihub" TargetMode="External" Id="rId234" /><Relationship Type="http://schemas.openxmlformats.org/officeDocument/2006/relationships/hyperlink" Target="https://www.sciencedirect.com/science/article/abs/pii/S1743609516302193?via%3Dihub" TargetMode="External" Id="rId29" /><Relationship Type="http://schemas.openxmlformats.org/officeDocument/2006/relationships/hyperlink" Target="https://www.sciencedirect.com/science/article/abs/pii/S0022347613013644" TargetMode="External" Id="rId276" /><Relationship Type="http://schemas.openxmlformats.org/officeDocument/2006/relationships/hyperlink" Target="https://europepmc.org/article/med/27845262" TargetMode="External" Id="rId297" /><Relationship Type="http://schemas.openxmlformats.org/officeDocument/2006/relationships/hyperlink" Target="https://www.sciencedirect.com/science/article/abs/pii/S0306453015000943?via%3Dihub" TargetMode="External" Id="rId40" /><Relationship Type="http://schemas.openxmlformats.org/officeDocument/2006/relationships/hyperlink" Target="https://www.sciencedirect.com/science/article/abs/pii/S1743609515336171?via%3Dihub" TargetMode="External" Id="rId115" /><Relationship Type="http://schemas.openxmlformats.org/officeDocument/2006/relationships/hyperlink" Target="https://www.sciencedirect.com/science/article/abs/pii/S174360951534443X" TargetMode="External" Id="rId136" /><Relationship Type="http://schemas.openxmlformats.org/officeDocument/2006/relationships/hyperlink" Target="https://www.sciencedirect.com/science/article/abs/pii/S8756328216303337?via%3Dihub" TargetMode="External" Id="rId157" /><Relationship Type="http://schemas.openxmlformats.org/officeDocument/2006/relationships/hyperlink" Target="https://www.degruyter.com/view/journals/jpem/32/10/article-p1077.xml" TargetMode="External" Id="rId178" /><Relationship Type="http://schemas.openxmlformats.org/officeDocument/2006/relationships/hyperlink" Target="https://europepmc.org/article/med/27845262" TargetMode="External" Id="rId301" /><Relationship Type="http://schemas.openxmlformats.org/officeDocument/2006/relationships/hyperlink" Target="https://www.nice.org.uk/terms-and-conditions" TargetMode="External" Id="rId322" /><Relationship Type="http://schemas.openxmlformats.org/officeDocument/2006/relationships/hyperlink" Target="https://www.sciencedirect.com/science/article/abs/pii/S1743609516302193?via%3Dihub" TargetMode="External" Id="rId61" /><Relationship Type="http://schemas.openxmlformats.org/officeDocument/2006/relationships/hyperlink" Target="https://www.sciencedirect.com/science/article/abs/pii/S8756328216303337?via%3Dihub" TargetMode="External" Id="rId82" /><Relationship Type="http://schemas.openxmlformats.org/officeDocument/2006/relationships/hyperlink" Target="https://academic.oup.com/jcem/article/100/2/E270/2814818" TargetMode="External" Id="rId199" /><Relationship Type="http://schemas.openxmlformats.org/officeDocument/2006/relationships/hyperlink" Target="https://academic.oup.com/jcem/article/100/2/E270/2814818" TargetMode="External" Id="rId203" /></Relationship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131</ap:Pages>
  <ap:Words>49425</ap:Words>
  <ap:Characters>271842</ap:Characters>
  <ap:Application>Microsoft Office Word</ap:Application>
  <ap:DocSecurity>0</ap:DocSecurity>
  <ap:Lines>2265</ap:Lines>
  <ap:Paragraphs>641</ap:Paragraphs>
  <ap:ScaleCrop>false</ap:ScaleCrop>
  <ap:HeadingPairs>
    <vt:vector baseType="variant" size="2">
      <vt:variant>
        <vt:lpstr>Titre</vt:lpstr>
      </vt:variant>
      <vt:variant>
        <vt:i4>1</vt:i4>
      </vt:variant>
    </vt:vector>
  </ap:HeadingPairs>
  <ap:TitlesOfParts>
    <vt:vector baseType="lpstr" size="1">
      <vt:lpstr>Evidence review: Gonadotrophin releasing hormone analogues for children and adolescents with gender dysphoria</vt:lpstr>
    </vt:vector>
  </ap:TitlesOfParts>
  <ap:Company/>
  <ap:LinksUpToDate>false</ap:LinksUpToDate>
  <ap:CharactersWithSpaces>320626</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review: Gonadotrophin releasing hormone analogues for children and adolescents with gender dysphoria</dc:title>
  <dc:creator>Joline Wiseman</dc:creator>
  <cp:lastModifiedBy>Isabelle Ferrari</cp:lastModifiedBy>
  <cp:revision>2</cp:revision>
  <dcterms:created xsi:type="dcterms:W3CDTF">2021-08-16T10:21:00Z</dcterms:created>
  <dcterms:modified xsi:type="dcterms:W3CDTF">2021-08-16T10:21:00Z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for Microsoft 365</vt:lpwstr>
  </property>
  <property fmtid="{D5CDD505-2E9C-101B-9397-08002B2CF9AE}" pid="4" name="LastSaved">
    <vt:filetime>2021-08-16T00:00:00Z</vt:filetime>
  </property>
</Properties>
</file>